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8A03D" w14:textId="151759EA" w:rsidR="00EB4F1F" w:rsidRPr="00486080" w:rsidRDefault="00F04493" w:rsidP="00F04493">
      <w:pPr>
        <w:jc w:val="center"/>
        <w:rPr>
          <w:rFonts w:eastAsia="Times New Roman" w:cs="Times New Roman"/>
          <w:szCs w:val="21"/>
        </w:rPr>
      </w:pPr>
      <w:r w:rsidRPr="00486080">
        <w:rPr>
          <w:rFonts w:eastAsia="Times New Roman" w:cs="Times New Roman"/>
          <w:noProof/>
          <w:szCs w:val="21"/>
        </w:rPr>
        <w:drawing>
          <wp:inline distT="0" distB="0" distL="0" distR="0" wp14:anchorId="3BE131C3" wp14:editId="39CB41E8">
            <wp:extent cx="3600000" cy="5031579"/>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figure 1.png"/>
                    <pic:cNvPicPr/>
                  </pic:nvPicPr>
                  <pic:blipFill>
                    <a:blip r:embed="rId4">
                      <a:extLst>
                        <a:ext uri="{28A0092B-C50C-407E-A947-70E740481C1C}">
                          <a14:useLocalDpi xmlns:a14="http://schemas.microsoft.com/office/drawing/2010/main" val="0"/>
                        </a:ext>
                      </a:extLst>
                    </a:blip>
                    <a:stretch>
                      <a:fillRect/>
                    </a:stretch>
                  </pic:blipFill>
                  <pic:spPr>
                    <a:xfrm>
                      <a:off x="0" y="0"/>
                      <a:ext cx="3600000" cy="5031579"/>
                    </a:xfrm>
                    <a:prstGeom prst="rect">
                      <a:avLst/>
                    </a:prstGeom>
                  </pic:spPr>
                </pic:pic>
              </a:graphicData>
            </a:graphic>
          </wp:inline>
        </w:drawing>
      </w:r>
    </w:p>
    <w:p w14:paraId="3D7FD585" w14:textId="47686F07" w:rsidR="00FB46C8" w:rsidRPr="00486080" w:rsidRDefault="00EB4F1F" w:rsidP="00EB4F1F">
      <w:pPr>
        <w:rPr>
          <w:rFonts w:cs="Times New Roman"/>
          <w:noProof/>
          <w:color w:val="000000"/>
          <w:kern w:val="0"/>
          <w:szCs w:val="21"/>
        </w:rPr>
      </w:pPr>
      <w:r w:rsidRPr="00486080">
        <w:rPr>
          <w:rFonts w:cs="Times New Roman"/>
          <w:noProof/>
          <w:color w:val="000000"/>
          <w:kern w:val="0"/>
          <w:szCs w:val="21"/>
        </w:rPr>
        <w:t>Supplementary Figure 1</w:t>
      </w:r>
      <w:r w:rsidR="001F47DD" w:rsidRPr="00486080">
        <w:rPr>
          <w:rFonts w:cs="Times New Roman"/>
          <w:noProof/>
          <w:color w:val="000000"/>
          <w:kern w:val="0"/>
          <w:szCs w:val="21"/>
        </w:rPr>
        <w:t>.</w:t>
      </w:r>
      <w:r w:rsidRPr="00486080">
        <w:rPr>
          <w:rFonts w:cs="Times New Roman"/>
          <w:noProof/>
          <w:color w:val="000000"/>
          <w:kern w:val="0"/>
          <w:szCs w:val="21"/>
        </w:rPr>
        <w:t xml:space="preserve"> (A</w:t>
      </w:r>
      <w:r w:rsidR="00F04493" w:rsidRPr="00486080">
        <w:rPr>
          <w:rFonts w:cs="Times New Roman"/>
          <w:noProof/>
          <w:color w:val="000000"/>
          <w:kern w:val="0"/>
          <w:szCs w:val="21"/>
        </w:rPr>
        <w:t>-B</w:t>
      </w:r>
      <w:r w:rsidRPr="00486080">
        <w:rPr>
          <w:rFonts w:cs="Times New Roman"/>
          <w:noProof/>
          <w:color w:val="000000"/>
          <w:kern w:val="0"/>
          <w:szCs w:val="21"/>
        </w:rPr>
        <w:t xml:space="preserve">) </w:t>
      </w:r>
      <w:r w:rsidR="00F04493" w:rsidRPr="00486080">
        <w:rPr>
          <w:rFonts w:cs="Times New Roman"/>
          <w:noProof/>
          <w:color w:val="000000"/>
          <w:kern w:val="0"/>
          <w:szCs w:val="21"/>
        </w:rPr>
        <w:t xml:space="preserve">Overall survival analysis of macrophages and M2 type macrophages infiltrate in breast cancer. (C) </w:t>
      </w:r>
      <w:r w:rsidRPr="00486080">
        <w:rPr>
          <w:rFonts w:cs="Times New Roman"/>
          <w:noProof/>
          <w:color w:val="000000"/>
          <w:kern w:val="0"/>
          <w:szCs w:val="21"/>
        </w:rPr>
        <w:t>Different expression of PD-L1 between invasive breast cancer and normal breast tissue by TCGA database. (</w:t>
      </w:r>
      <w:r w:rsidR="00F04493" w:rsidRPr="00486080">
        <w:rPr>
          <w:rFonts w:cs="Times New Roman"/>
          <w:noProof/>
          <w:color w:val="000000"/>
          <w:kern w:val="0"/>
          <w:szCs w:val="21"/>
        </w:rPr>
        <w:t>D</w:t>
      </w:r>
      <w:r w:rsidRPr="00486080">
        <w:rPr>
          <w:rFonts w:cs="Times New Roman"/>
          <w:noProof/>
          <w:color w:val="000000"/>
          <w:kern w:val="0"/>
          <w:szCs w:val="21"/>
        </w:rPr>
        <w:t>) Kaplan–Meier curves showing overall survival of PD-L1 in breast cancer by TCGA database. (</w:t>
      </w:r>
      <w:r w:rsidR="00F04493" w:rsidRPr="00486080">
        <w:rPr>
          <w:rFonts w:cs="Times New Roman"/>
          <w:noProof/>
          <w:color w:val="000000"/>
          <w:kern w:val="0"/>
          <w:szCs w:val="21"/>
        </w:rPr>
        <w:t>E</w:t>
      </w:r>
      <w:r w:rsidRPr="00486080">
        <w:rPr>
          <w:rFonts w:cs="Times New Roman"/>
          <w:noProof/>
          <w:color w:val="000000"/>
          <w:kern w:val="0"/>
          <w:szCs w:val="21"/>
        </w:rPr>
        <w:t xml:space="preserve">) Kaplan–Meier curves showing overall survival of PD-L1 in different types of cancer by TCGA database. </w:t>
      </w:r>
    </w:p>
    <w:p w14:paraId="66DAC5C1" w14:textId="77777777" w:rsidR="00FB46C8" w:rsidRPr="00486080" w:rsidRDefault="00FB46C8" w:rsidP="00EB4F1F">
      <w:pPr>
        <w:rPr>
          <w:rFonts w:eastAsia="Times New Roman" w:cs="Times New Roman"/>
          <w:szCs w:val="21"/>
        </w:rPr>
      </w:pPr>
    </w:p>
    <w:p w14:paraId="649A5CD7" w14:textId="4730C52A" w:rsidR="003C271E" w:rsidRPr="00486080" w:rsidRDefault="003C271E" w:rsidP="00EB4F1F">
      <w:pPr>
        <w:rPr>
          <w:rFonts w:eastAsia="Times New Roman" w:cs="Times New Roman"/>
          <w:szCs w:val="21"/>
        </w:rPr>
      </w:pPr>
      <w:r w:rsidRPr="00486080">
        <w:rPr>
          <w:rFonts w:eastAsia="Times New Roman" w:cs="Times New Roman"/>
          <w:noProof/>
          <w:szCs w:val="21"/>
        </w:rPr>
        <w:lastRenderedPageBreak/>
        <w:drawing>
          <wp:inline distT="0" distB="0" distL="0" distR="0" wp14:anchorId="3508C156" wp14:editId="77933974">
            <wp:extent cx="5270500" cy="7494905"/>
            <wp:effectExtent l="0" t="0" r="1270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figure 2.png"/>
                    <pic:cNvPicPr/>
                  </pic:nvPicPr>
                  <pic:blipFill>
                    <a:blip r:embed="rId5">
                      <a:extLst>
                        <a:ext uri="{28A0092B-C50C-407E-A947-70E740481C1C}">
                          <a14:useLocalDpi xmlns:a14="http://schemas.microsoft.com/office/drawing/2010/main" val="0"/>
                        </a:ext>
                      </a:extLst>
                    </a:blip>
                    <a:stretch>
                      <a:fillRect/>
                    </a:stretch>
                  </pic:blipFill>
                  <pic:spPr>
                    <a:xfrm>
                      <a:off x="0" y="0"/>
                      <a:ext cx="5270500" cy="7494905"/>
                    </a:xfrm>
                    <a:prstGeom prst="rect">
                      <a:avLst/>
                    </a:prstGeom>
                  </pic:spPr>
                </pic:pic>
              </a:graphicData>
            </a:graphic>
          </wp:inline>
        </w:drawing>
      </w:r>
    </w:p>
    <w:p w14:paraId="110319FE" w14:textId="0C782A07" w:rsidR="00EB4F1F" w:rsidRPr="00486080" w:rsidRDefault="00EB4F1F" w:rsidP="00EB4F1F">
      <w:pPr>
        <w:rPr>
          <w:rFonts w:cs="Times New Roman"/>
          <w:noProof/>
          <w:color w:val="000000"/>
          <w:kern w:val="0"/>
          <w:szCs w:val="21"/>
        </w:rPr>
      </w:pPr>
      <w:r w:rsidRPr="00486080">
        <w:rPr>
          <w:rFonts w:cs="Times New Roman"/>
          <w:noProof/>
          <w:color w:val="000000"/>
          <w:kern w:val="0"/>
          <w:szCs w:val="21"/>
        </w:rPr>
        <w:t>Supplementary Figure 2</w:t>
      </w:r>
      <w:r w:rsidR="001F47DD" w:rsidRPr="00486080">
        <w:rPr>
          <w:rFonts w:cs="Times New Roman"/>
          <w:noProof/>
          <w:color w:val="000000"/>
          <w:kern w:val="0"/>
          <w:szCs w:val="21"/>
        </w:rPr>
        <w:t>.</w:t>
      </w:r>
      <w:r w:rsidRPr="00486080">
        <w:rPr>
          <w:rFonts w:cs="Times New Roman"/>
          <w:noProof/>
          <w:color w:val="000000"/>
          <w:kern w:val="0"/>
          <w:szCs w:val="21"/>
        </w:rPr>
        <w:t xml:space="preserve"> (A) Expression of differentially expressed miRNAs between invasive breast cancer and normal breast tissue by TCGA database. (B) Kaplan–Meier curves showing overall survival analysis of differentially expressed miRNAs in breast cancer by TCGA database.</w:t>
      </w:r>
    </w:p>
    <w:p w14:paraId="3F08CDCF" w14:textId="77777777" w:rsidR="00EB4F1F" w:rsidRPr="00486080" w:rsidRDefault="00EB4F1F" w:rsidP="00EB4F1F">
      <w:pPr>
        <w:rPr>
          <w:rFonts w:cs="Times New Roman"/>
          <w:noProof/>
          <w:color w:val="000000"/>
          <w:kern w:val="0"/>
          <w:szCs w:val="21"/>
        </w:rPr>
      </w:pPr>
    </w:p>
    <w:p w14:paraId="66101A1D" w14:textId="77777777" w:rsidR="003C271E" w:rsidRPr="00486080" w:rsidRDefault="003C271E" w:rsidP="00EB4F1F">
      <w:pPr>
        <w:rPr>
          <w:rFonts w:cs="Times New Roman"/>
          <w:szCs w:val="21"/>
        </w:rPr>
      </w:pPr>
    </w:p>
    <w:p w14:paraId="36A5C578" w14:textId="4AECCB82" w:rsidR="00D12A5F" w:rsidRPr="00486080" w:rsidRDefault="00D12A5F" w:rsidP="00EB4F1F">
      <w:pPr>
        <w:rPr>
          <w:rFonts w:eastAsia="Times New Roman" w:cs="Times New Roman"/>
          <w:szCs w:val="21"/>
        </w:rPr>
      </w:pPr>
      <w:r w:rsidRPr="00486080">
        <w:rPr>
          <w:rFonts w:eastAsia="Times New Roman" w:cs="Times New Roman"/>
          <w:noProof/>
          <w:szCs w:val="21"/>
        </w:rPr>
        <w:drawing>
          <wp:inline distT="0" distB="0" distL="0" distR="0" wp14:anchorId="7948261F" wp14:editId="7290B165">
            <wp:extent cx="5270500" cy="3342005"/>
            <wp:effectExtent l="0" t="0" r="12700" b="1079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figure 3.png"/>
                    <pic:cNvPicPr/>
                  </pic:nvPicPr>
                  <pic:blipFill>
                    <a:blip r:embed="rId6">
                      <a:extLst>
                        <a:ext uri="{28A0092B-C50C-407E-A947-70E740481C1C}">
                          <a14:useLocalDpi xmlns:a14="http://schemas.microsoft.com/office/drawing/2010/main" val="0"/>
                        </a:ext>
                      </a:extLst>
                    </a:blip>
                    <a:stretch>
                      <a:fillRect/>
                    </a:stretch>
                  </pic:blipFill>
                  <pic:spPr>
                    <a:xfrm>
                      <a:off x="0" y="0"/>
                      <a:ext cx="5270500" cy="3342005"/>
                    </a:xfrm>
                    <a:prstGeom prst="rect">
                      <a:avLst/>
                    </a:prstGeom>
                  </pic:spPr>
                </pic:pic>
              </a:graphicData>
            </a:graphic>
          </wp:inline>
        </w:drawing>
      </w:r>
    </w:p>
    <w:p w14:paraId="33F25179" w14:textId="5A199A4C" w:rsidR="00D12A5F" w:rsidRPr="0097552B" w:rsidRDefault="00EB4F1F" w:rsidP="00EB4F1F">
      <w:pPr>
        <w:rPr>
          <w:rFonts w:cs="Times New Roman" w:hint="eastAsia"/>
          <w:noProof/>
          <w:color w:val="000000"/>
          <w:kern w:val="0"/>
          <w:szCs w:val="21"/>
        </w:rPr>
      </w:pPr>
      <w:r w:rsidRPr="00486080">
        <w:rPr>
          <w:rFonts w:cs="Times New Roman"/>
          <w:noProof/>
          <w:color w:val="000000"/>
          <w:kern w:val="0"/>
          <w:szCs w:val="21"/>
        </w:rPr>
        <w:t>Supplementary Figure 3</w:t>
      </w:r>
      <w:r w:rsidR="001F47DD" w:rsidRPr="00486080">
        <w:rPr>
          <w:rFonts w:cs="Times New Roman"/>
          <w:noProof/>
          <w:color w:val="000000"/>
          <w:kern w:val="0"/>
          <w:szCs w:val="21"/>
        </w:rPr>
        <w:t>.</w:t>
      </w:r>
      <w:r w:rsidRPr="00486080">
        <w:rPr>
          <w:rFonts w:cs="Times New Roman"/>
          <w:noProof/>
          <w:color w:val="000000"/>
          <w:kern w:val="0"/>
          <w:szCs w:val="21"/>
        </w:rPr>
        <w:t xml:space="preserve"> (A) The transfection efficiency of miR-106b-5p, miR-18a-5p, miR-501-5p and miR-362-5p minics detected by RT-qPCR. (B-C) The levels of miR-106b-5p and miR-18a-5p in MDA-MB-231 cell culture medium before and after treatment with RNase A and Triton X-100 by RT-qPCR. (D) The differential expression of miR-106b-5p and miR-18a-5p in breast cancer cells and sEVs by RT-qPCR.</w:t>
      </w:r>
      <w:r w:rsidR="00D12A5F" w:rsidRPr="00486080">
        <w:rPr>
          <w:rFonts w:cs="Times New Roman"/>
          <w:noProof/>
          <w:color w:val="000000"/>
          <w:kern w:val="0"/>
          <w:szCs w:val="21"/>
        </w:rPr>
        <w:t xml:space="preserve"> (E) The transfection efficiency of si-PTEN was detected by RT-qPCR. (F) The transfection efficiency of si-PIAS3 was detected by RT-qPCR.</w:t>
      </w:r>
      <w:bookmarkStart w:id="0" w:name="_GoBack"/>
      <w:bookmarkEnd w:id="0"/>
    </w:p>
    <w:sectPr w:rsidR="00D12A5F" w:rsidRPr="0097552B" w:rsidSect="00A84FC7">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1BC"/>
    <w:rsid w:val="00000E83"/>
    <w:rsid w:val="00005BF7"/>
    <w:rsid w:val="00017289"/>
    <w:rsid w:val="000262D4"/>
    <w:rsid w:val="00041453"/>
    <w:rsid w:val="000465DC"/>
    <w:rsid w:val="00047DB8"/>
    <w:rsid w:val="00064E5B"/>
    <w:rsid w:val="00085100"/>
    <w:rsid w:val="0008543C"/>
    <w:rsid w:val="000A1F7D"/>
    <w:rsid w:val="000A2661"/>
    <w:rsid w:val="000A74BA"/>
    <w:rsid w:val="000B086A"/>
    <w:rsid w:val="000D086D"/>
    <w:rsid w:val="000D5529"/>
    <w:rsid w:val="000E4536"/>
    <w:rsid w:val="000E49DC"/>
    <w:rsid w:val="00122BD4"/>
    <w:rsid w:val="00123212"/>
    <w:rsid w:val="0013599F"/>
    <w:rsid w:val="0013645E"/>
    <w:rsid w:val="00137A8B"/>
    <w:rsid w:val="00152EFA"/>
    <w:rsid w:val="00154E16"/>
    <w:rsid w:val="001602C4"/>
    <w:rsid w:val="00163F76"/>
    <w:rsid w:val="00165055"/>
    <w:rsid w:val="001736F4"/>
    <w:rsid w:val="00173E4C"/>
    <w:rsid w:val="00175AA0"/>
    <w:rsid w:val="001770B7"/>
    <w:rsid w:val="00181E8D"/>
    <w:rsid w:val="0019771C"/>
    <w:rsid w:val="001B1774"/>
    <w:rsid w:val="001B569C"/>
    <w:rsid w:val="001B792E"/>
    <w:rsid w:val="001C433D"/>
    <w:rsid w:val="001C5407"/>
    <w:rsid w:val="001D152F"/>
    <w:rsid w:val="001E44D0"/>
    <w:rsid w:val="001E56BE"/>
    <w:rsid w:val="001E62C9"/>
    <w:rsid w:val="001E694C"/>
    <w:rsid w:val="001F2699"/>
    <w:rsid w:val="001F26B5"/>
    <w:rsid w:val="001F47DD"/>
    <w:rsid w:val="00201590"/>
    <w:rsid w:val="00202ECE"/>
    <w:rsid w:val="002128D2"/>
    <w:rsid w:val="002130AC"/>
    <w:rsid w:val="0021475C"/>
    <w:rsid w:val="00220128"/>
    <w:rsid w:val="00231AF0"/>
    <w:rsid w:val="00241114"/>
    <w:rsid w:val="00242897"/>
    <w:rsid w:val="002429DD"/>
    <w:rsid w:val="00243B07"/>
    <w:rsid w:val="0024523D"/>
    <w:rsid w:val="00252967"/>
    <w:rsid w:val="00257D00"/>
    <w:rsid w:val="00260AC2"/>
    <w:rsid w:val="00264D77"/>
    <w:rsid w:val="00270DE1"/>
    <w:rsid w:val="00274B5A"/>
    <w:rsid w:val="00275CF3"/>
    <w:rsid w:val="00276F78"/>
    <w:rsid w:val="0028281E"/>
    <w:rsid w:val="00286E04"/>
    <w:rsid w:val="00291A76"/>
    <w:rsid w:val="00292B09"/>
    <w:rsid w:val="002A442D"/>
    <w:rsid w:val="002B2EE0"/>
    <w:rsid w:val="002C006F"/>
    <w:rsid w:val="002D5BB0"/>
    <w:rsid w:val="002F2165"/>
    <w:rsid w:val="002F24BB"/>
    <w:rsid w:val="002F53D9"/>
    <w:rsid w:val="00314B3C"/>
    <w:rsid w:val="00314F9A"/>
    <w:rsid w:val="00331E43"/>
    <w:rsid w:val="003347A8"/>
    <w:rsid w:val="003379F1"/>
    <w:rsid w:val="00346E9E"/>
    <w:rsid w:val="003478B5"/>
    <w:rsid w:val="00347E5E"/>
    <w:rsid w:val="00350146"/>
    <w:rsid w:val="0038164C"/>
    <w:rsid w:val="00387627"/>
    <w:rsid w:val="003931B6"/>
    <w:rsid w:val="00396B69"/>
    <w:rsid w:val="003A1448"/>
    <w:rsid w:val="003A1CB3"/>
    <w:rsid w:val="003B3984"/>
    <w:rsid w:val="003B7B8F"/>
    <w:rsid w:val="003C01E5"/>
    <w:rsid w:val="003C271E"/>
    <w:rsid w:val="003E1196"/>
    <w:rsid w:val="003E16E0"/>
    <w:rsid w:val="003E76F1"/>
    <w:rsid w:val="003E7FD5"/>
    <w:rsid w:val="00402E67"/>
    <w:rsid w:val="00404ECC"/>
    <w:rsid w:val="00406E73"/>
    <w:rsid w:val="00420177"/>
    <w:rsid w:val="00420894"/>
    <w:rsid w:val="00424FD7"/>
    <w:rsid w:val="00427148"/>
    <w:rsid w:val="00431B05"/>
    <w:rsid w:val="00433E15"/>
    <w:rsid w:val="0044198D"/>
    <w:rsid w:val="00454FBC"/>
    <w:rsid w:val="00464459"/>
    <w:rsid w:val="00474E2A"/>
    <w:rsid w:val="00486080"/>
    <w:rsid w:val="00494184"/>
    <w:rsid w:val="004952D7"/>
    <w:rsid w:val="004A1FAF"/>
    <w:rsid w:val="004A6743"/>
    <w:rsid w:val="004B25FA"/>
    <w:rsid w:val="004C3963"/>
    <w:rsid w:val="004C3C29"/>
    <w:rsid w:val="004D24C7"/>
    <w:rsid w:val="004F0DE3"/>
    <w:rsid w:val="00503B3A"/>
    <w:rsid w:val="00506893"/>
    <w:rsid w:val="00512C93"/>
    <w:rsid w:val="00514ACE"/>
    <w:rsid w:val="00523F7C"/>
    <w:rsid w:val="005256A2"/>
    <w:rsid w:val="00541694"/>
    <w:rsid w:val="00545F2A"/>
    <w:rsid w:val="0054690E"/>
    <w:rsid w:val="00564E23"/>
    <w:rsid w:val="005710BD"/>
    <w:rsid w:val="00575010"/>
    <w:rsid w:val="00575023"/>
    <w:rsid w:val="00575F91"/>
    <w:rsid w:val="00576598"/>
    <w:rsid w:val="0058369F"/>
    <w:rsid w:val="00585F64"/>
    <w:rsid w:val="005916CD"/>
    <w:rsid w:val="00592F69"/>
    <w:rsid w:val="005A370C"/>
    <w:rsid w:val="005A50AD"/>
    <w:rsid w:val="005B04B3"/>
    <w:rsid w:val="005B1CA7"/>
    <w:rsid w:val="005B329E"/>
    <w:rsid w:val="005D3A45"/>
    <w:rsid w:val="005E22E6"/>
    <w:rsid w:val="005E60BD"/>
    <w:rsid w:val="005F3680"/>
    <w:rsid w:val="00602722"/>
    <w:rsid w:val="00603241"/>
    <w:rsid w:val="00604C88"/>
    <w:rsid w:val="00607C3E"/>
    <w:rsid w:val="00611CC8"/>
    <w:rsid w:val="00617608"/>
    <w:rsid w:val="00623D65"/>
    <w:rsid w:val="006409C1"/>
    <w:rsid w:val="00647487"/>
    <w:rsid w:val="0065261C"/>
    <w:rsid w:val="00653735"/>
    <w:rsid w:val="006621CA"/>
    <w:rsid w:val="00662B14"/>
    <w:rsid w:val="0066580C"/>
    <w:rsid w:val="00681B45"/>
    <w:rsid w:val="00681FD1"/>
    <w:rsid w:val="0068503A"/>
    <w:rsid w:val="00690560"/>
    <w:rsid w:val="00691E16"/>
    <w:rsid w:val="006A0AD7"/>
    <w:rsid w:val="006B14D5"/>
    <w:rsid w:val="006B261C"/>
    <w:rsid w:val="006B5479"/>
    <w:rsid w:val="006C5068"/>
    <w:rsid w:val="006D316F"/>
    <w:rsid w:val="006D3A16"/>
    <w:rsid w:val="006D4587"/>
    <w:rsid w:val="006D685D"/>
    <w:rsid w:val="006D7BA6"/>
    <w:rsid w:val="006E3ACE"/>
    <w:rsid w:val="006E480E"/>
    <w:rsid w:val="006E5CBA"/>
    <w:rsid w:val="006E60A6"/>
    <w:rsid w:val="006F13BF"/>
    <w:rsid w:val="006F4549"/>
    <w:rsid w:val="0071716A"/>
    <w:rsid w:val="00726E8E"/>
    <w:rsid w:val="007361AC"/>
    <w:rsid w:val="0074069F"/>
    <w:rsid w:val="00755EEC"/>
    <w:rsid w:val="007572B4"/>
    <w:rsid w:val="007576A7"/>
    <w:rsid w:val="00774AB8"/>
    <w:rsid w:val="007769E8"/>
    <w:rsid w:val="00776F35"/>
    <w:rsid w:val="00776F9F"/>
    <w:rsid w:val="00780DA9"/>
    <w:rsid w:val="00781583"/>
    <w:rsid w:val="00781929"/>
    <w:rsid w:val="00797860"/>
    <w:rsid w:val="007B6C9E"/>
    <w:rsid w:val="007C31FF"/>
    <w:rsid w:val="007C4BC6"/>
    <w:rsid w:val="007C6B0C"/>
    <w:rsid w:val="007C711C"/>
    <w:rsid w:val="007D3607"/>
    <w:rsid w:val="007D53BE"/>
    <w:rsid w:val="007E273F"/>
    <w:rsid w:val="00803268"/>
    <w:rsid w:val="00810F7D"/>
    <w:rsid w:val="0081494A"/>
    <w:rsid w:val="00825CEE"/>
    <w:rsid w:val="00840220"/>
    <w:rsid w:val="0084166C"/>
    <w:rsid w:val="0084208D"/>
    <w:rsid w:val="00850841"/>
    <w:rsid w:val="008634DD"/>
    <w:rsid w:val="008644FB"/>
    <w:rsid w:val="00892AF0"/>
    <w:rsid w:val="00893096"/>
    <w:rsid w:val="008A0F36"/>
    <w:rsid w:val="008A3B4E"/>
    <w:rsid w:val="008B3EB5"/>
    <w:rsid w:val="008B45AF"/>
    <w:rsid w:val="008B7ABE"/>
    <w:rsid w:val="008C56A2"/>
    <w:rsid w:val="008C6CF0"/>
    <w:rsid w:val="008D0930"/>
    <w:rsid w:val="008D653E"/>
    <w:rsid w:val="008E077D"/>
    <w:rsid w:val="008E21BD"/>
    <w:rsid w:val="008F7F17"/>
    <w:rsid w:val="00901753"/>
    <w:rsid w:val="009030D4"/>
    <w:rsid w:val="00907085"/>
    <w:rsid w:val="0091339C"/>
    <w:rsid w:val="009173FE"/>
    <w:rsid w:val="00917B24"/>
    <w:rsid w:val="00921547"/>
    <w:rsid w:val="00921AC8"/>
    <w:rsid w:val="009467BC"/>
    <w:rsid w:val="00947608"/>
    <w:rsid w:val="00953418"/>
    <w:rsid w:val="00953ADB"/>
    <w:rsid w:val="009724B3"/>
    <w:rsid w:val="0097528A"/>
    <w:rsid w:val="0097552B"/>
    <w:rsid w:val="00984E27"/>
    <w:rsid w:val="00986AAD"/>
    <w:rsid w:val="0099612F"/>
    <w:rsid w:val="009B242F"/>
    <w:rsid w:val="009C1689"/>
    <w:rsid w:val="009D40EE"/>
    <w:rsid w:val="009D6EF0"/>
    <w:rsid w:val="009F33FA"/>
    <w:rsid w:val="00A022AD"/>
    <w:rsid w:val="00A04E43"/>
    <w:rsid w:val="00A105F4"/>
    <w:rsid w:val="00A12EE2"/>
    <w:rsid w:val="00A22A59"/>
    <w:rsid w:val="00A234C0"/>
    <w:rsid w:val="00A23BA3"/>
    <w:rsid w:val="00A24AF8"/>
    <w:rsid w:val="00A31FA7"/>
    <w:rsid w:val="00A539FE"/>
    <w:rsid w:val="00A54981"/>
    <w:rsid w:val="00A554FB"/>
    <w:rsid w:val="00A73BC6"/>
    <w:rsid w:val="00A84FC7"/>
    <w:rsid w:val="00A851BC"/>
    <w:rsid w:val="00A85CD3"/>
    <w:rsid w:val="00A877FE"/>
    <w:rsid w:val="00A93679"/>
    <w:rsid w:val="00A955F9"/>
    <w:rsid w:val="00AB424D"/>
    <w:rsid w:val="00AB572D"/>
    <w:rsid w:val="00AC20AE"/>
    <w:rsid w:val="00AC2B4B"/>
    <w:rsid w:val="00AC2CFB"/>
    <w:rsid w:val="00AC5E58"/>
    <w:rsid w:val="00AD14DA"/>
    <w:rsid w:val="00AD16FE"/>
    <w:rsid w:val="00AD1E22"/>
    <w:rsid w:val="00AE1B4F"/>
    <w:rsid w:val="00AE457F"/>
    <w:rsid w:val="00AF32C2"/>
    <w:rsid w:val="00B06471"/>
    <w:rsid w:val="00B12CB9"/>
    <w:rsid w:val="00B14791"/>
    <w:rsid w:val="00B30E5F"/>
    <w:rsid w:val="00B41B79"/>
    <w:rsid w:val="00B5251C"/>
    <w:rsid w:val="00B553D0"/>
    <w:rsid w:val="00B628BD"/>
    <w:rsid w:val="00B63DF0"/>
    <w:rsid w:val="00B73C75"/>
    <w:rsid w:val="00BA0314"/>
    <w:rsid w:val="00BA23D9"/>
    <w:rsid w:val="00BA2DF1"/>
    <w:rsid w:val="00BB0381"/>
    <w:rsid w:val="00BB2E75"/>
    <w:rsid w:val="00BB5C3D"/>
    <w:rsid w:val="00BC0F94"/>
    <w:rsid w:val="00BC5A50"/>
    <w:rsid w:val="00BD10E5"/>
    <w:rsid w:val="00BD1FA8"/>
    <w:rsid w:val="00BE2A96"/>
    <w:rsid w:val="00BE733B"/>
    <w:rsid w:val="00BF3229"/>
    <w:rsid w:val="00C17C66"/>
    <w:rsid w:val="00C24BD0"/>
    <w:rsid w:val="00C2624C"/>
    <w:rsid w:val="00C2698F"/>
    <w:rsid w:val="00C328E3"/>
    <w:rsid w:val="00C346FF"/>
    <w:rsid w:val="00C361AD"/>
    <w:rsid w:val="00C378D9"/>
    <w:rsid w:val="00C621ED"/>
    <w:rsid w:val="00C63E54"/>
    <w:rsid w:val="00C6401E"/>
    <w:rsid w:val="00C6711E"/>
    <w:rsid w:val="00C70273"/>
    <w:rsid w:val="00C740F8"/>
    <w:rsid w:val="00C7413B"/>
    <w:rsid w:val="00C7646B"/>
    <w:rsid w:val="00C77A0B"/>
    <w:rsid w:val="00C94FBB"/>
    <w:rsid w:val="00C953D9"/>
    <w:rsid w:val="00CA4E30"/>
    <w:rsid w:val="00CD3BD3"/>
    <w:rsid w:val="00CD3C6F"/>
    <w:rsid w:val="00CD5DC5"/>
    <w:rsid w:val="00CE025C"/>
    <w:rsid w:val="00CE5B1E"/>
    <w:rsid w:val="00CF637C"/>
    <w:rsid w:val="00D12A5F"/>
    <w:rsid w:val="00D135D5"/>
    <w:rsid w:val="00D31F05"/>
    <w:rsid w:val="00D33035"/>
    <w:rsid w:val="00D43C5E"/>
    <w:rsid w:val="00D43F7A"/>
    <w:rsid w:val="00D46BC4"/>
    <w:rsid w:val="00D518D2"/>
    <w:rsid w:val="00D55324"/>
    <w:rsid w:val="00D6057F"/>
    <w:rsid w:val="00D62387"/>
    <w:rsid w:val="00D80236"/>
    <w:rsid w:val="00DA04EA"/>
    <w:rsid w:val="00DA5A94"/>
    <w:rsid w:val="00DA5E53"/>
    <w:rsid w:val="00DB58DE"/>
    <w:rsid w:val="00DF2161"/>
    <w:rsid w:val="00E04D73"/>
    <w:rsid w:val="00E11473"/>
    <w:rsid w:val="00E128F9"/>
    <w:rsid w:val="00E21416"/>
    <w:rsid w:val="00E31DFD"/>
    <w:rsid w:val="00E47D6C"/>
    <w:rsid w:val="00E50C3E"/>
    <w:rsid w:val="00E71A6F"/>
    <w:rsid w:val="00E81201"/>
    <w:rsid w:val="00E817AC"/>
    <w:rsid w:val="00E81803"/>
    <w:rsid w:val="00E87481"/>
    <w:rsid w:val="00E91A08"/>
    <w:rsid w:val="00EA05FD"/>
    <w:rsid w:val="00EA1C1C"/>
    <w:rsid w:val="00EA3C24"/>
    <w:rsid w:val="00EA585B"/>
    <w:rsid w:val="00EB0C5F"/>
    <w:rsid w:val="00EB256C"/>
    <w:rsid w:val="00EB45C7"/>
    <w:rsid w:val="00EB4F1F"/>
    <w:rsid w:val="00EB680C"/>
    <w:rsid w:val="00EC128B"/>
    <w:rsid w:val="00EC2D6B"/>
    <w:rsid w:val="00ED0AAA"/>
    <w:rsid w:val="00ED7FAA"/>
    <w:rsid w:val="00EE3D01"/>
    <w:rsid w:val="00EE5106"/>
    <w:rsid w:val="00EF4916"/>
    <w:rsid w:val="00F00B5F"/>
    <w:rsid w:val="00F03633"/>
    <w:rsid w:val="00F04493"/>
    <w:rsid w:val="00F16380"/>
    <w:rsid w:val="00F50BA9"/>
    <w:rsid w:val="00F5426D"/>
    <w:rsid w:val="00F55A8F"/>
    <w:rsid w:val="00F615B1"/>
    <w:rsid w:val="00F637F0"/>
    <w:rsid w:val="00F705D4"/>
    <w:rsid w:val="00F74657"/>
    <w:rsid w:val="00F75DE6"/>
    <w:rsid w:val="00F8182F"/>
    <w:rsid w:val="00F93BB2"/>
    <w:rsid w:val="00FA143E"/>
    <w:rsid w:val="00FB46C8"/>
    <w:rsid w:val="00FC55F6"/>
    <w:rsid w:val="00FC7BBA"/>
    <w:rsid w:val="00FD768F"/>
    <w:rsid w:val="00FE1135"/>
    <w:rsid w:val="00FF5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3E821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EB4F1F"/>
    <w:pPr>
      <w:widowControl w:val="0"/>
      <w:jc w:val="both"/>
    </w:pPr>
    <w:rPr>
      <w:rFonts w:ascii="Times New Roman" w:eastAsia="宋体" w:hAnsi="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EB4F1F"/>
    <w:rPr>
      <w:rFonts w:ascii="宋体"/>
      <w:sz w:val="24"/>
    </w:rPr>
  </w:style>
  <w:style w:type="character" w:customStyle="1" w:styleId="a4">
    <w:name w:val="文档结构图字符"/>
    <w:basedOn w:val="a0"/>
    <w:link w:val="a3"/>
    <w:uiPriority w:val="99"/>
    <w:semiHidden/>
    <w:rsid w:val="00EB4F1F"/>
    <w:rPr>
      <w:rFonts w:ascii="宋体" w:eastAsia="宋体" w:hAnsi="Times New Roman"/>
    </w:rPr>
  </w:style>
  <w:style w:type="paragraph" w:customStyle="1" w:styleId="MDPI31text">
    <w:name w:val="MDPI_3.1_text"/>
    <w:qFormat/>
    <w:rsid w:val="00F04493"/>
    <w:pPr>
      <w:adjustRightInd w:val="0"/>
      <w:snapToGrid w:val="0"/>
      <w:spacing w:line="228" w:lineRule="auto"/>
      <w:ind w:left="2608" w:firstLine="425"/>
      <w:jc w:val="both"/>
    </w:pPr>
    <w:rPr>
      <w:rFonts w:ascii="Palatino Linotype" w:eastAsia="Times New Roman" w:hAnsi="Palatino Linotype" w:cs="Times New Roman"/>
      <w:snapToGrid w:val="0"/>
      <w:color w:val="000000"/>
      <w:kern w:val="0"/>
      <w:sz w:val="20"/>
      <w:szCs w:val="22"/>
      <w:lang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0563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186</Words>
  <Characters>1061</Characters>
  <Application>Microsoft Macintosh Word</Application>
  <DocSecurity>0</DocSecurity>
  <Lines>8</Lines>
  <Paragraphs>2</Paragraphs>
  <ScaleCrop>false</ScaleCrop>
  <HeadingPairs>
    <vt:vector size="4" baseType="variant">
      <vt:variant>
        <vt:lpstr>标题</vt:lpstr>
      </vt:variant>
      <vt:variant>
        <vt:i4>1</vt:i4>
      </vt:variant>
      <vt:variant>
        <vt:lpstr>Headings</vt:lpstr>
      </vt:variant>
      <vt:variant>
        <vt:i4>1</vt:i4>
      </vt:variant>
    </vt:vector>
  </HeadingPairs>
  <TitlesOfParts>
    <vt:vector size="2" baseType="lpstr">
      <vt:lpstr/>
      <vt:lpstr>Supplementary Table 1 Clinical data of patients in sequencing group</vt:lpstr>
    </vt:vector>
  </TitlesOfParts>
  <LinksUpToDate>false</LinksUpToDate>
  <CharactersWithSpaces>1245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953544227@qq.com</dc:creator>
  <cp:keywords/>
  <dc:description/>
  <cp:lastModifiedBy>953544227@qq.com</cp:lastModifiedBy>
  <cp:revision>7</cp:revision>
  <dcterms:created xsi:type="dcterms:W3CDTF">2023-02-27T10:53:00Z</dcterms:created>
  <dcterms:modified xsi:type="dcterms:W3CDTF">2023-04-16T10:09:00Z</dcterms:modified>
</cp:coreProperties>
</file>