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F4A" w:rsidRDefault="00A26F4A" w:rsidP="00A26F4A">
      <w:pPr>
        <w:widowControl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A26F4A" w:rsidRDefault="00A26F4A" w:rsidP="00A26F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02F49DDE" wp14:editId="7D590D56">
            <wp:extent cx="5268595" cy="3516630"/>
            <wp:effectExtent l="0" t="0" r="190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1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F4A" w:rsidRDefault="00A26F4A" w:rsidP="00A26F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Hierarchical clustering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 TCGA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glioma samples.</w:t>
      </w:r>
    </w:p>
    <w:p w:rsidR="00A26F4A" w:rsidRDefault="00A26F4A" w:rsidP="00A26F4A">
      <w:pPr>
        <w:rPr>
          <w:rFonts w:ascii="Times New Roman" w:hAnsi="Times New Roman" w:cs="Times New Roman"/>
        </w:rPr>
      </w:pPr>
      <w:r>
        <w:rPr>
          <w:noProof/>
          <w:lang w:val="en-US" w:eastAsia="en-US"/>
        </w:rPr>
        <w:drawing>
          <wp:inline distT="0" distB="0" distL="0" distR="0" wp14:anchorId="5C618538" wp14:editId="2440922F">
            <wp:extent cx="5274310" cy="1657350"/>
            <wp:effectExtent l="0" t="0" r="889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F4A" w:rsidRDefault="00A26F4A" w:rsidP="00A26F4A">
      <w:pPr>
        <w:rPr>
          <w:rFonts w:ascii="Times New Roman" w:hAnsi="Times New Roman" w:cs="Times New Roman"/>
          <w:sz w:val="24"/>
          <w:szCs w:val="24"/>
        </w:rPr>
      </w:pPr>
      <w:bookmarkStart w:id="1" w:name="OLE_LINK41"/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TCGA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cohort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was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classified into high- and low-scoring subgroups according to the 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m6A/m5C/m1A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score of each type.</w:t>
      </w:r>
    </w:p>
    <w:p w:rsidR="00A26F4A" w:rsidRDefault="00A26F4A" w:rsidP="00A26F4A">
      <w:pPr>
        <w:suppressAutoHyphens/>
        <w:rPr>
          <w:rFonts w:ascii="Times New Roman" w:eastAsia="Microsoft YaHei" w:hAnsi="Times New Roman" w:cs="Times New Roman"/>
          <w:color w:val="000000"/>
          <w:spacing w:val="15"/>
          <w:sz w:val="23"/>
          <w:szCs w:val="23"/>
        </w:rPr>
      </w:pPr>
      <w:r>
        <w:rPr>
          <w:rFonts w:ascii="Times New Roman" w:eastAsia="Microsoft YaHei" w:hAnsi="Times New Roman" w:cs="Times New Roman"/>
          <w:noProof/>
          <w:color w:val="000000"/>
          <w:spacing w:val="15"/>
          <w:sz w:val="23"/>
          <w:szCs w:val="23"/>
          <w:lang w:val="en-US" w:eastAsia="en-US"/>
        </w:rPr>
        <w:lastRenderedPageBreak/>
        <w:drawing>
          <wp:inline distT="0" distB="0" distL="114300" distR="114300" wp14:anchorId="5C34CA92" wp14:editId="704C3766">
            <wp:extent cx="5267960" cy="3522345"/>
            <wp:effectExtent l="0" t="0" r="2540" b="8255"/>
            <wp:docPr id="16" name="图片 16" descr="Supplementa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Supplementary Fig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52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F4A" w:rsidRDefault="00A26F4A" w:rsidP="00A26F4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Differences in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clinical characteristics in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the methylation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score group.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Including (A) Age, (B) Gender, (C) Treatment, and (D) Project.</w:t>
      </w:r>
    </w:p>
    <w:p w:rsidR="00A26F4A" w:rsidRDefault="00A26F4A" w:rsidP="00A26F4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A26F4A" w:rsidRDefault="00A26F4A" w:rsidP="00A26F4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26F4A" w:rsidRDefault="00A26F4A" w:rsidP="00A26F4A">
      <w:pPr>
        <w:rPr>
          <w:rFonts w:ascii="Times New Roman" w:hAnsi="Times New Roman" w:cs="Times New Roman"/>
        </w:rPr>
      </w:pPr>
      <w:r>
        <w:rPr>
          <w:rFonts w:hint="eastAsia"/>
          <w:noProof/>
          <w:lang w:val="en-US" w:eastAsia="en-US"/>
        </w:rPr>
        <w:drawing>
          <wp:inline distT="0" distB="0" distL="114300" distR="114300" wp14:anchorId="36F647A1" wp14:editId="2126C3D5">
            <wp:extent cx="5269865" cy="4397375"/>
            <wp:effectExtent l="0" t="0" r="635" b="9525"/>
            <wp:docPr id="17" name="图片 17" descr="Supplementary 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Supplementary Fig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F4A" w:rsidRDefault="00A26F4A" w:rsidP="00A26F4A">
      <w:pPr>
        <w:rPr>
          <w:rFonts w:ascii="Times New Roman" w:hAnsi="Times New Roman" w:cs="Times New Roman"/>
          <w:sz w:val="24"/>
          <w:szCs w:val="24"/>
        </w:rPr>
      </w:pPr>
      <w:bookmarkStart w:id="2" w:name="OLE_LINK73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Figure S4. The discrepancies of risk score in different status of known biomarkers for glioma.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 xml:space="preserve">(A) </w:t>
      </w:r>
      <w:r>
        <w:rPr>
          <w:rFonts w:ascii="Times New Roman" w:hAnsi="Times New Roman" w:cs="Times New Roman"/>
          <w:b/>
          <w:bCs/>
          <w:sz w:val="24"/>
          <w:szCs w:val="24"/>
        </w:rPr>
        <w:t>Kaplan‒Meier survival curves of GBM patients and LGG patients in the prognostic model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 xml:space="preserve">. (B)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MGMT status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IDH status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1p19q status. </w:t>
      </w:r>
    </w:p>
    <w:bookmarkEnd w:id="2"/>
    <w:p w:rsidR="00A26F4A" w:rsidRDefault="00A26F4A" w:rsidP="00A26F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US" w:eastAsia="en-US"/>
        </w:rPr>
        <w:lastRenderedPageBreak/>
        <w:drawing>
          <wp:inline distT="0" distB="0" distL="114300" distR="114300" wp14:anchorId="67337BC6" wp14:editId="3D203A04">
            <wp:extent cx="5269865" cy="7178040"/>
            <wp:effectExtent l="0" t="0" r="635" b="10160"/>
            <wp:docPr id="19" name="图片 19" descr="Supplementary Fig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Supplementary Fig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7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F4A" w:rsidRDefault="00A26F4A" w:rsidP="00A26F4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S5. Analysis of two key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lncRNAs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(A) The key RNA methylation-related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lncRNA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associated regulatory network through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LncBook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database. </w:t>
      </w:r>
      <w:bookmarkStart w:id="3" w:name="OLE_LINK18"/>
      <w:r>
        <w:rPr>
          <w:rFonts w:ascii="Times New Roman" w:hAnsi="Times New Roman" w:cs="Times New Roman"/>
          <w:b/>
          <w:bCs/>
          <w:sz w:val="24"/>
          <w:szCs w:val="24"/>
        </w:rPr>
        <w:t>(B)</w:t>
      </w:r>
      <w:bookmarkEnd w:id="3"/>
      <w:r>
        <w:rPr>
          <w:rFonts w:ascii="Times New Roman" w:hAnsi="Times New Roman" w:cs="Times New Roman"/>
          <w:b/>
          <w:bCs/>
          <w:sz w:val="24"/>
          <w:szCs w:val="24"/>
        </w:rPr>
        <w:t xml:space="preserve"> The survival analysis of high- and low-expression groups of RP11-98I9.4 and RP11-752G15.8. (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expression of two key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lncRNAs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in GBM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b/>
          <w:bCs/>
          <w:sz w:val="24"/>
          <w:szCs w:val="24"/>
        </w:rPr>
        <w:t>in LGG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.</w:t>
      </w:r>
    </w:p>
    <w:p w:rsidR="00A26F4A" w:rsidRDefault="00A26F4A" w:rsidP="00A26F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 w:eastAsia="en-US"/>
        </w:rPr>
        <w:lastRenderedPageBreak/>
        <w:drawing>
          <wp:inline distT="0" distB="0" distL="114300" distR="114300" wp14:anchorId="185E7230" wp14:editId="7A4F60E5">
            <wp:extent cx="5271135" cy="6649720"/>
            <wp:effectExtent l="0" t="0" r="12065" b="5080"/>
            <wp:docPr id="20" name="图片 20" descr="Supplementary Figure 3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Supplementary Figure 3_画板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64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F4A" w:rsidRDefault="00A26F4A" w:rsidP="00A26F4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6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differences in IC50 between the </w:t>
      </w:r>
      <w:bookmarkStart w:id="4" w:name="OLE_LINK43"/>
      <w:r>
        <w:rPr>
          <w:rFonts w:ascii="Times New Roman" w:hAnsi="Times New Roman" w:cs="Times New Roman"/>
          <w:b/>
          <w:bCs/>
          <w:sz w:val="24"/>
          <w:szCs w:val="24"/>
        </w:rPr>
        <w:t>two risk groups</w:t>
      </w:r>
      <w:bookmarkEnd w:id="4"/>
      <w:r>
        <w:rPr>
          <w:rFonts w:ascii="Times New Roman" w:hAnsi="Times New Roman" w:cs="Times New Roman"/>
          <w:b/>
          <w:bCs/>
          <w:sz w:val="24"/>
          <w:szCs w:val="24"/>
        </w:rPr>
        <w:t xml:space="preserve"> for the remaining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ninety-seven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small molecule compounds/drugs.</w:t>
      </w:r>
    </w:p>
    <w:p w:rsidR="00A26F4A" w:rsidRDefault="00A26F4A" w:rsidP="00A26F4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lastRenderedPageBreak/>
        <w:drawing>
          <wp:inline distT="0" distB="0" distL="114300" distR="114300" wp14:anchorId="524519A4" wp14:editId="3FF58A82">
            <wp:extent cx="5267960" cy="5878195"/>
            <wp:effectExtent l="0" t="0" r="2540" b="1905"/>
            <wp:docPr id="21" name="图片 21" descr="Supplementary Fig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Supplementary Figur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8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92C" w:rsidRPr="00A26F4A" w:rsidRDefault="00A26F4A" w:rsidP="00A26F4A"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S7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 GO and KEGG enrichment analysis of the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predicted miRNA-mRNA of two key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4"/>
        </w:rPr>
        <w:t>lncRNAs</w:t>
      </w:r>
      <w:proofErr w:type="spellEnd"/>
      <w:r>
        <w:rPr>
          <w:rFonts w:ascii="Times New Roman" w:hAnsi="Times New Roman" w:cs="Times New Roman" w:hint="eastAsia"/>
          <w:b/>
          <w:bCs/>
          <w:sz w:val="24"/>
          <w:szCs w:val="24"/>
        </w:rPr>
        <w:t>. (A ) Top significantly enriched GO terms of RP11-752G15.8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B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) KEGG pathway enrichment analysis of RP11-752G15.8. (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C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) Top significantly enriched GO terms of RP11-98I9.4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D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) KEGG pathway enrichment analysis of RP11-98I9.4.</w:t>
      </w:r>
      <w:bookmarkEnd w:id="0"/>
    </w:p>
    <w:sectPr w:rsidR="0042592C" w:rsidRPr="00A26F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EE5"/>
    <w:rsid w:val="00063810"/>
    <w:rsid w:val="000F2C83"/>
    <w:rsid w:val="00123405"/>
    <w:rsid w:val="00123790"/>
    <w:rsid w:val="00127827"/>
    <w:rsid w:val="00173A94"/>
    <w:rsid w:val="00182BF3"/>
    <w:rsid w:val="001E2C85"/>
    <w:rsid w:val="00222232"/>
    <w:rsid w:val="002A376D"/>
    <w:rsid w:val="00370E02"/>
    <w:rsid w:val="003D2230"/>
    <w:rsid w:val="003E75F6"/>
    <w:rsid w:val="0042592C"/>
    <w:rsid w:val="00480B1F"/>
    <w:rsid w:val="00486AAC"/>
    <w:rsid w:val="0059514C"/>
    <w:rsid w:val="005B1A92"/>
    <w:rsid w:val="005D4FB2"/>
    <w:rsid w:val="007448DF"/>
    <w:rsid w:val="0075504C"/>
    <w:rsid w:val="00764629"/>
    <w:rsid w:val="007B5802"/>
    <w:rsid w:val="007C1098"/>
    <w:rsid w:val="007D6538"/>
    <w:rsid w:val="00836A25"/>
    <w:rsid w:val="00852DCC"/>
    <w:rsid w:val="008B7616"/>
    <w:rsid w:val="009325CC"/>
    <w:rsid w:val="00935AA4"/>
    <w:rsid w:val="00940C5E"/>
    <w:rsid w:val="00964CB9"/>
    <w:rsid w:val="0097692B"/>
    <w:rsid w:val="00990A49"/>
    <w:rsid w:val="009C2888"/>
    <w:rsid w:val="00A01D54"/>
    <w:rsid w:val="00A26F4A"/>
    <w:rsid w:val="00A94708"/>
    <w:rsid w:val="00AB61BF"/>
    <w:rsid w:val="00AD208E"/>
    <w:rsid w:val="00B13936"/>
    <w:rsid w:val="00B1656E"/>
    <w:rsid w:val="00B33BE7"/>
    <w:rsid w:val="00B57F8B"/>
    <w:rsid w:val="00BB5EE5"/>
    <w:rsid w:val="00BF55BC"/>
    <w:rsid w:val="00C02629"/>
    <w:rsid w:val="00C34CAE"/>
    <w:rsid w:val="00D75E1A"/>
    <w:rsid w:val="00EB47A9"/>
    <w:rsid w:val="00F04682"/>
    <w:rsid w:val="00F20DF4"/>
    <w:rsid w:val="00F25A56"/>
    <w:rsid w:val="00F610CD"/>
    <w:rsid w:val="00F6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E1047D-F294-43E6-B0A0-DC2BEBB0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F4A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Poornima Thiruvudaiselvi</dc:creator>
  <cp:keywords/>
  <dc:description/>
  <cp:lastModifiedBy>Poornima Thiruvudaiselvi</cp:lastModifiedBy>
  <cp:revision>2</cp:revision>
  <dcterms:created xsi:type="dcterms:W3CDTF">2023-07-26T06:45:00Z</dcterms:created>
  <dcterms:modified xsi:type="dcterms:W3CDTF">2023-07-26T06:45:00Z</dcterms:modified>
</cp:coreProperties>
</file>