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B39C2" w14:textId="5B0680DC" w:rsidR="00B92441" w:rsidRPr="00FB20E9" w:rsidRDefault="00B92441" w:rsidP="00B92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73EB04" wp14:editId="73B75360">
            <wp:extent cx="5262245" cy="43478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45" cy="434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3A506" w14:textId="77777777" w:rsidR="00B92441" w:rsidRPr="00FB20E9" w:rsidRDefault="00B92441" w:rsidP="00B9244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20E9">
        <w:rPr>
          <w:rFonts w:ascii="Times New Roman" w:hAnsi="Times New Roman" w:cs="Times New Roman"/>
          <w:b/>
          <w:bCs/>
          <w:sz w:val="24"/>
          <w:szCs w:val="24"/>
        </w:rPr>
        <w:t xml:space="preserve">Additional file 8: Figure S4. </w:t>
      </w:r>
      <w:r w:rsidRPr="00FB20E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CDK5</w:t>
      </w:r>
      <w:r w:rsidRPr="00FB20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is a potential </w:t>
      </w:r>
      <w:r w:rsidRPr="00FB20E9">
        <w:rPr>
          <w:rFonts w:ascii="Times New Roman" w:eastAsia="DengXian" w:hAnsi="Times New Roman" w:cs="Times New Roman"/>
          <w:b/>
          <w:bCs/>
          <w:color w:val="000000"/>
          <w:sz w:val="24"/>
          <w:szCs w:val="24"/>
        </w:rPr>
        <w:t>proapoptotic</w:t>
      </w:r>
      <w:r w:rsidRPr="00FB20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gene in gastric cancer</w:t>
      </w:r>
    </w:p>
    <w:p w14:paraId="08DEBBBD" w14:textId="77777777" w:rsidR="00B92441" w:rsidRPr="00FB20E9" w:rsidRDefault="00B92441" w:rsidP="00B924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20E9">
        <w:rPr>
          <w:rFonts w:ascii="Times New Roman" w:hAnsi="Times New Roman" w:cs="Times New Roman"/>
          <w:sz w:val="24"/>
          <w:szCs w:val="24"/>
        </w:rPr>
        <w:t xml:space="preserve">(A and B) </w:t>
      </w:r>
      <w:r w:rsidRPr="00FB20E9">
        <w:rPr>
          <w:rFonts w:ascii="Times New Roman" w:eastAsia="DengXian" w:hAnsi="Times New Roman" w:cs="Times New Roman"/>
          <w:color w:val="000000"/>
          <w:sz w:val="24"/>
          <w:szCs w:val="24"/>
        </w:rPr>
        <w:t>DEG</w:t>
      </w:r>
      <w:r w:rsidRPr="00FB2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analysis of the apoptotic phenotypes was performed in</w:t>
      </w:r>
      <w:r w:rsidRPr="00FB20E9">
        <w:rPr>
          <w:rFonts w:ascii="Times New Roman" w:eastAsia="DengXian" w:hAnsi="Times New Roman" w:cs="Times New Roman"/>
          <w:color w:val="000000"/>
          <w:sz w:val="24"/>
          <w:szCs w:val="24"/>
        </w:rPr>
        <w:t xml:space="preserve"> the</w:t>
      </w:r>
      <w:r w:rsidRPr="00FB2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TCGA, ACRG, and GSE26942 cohorts</w:t>
      </w:r>
      <w:r w:rsidRPr="00FB20E9">
        <w:rPr>
          <w:rFonts w:ascii="Times New Roman" w:hAnsi="Times New Roman" w:cs="Times New Roman"/>
          <w:sz w:val="24"/>
          <w:szCs w:val="24"/>
        </w:rPr>
        <w:t xml:space="preserve">. Panel A </w:t>
      </w:r>
      <w:r w:rsidRPr="00FB20E9">
        <w:rPr>
          <w:rFonts w:ascii="Times New Roman" w:eastAsia="DengXian" w:hAnsi="Times New Roman" w:cs="Times New Roman"/>
          <w:sz w:val="24"/>
          <w:szCs w:val="24"/>
        </w:rPr>
        <w:t>shows</w:t>
      </w:r>
      <w:r w:rsidRPr="00FB20E9">
        <w:rPr>
          <w:rFonts w:ascii="Times New Roman" w:hAnsi="Times New Roman" w:cs="Times New Roman"/>
          <w:sz w:val="24"/>
          <w:szCs w:val="24"/>
        </w:rPr>
        <w:t xml:space="preserve"> </w:t>
      </w:r>
      <w:r w:rsidRPr="00FB20E9">
        <w:rPr>
          <w:rFonts w:ascii="Times New Roman" w:hAnsi="Times New Roman" w:cs="Times New Roman"/>
          <w:color w:val="000000" w:themeColor="text1"/>
          <w:sz w:val="24"/>
          <w:szCs w:val="24"/>
        </w:rPr>
        <w:t>166, 1842, and 429 overlapping DEGs in</w:t>
      </w:r>
      <w:r w:rsidRPr="00FB20E9">
        <w:rPr>
          <w:rFonts w:ascii="Times New Roman" w:eastAsia="DengXian" w:hAnsi="Times New Roman" w:cs="Times New Roman"/>
          <w:color w:val="000000"/>
          <w:sz w:val="24"/>
          <w:szCs w:val="24"/>
        </w:rPr>
        <w:t xml:space="preserve"> the</w:t>
      </w:r>
      <w:r w:rsidRPr="00FB2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antiapoptotic phenotype, </w:t>
      </w:r>
      <w:r w:rsidRPr="00FB20E9">
        <w:rPr>
          <w:rFonts w:ascii="Times New Roman" w:eastAsia="DengXian" w:hAnsi="Times New Roman" w:cs="Times New Roman"/>
          <w:color w:val="000000"/>
          <w:sz w:val="24"/>
          <w:szCs w:val="24"/>
        </w:rPr>
        <w:t xml:space="preserve">and panel </w:t>
      </w:r>
      <w:r w:rsidRPr="00FB2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 </w:t>
      </w:r>
      <w:r w:rsidRPr="00FB20E9">
        <w:rPr>
          <w:rFonts w:ascii="Times New Roman" w:eastAsia="DengXian" w:hAnsi="Times New Roman" w:cs="Times New Roman"/>
          <w:color w:val="000000"/>
          <w:sz w:val="24"/>
          <w:szCs w:val="24"/>
        </w:rPr>
        <w:t>shows</w:t>
      </w:r>
      <w:r w:rsidRPr="00FB2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170, 1942, and 351 overlapping DEGs in </w:t>
      </w:r>
      <w:r w:rsidRPr="00FB20E9">
        <w:rPr>
          <w:rFonts w:ascii="Times New Roman" w:eastAsia="DengXian" w:hAnsi="Times New Roman" w:cs="Times New Roman"/>
          <w:color w:val="000000"/>
          <w:sz w:val="24"/>
          <w:szCs w:val="24"/>
        </w:rPr>
        <w:t xml:space="preserve">the </w:t>
      </w:r>
      <w:r w:rsidRPr="00FB2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proapoptotic phenotype. (C) Copy number variations of CDK5 were examined for each phenotype. (D) Promoter methylation of CDK5 </w:t>
      </w:r>
      <w:r w:rsidRPr="00FB20E9">
        <w:rPr>
          <w:rFonts w:ascii="Times New Roman" w:eastAsia="DengXian" w:hAnsi="Times New Roman" w:cs="Times New Roman"/>
          <w:color w:val="000000"/>
          <w:sz w:val="24"/>
          <w:szCs w:val="24"/>
        </w:rPr>
        <w:t>was</w:t>
      </w:r>
      <w:r w:rsidRPr="00FB2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examined in each phenotype.</w:t>
      </w:r>
    </w:p>
    <w:sectPr w:rsidR="00B92441" w:rsidRPr="00FB20E9" w:rsidSect="00E5612C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D7E21" w14:textId="77777777" w:rsidR="00CC327E" w:rsidRDefault="00CC327E">
      <w:r>
        <w:separator/>
      </w:r>
    </w:p>
  </w:endnote>
  <w:endnote w:type="continuationSeparator" w:id="0">
    <w:p w14:paraId="5DF38400" w14:textId="77777777" w:rsidR="00CC327E" w:rsidRDefault="00CC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74096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BB0E61" w14:textId="77777777" w:rsidR="008362A6" w:rsidRDefault="00B9244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235FD4" w14:textId="77777777" w:rsidR="008362A6" w:rsidRDefault="00CC32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7AB3E" w14:textId="77777777" w:rsidR="00CC327E" w:rsidRDefault="00CC327E">
      <w:r>
        <w:separator/>
      </w:r>
    </w:p>
  </w:footnote>
  <w:footnote w:type="continuationSeparator" w:id="0">
    <w:p w14:paraId="6148FC77" w14:textId="77777777" w:rsidR="00CC327E" w:rsidRDefault="00CC32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41"/>
    <w:rsid w:val="000C5474"/>
    <w:rsid w:val="00374778"/>
    <w:rsid w:val="0062449C"/>
    <w:rsid w:val="00A92D9A"/>
    <w:rsid w:val="00B92441"/>
    <w:rsid w:val="00CC327E"/>
    <w:rsid w:val="00D00FD1"/>
    <w:rsid w:val="00E0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CBEB3"/>
  <w15:chartTrackingRefBased/>
  <w15:docId w15:val="{D2860EC9-9024-437B-8898-2E03D204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441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924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92441"/>
    <w:rPr>
      <w:rFonts w:eastAsiaTheme="minorEastAsia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B924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422</Characters>
  <Application>Microsoft Office Word</Application>
  <DocSecurity>0</DocSecurity>
  <Lines>3</Lines>
  <Paragraphs>1</Paragraphs>
  <ScaleCrop>false</ScaleCrop>
  <Company>Springer Nature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Aiyaz Ibrahim Shaikh</dc:creator>
  <cp:keywords/>
  <dc:description/>
  <cp:lastModifiedBy>Aiyaz Ibrahim Shaikh</cp:lastModifiedBy>
  <cp:revision>3</cp:revision>
  <dcterms:created xsi:type="dcterms:W3CDTF">2023-10-30T07:42:00Z</dcterms:created>
  <dcterms:modified xsi:type="dcterms:W3CDTF">2023-10-30T07:44:00Z</dcterms:modified>
</cp:coreProperties>
</file>