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Table S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4. </w:t>
      </w:r>
      <w:bookmarkStart w:id="0" w:name="_GoBack"/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The clinicopathological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characteristics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gastric cancer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patients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whose blood samples were collected.</w:t>
      </w:r>
      <w:bookmarkEnd w:id="0"/>
    </w:p>
    <w:p>
      <w:pPr>
        <w:rPr>
          <w:rFonts w:hint="eastAsia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7574" w:type="dxa"/>
        <w:tblInd w:w="1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827"/>
        <w:gridCol w:w="807"/>
        <w:gridCol w:w="1339"/>
        <w:gridCol w:w="1860"/>
        <w:gridCol w:w="15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181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roup</w:t>
            </w:r>
          </w:p>
        </w:tc>
        <w:tc>
          <w:tcPr>
            <w:tcW w:w="82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807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</w:p>
        </w:tc>
        <w:tc>
          <w:tcPr>
            <w:tcW w:w="1339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Pathological grade</w:t>
            </w:r>
          </w:p>
        </w:tc>
        <w:tc>
          <w:tcPr>
            <w:tcW w:w="186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Histological types</w:t>
            </w: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Distant site of metastasis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18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</w:t>
            </w:r>
          </w:p>
        </w:tc>
        <w:tc>
          <w:tcPr>
            <w:tcW w:w="82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80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blood19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blood29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blood39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Ⅲ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blood49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Ⅰ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blood59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Ⅱ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8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blood60</w:t>
            </w:r>
          </w:p>
        </w:tc>
        <w:tc>
          <w:tcPr>
            <w:tcW w:w="82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80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Ⅳ</w:t>
            </w:r>
          </w:p>
        </w:tc>
        <w:tc>
          <w:tcPr>
            <w:tcW w:w="18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Adenocarcinoma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1ZmUyODA3ZWU1NjYxMjBmZGU3NDIwZjA1MTMwNTMifQ=="/>
  </w:docVars>
  <w:rsids>
    <w:rsidRoot w:val="00000000"/>
    <w:rsid w:val="04E74F63"/>
    <w:rsid w:val="1D5672A9"/>
    <w:rsid w:val="793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2023-10-11T07:24:00Z</dcterms:created>
  <dc:creator>yanghao</dc:creator>
  <cp:lastModifiedBy>杨皓</cp:lastModifiedBy>
  <dcterms:modified xsi:type="dcterms:W3CDTF">2023-11-12T14:38:29Z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609D9F8DFD494F6AA7380FAA60A963A9_12</vt:lpwstr>
  </property>
</Properties>
</file>