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358D" w14:textId="443C3BAF" w:rsidR="00E379AC" w:rsidRDefault="00213539" w:rsidP="0021353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213539">
        <w:rPr>
          <w:rFonts w:ascii="Times New Roman" w:hAnsi="Times New Roman" w:cs="Times New Roman"/>
          <w:b/>
          <w:bCs/>
          <w:sz w:val="24"/>
        </w:rPr>
        <w:t xml:space="preserve">Electronic </w:t>
      </w:r>
      <w:r w:rsidR="00E379AC" w:rsidRPr="00213539">
        <w:rPr>
          <w:rFonts w:ascii="Times New Roman" w:hAnsi="Times New Roman" w:cs="Times New Roman"/>
          <w:b/>
          <w:bCs/>
          <w:sz w:val="24"/>
        </w:rPr>
        <w:t>Supplemental Material 2</w:t>
      </w:r>
    </w:p>
    <w:p w14:paraId="63279AEA" w14:textId="77777777" w:rsidR="00213539" w:rsidRPr="00213539" w:rsidRDefault="00213539" w:rsidP="0021353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9FA8BED" w14:textId="2132C54F" w:rsidR="008E0CF1" w:rsidRDefault="008E0CF1" w:rsidP="008600F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E5AC48C" wp14:editId="39550227">
            <wp:extent cx="4622800" cy="5511800"/>
            <wp:effectExtent l="0" t="0" r="0" b="0"/>
            <wp:docPr id="893785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85388" name="图片 8937853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003FF" w14:textId="77777777" w:rsidR="00ED41C5" w:rsidRDefault="008E0CF1" w:rsidP="008600F6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8E0CF1">
        <w:rPr>
          <w:rFonts w:ascii="Times New Roman" w:hAnsi="Times New Roman" w:cs="Times New Roman"/>
          <w:b/>
          <w:bCs/>
          <w:color w:val="000000" w:themeColor="text1"/>
          <w:sz w:val="24"/>
        </w:rPr>
        <w:t>Figure S1.</w:t>
      </w:r>
      <w:r w:rsidRPr="008E0CF1">
        <w:rPr>
          <w:rFonts w:ascii="Times New Roman" w:hAnsi="Times New Roman" w:cs="Times New Roman"/>
          <w:color w:val="000000" w:themeColor="text1"/>
          <w:sz w:val="24"/>
        </w:rPr>
        <w:t xml:space="preserve"> Validating the PyroScore model in the testing set and the entire cohort</w:t>
      </w:r>
      <w:r w:rsidRPr="008E0CF1">
        <w:rPr>
          <w:rFonts w:ascii="Times New Roman" w:hAnsi="Times New Roman" w:cs="Times New Roman"/>
          <w:sz w:val="24"/>
        </w:rPr>
        <w:t xml:space="preserve">. </w:t>
      </w:r>
    </w:p>
    <w:p w14:paraId="7F570DD5" w14:textId="380A364B" w:rsidR="008E0CF1" w:rsidRPr="00ED41C5" w:rsidRDefault="00ED41C5" w:rsidP="008600F6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ED41C5">
        <w:rPr>
          <w:rFonts w:ascii="Times New Roman" w:hAnsi="Times New Roman" w:cs="Times New Roman"/>
          <w:b/>
          <w:bCs/>
          <w:sz w:val="24"/>
        </w:rPr>
        <w:t>(A,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ED41C5">
        <w:rPr>
          <w:rFonts w:ascii="Times New Roman" w:hAnsi="Times New Roman" w:cs="Times New Roman"/>
          <w:b/>
          <w:bCs/>
          <w:sz w:val="24"/>
        </w:rPr>
        <w:t>D)</w:t>
      </w:r>
      <w:r>
        <w:rPr>
          <w:rFonts w:ascii="Times New Roman" w:hAnsi="Times New Roman" w:cs="Times New Roman"/>
          <w:sz w:val="24"/>
        </w:rPr>
        <w:t xml:space="preserve"> </w:t>
      </w:r>
      <w:r w:rsidRPr="00ED41C5">
        <w:rPr>
          <w:rFonts w:ascii="Times New Roman" w:hAnsi="Times New Roman" w:cs="Times New Roman"/>
          <w:sz w:val="24"/>
        </w:rPr>
        <w:t>PyroScore distribution, prognostic status of each patient, and heatmaps of nine prognostic PRGs.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8E0CF1" w:rsidRPr="008E0CF1">
        <w:rPr>
          <w:rFonts w:ascii="Times New Roman" w:hAnsi="Times New Roman" w:cs="Times New Roman"/>
          <w:sz w:val="24"/>
        </w:rPr>
        <w:t>PCA plot (</w:t>
      </w:r>
      <w:r>
        <w:rPr>
          <w:rFonts w:ascii="Times New Roman" w:hAnsi="Times New Roman" w:cs="Times New Roman" w:hint="eastAsia"/>
          <w:b/>
          <w:bCs/>
          <w:sz w:val="24"/>
        </w:rPr>
        <w:t>B</w:t>
      </w:r>
      <w:r w:rsidR="008E0CF1" w:rsidRPr="008E0CF1">
        <w:rPr>
          <w:rFonts w:ascii="Times New Roman" w:hAnsi="Times New Roman" w:cs="Times New Roman"/>
          <w:b/>
          <w:bCs/>
          <w:sz w:val="24"/>
        </w:rPr>
        <w:t>, C</w:t>
      </w:r>
      <w:r w:rsidR="008E0CF1" w:rsidRPr="008E0CF1">
        <w:rPr>
          <w:rFonts w:ascii="Times New Roman" w:hAnsi="Times New Roman" w:cs="Times New Roman"/>
          <w:sz w:val="24"/>
        </w:rPr>
        <w:t>) and t-SNE plot (</w:t>
      </w:r>
      <w:r>
        <w:rPr>
          <w:rFonts w:ascii="Times New Roman" w:hAnsi="Times New Roman" w:cs="Times New Roman" w:hint="eastAsia"/>
          <w:b/>
          <w:bCs/>
          <w:sz w:val="24"/>
        </w:rPr>
        <w:t>E</w:t>
      </w:r>
      <w:r w:rsidR="008E0CF1" w:rsidRPr="008E0CF1">
        <w:rPr>
          <w:rFonts w:ascii="Times New Roman" w:hAnsi="Times New Roman" w:cs="Times New Roman"/>
          <w:b/>
          <w:bCs/>
          <w:sz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</w:rPr>
        <w:t>F</w:t>
      </w:r>
      <w:r w:rsidR="008E0CF1" w:rsidRPr="008E0CF1">
        <w:rPr>
          <w:rFonts w:ascii="Times New Roman" w:hAnsi="Times New Roman" w:cs="Times New Roman"/>
          <w:sz w:val="24"/>
        </w:rPr>
        <w:t>) show the separation of PyroScore subgroups.</w:t>
      </w:r>
      <w:r w:rsidRPr="00ED41C5">
        <w:t xml:space="preserve"> </w:t>
      </w:r>
      <w:r w:rsidR="008E0CF1">
        <w:rPr>
          <w:noProof/>
        </w:rPr>
        <w:lastRenderedPageBreak/>
        <w:drawing>
          <wp:inline distT="0" distB="0" distL="0" distR="0" wp14:anchorId="12508622" wp14:editId="6AFF260A">
            <wp:extent cx="5274310" cy="2580640"/>
            <wp:effectExtent l="0" t="0" r="0" b="0"/>
            <wp:docPr id="18532719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71976" name="图片 18532719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93642" w14:textId="50896B6A" w:rsidR="008E0CF1" w:rsidRPr="008E0CF1" w:rsidRDefault="008E0CF1" w:rsidP="008600F6">
      <w:pPr>
        <w:spacing w:line="360" w:lineRule="auto"/>
        <w:rPr>
          <w:rFonts w:ascii="Times New Roman" w:hAnsi="Times New Roman" w:cs="Times New Roman"/>
          <w:sz w:val="24"/>
        </w:rPr>
      </w:pPr>
      <w:r w:rsidRPr="008E0CF1">
        <w:rPr>
          <w:rFonts w:ascii="Times New Roman" w:hAnsi="Times New Roman" w:cs="Times New Roman"/>
          <w:b/>
          <w:bCs/>
          <w:color w:val="000000" w:themeColor="text1"/>
          <w:sz w:val="24"/>
        </w:rPr>
        <w:t>Figure S2</w:t>
      </w:r>
      <w:r w:rsidRPr="008E0CF1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7D5BC1">
        <w:rPr>
          <w:rFonts w:ascii="Times New Roman" w:hAnsi="Times New Roman" w:cs="Times New Roman"/>
          <w:color w:val="000000" w:themeColor="text1"/>
          <w:sz w:val="24"/>
        </w:rPr>
        <w:t xml:space="preserve">Enrichment analyses </w:t>
      </w:r>
      <w:r w:rsidRPr="008E0CF1">
        <w:rPr>
          <w:rFonts w:ascii="Times New Roman" w:hAnsi="Times New Roman" w:cs="Times New Roman"/>
          <w:color w:val="000000" w:themeColor="text1"/>
          <w:sz w:val="24"/>
        </w:rPr>
        <w:t>of the DEGs downregulated between the PyroScore subgroups.</w:t>
      </w:r>
      <w:r w:rsidR="007D5BC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D5BC1" w:rsidRPr="008E0CF1">
        <w:rPr>
          <w:rFonts w:ascii="Times New Roman" w:hAnsi="Times New Roman" w:cs="Times New Roman"/>
          <w:color w:val="000000" w:themeColor="text1"/>
          <w:sz w:val="24"/>
        </w:rPr>
        <w:t>(</w:t>
      </w:r>
      <w:r w:rsidR="007D5BC1" w:rsidRPr="008E0CF1">
        <w:rPr>
          <w:rFonts w:ascii="Times New Roman" w:hAnsi="Times New Roman" w:cs="Times New Roman"/>
          <w:b/>
          <w:bCs/>
          <w:color w:val="000000" w:themeColor="text1"/>
          <w:sz w:val="24"/>
        </w:rPr>
        <w:t>A)</w:t>
      </w:r>
      <w:r w:rsidR="007D5BC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7D5BC1" w:rsidRPr="008E0CF1">
        <w:rPr>
          <w:rFonts w:ascii="Times New Roman" w:hAnsi="Times New Roman" w:cs="Times New Roman"/>
          <w:color w:val="000000" w:themeColor="text1"/>
          <w:sz w:val="24"/>
        </w:rPr>
        <w:t xml:space="preserve">GO </w:t>
      </w:r>
      <w:r w:rsidR="00A408D1">
        <w:rPr>
          <w:rFonts w:ascii="Times New Roman" w:hAnsi="Times New Roman" w:cs="Times New Roman"/>
          <w:color w:val="000000" w:themeColor="text1"/>
          <w:sz w:val="24"/>
        </w:rPr>
        <w:t xml:space="preserve">term. </w:t>
      </w:r>
      <w:r w:rsidR="00A408D1" w:rsidRPr="008E0CF1">
        <w:rPr>
          <w:rFonts w:ascii="Times New Roman" w:hAnsi="Times New Roman" w:cs="Times New Roman"/>
          <w:b/>
          <w:bCs/>
          <w:color w:val="000000" w:themeColor="text1"/>
          <w:sz w:val="24"/>
        </w:rPr>
        <w:t>(B</w:t>
      </w:r>
      <w:r w:rsidR="00A408D1" w:rsidRPr="008E0CF1">
        <w:rPr>
          <w:rFonts w:ascii="Times New Roman" w:hAnsi="Times New Roman" w:cs="Times New Roman"/>
          <w:color w:val="000000" w:themeColor="text1"/>
          <w:sz w:val="24"/>
        </w:rPr>
        <w:t>)</w:t>
      </w:r>
      <w:r w:rsidR="00A408D1">
        <w:rPr>
          <w:rFonts w:ascii="Times New Roman" w:hAnsi="Times New Roman" w:cs="Times New Roman" w:hint="eastAsia"/>
          <w:sz w:val="24"/>
        </w:rPr>
        <w:t xml:space="preserve"> </w:t>
      </w:r>
      <w:r w:rsidR="007D5BC1" w:rsidRPr="008E0CF1">
        <w:rPr>
          <w:rFonts w:ascii="Times New Roman" w:hAnsi="Times New Roman" w:cs="Times New Roman"/>
          <w:color w:val="000000" w:themeColor="text1"/>
          <w:sz w:val="24"/>
        </w:rPr>
        <w:t>KEGG</w:t>
      </w:r>
      <w:r w:rsidR="00A408D1">
        <w:rPr>
          <w:rFonts w:ascii="Times New Roman" w:hAnsi="Times New Roman" w:cs="Times New Roman"/>
          <w:color w:val="000000" w:themeColor="text1"/>
          <w:sz w:val="24"/>
        </w:rPr>
        <w:t xml:space="preserve"> pathway </w:t>
      </w:r>
      <w:r w:rsidR="00122603">
        <w:rPr>
          <w:rFonts w:ascii="Times New Roman" w:hAnsi="Times New Roman" w:cs="Times New Roman"/>
          <w:color w:val="000000" w:themeColor="text1"/>
          <w:sz w:val="24"/>
        </w:rPr>
        <w:t>annotation</w:t>
      </w:r>
      <w:r w:rsidR="00A408D1">
        <w:rPr>
          <w:rFonts w:ascii="Times New Roman" w:hAnsi="Times New Roman" w:cs="Times New Roman"/>
          <w:color w:val="000000" w:themeColor="text1"/>
          <w:sz w:val="24"/>
        </w:rPr>
        <w:t>.</w:t>
      </w:r>
      <w:r w:rsidR="007D5BC1" w:rsidRPr="008E0CF1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17A87256" w14:textId="77777777" w:rsidR="008E0CF1" w:rsidRDefault="008E0CF1" w:rsidP="008600F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1F21FE1" wp14:editId="464AC7E6">
            <wp:extent cx="3364865" cy="4925382"/>
            <wp:effectExtent l="0" t="0" r="635" b="2540"/>
            <wp:docPr id="710455910" name="图片 3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55910" name="图片 3" descr="图片包含 图表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883" cy="494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86349" w14:textId="5840D0DA" w:rsidR="008E0CF1" w:rsidRDefault="008E0CF1" w:rsidP="008600F6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8E0CF1">
        <w:rPr>
          <w:rFonts w:ascii="Times New Roman" w:hAnsi="Times New Roman" w:cs="Times New Roman"/>
          <w:b/>
          <w:bCs/>
          <w:color w:val="000000" w:themeColor="text1"/>
          <w:sz w:val="24"/>
        </w:rPr>
        <w:t>Figure S3</w:t>
      </w:r>
      <w:r w:rsidRPr="008E0CF1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E5061F" w:rsidRPr="00E5061F">
        <w:rPr>
          <w:rFonts w:ascii="Times New Roman" w:hAnsi="Times New Roman" w:cs="Times New Roman"/>
          <w:color w:val="000000" w:themeColor="text1"/>
          <w:sz w:val="24"/>
        </w:rPr>
        <w:t xml:space="preserve">Spearman correlation between pyroptosis-derived signatures and chemokines, interferons, interleukins, and other cytokines. </w:t>
      </w:r>
      <w:r>
        <w:rPr>
          <w:noProof/>
        </w:rPr>
        <w:lastRenderedPageBreak/>
        <w:drawing>
          <wp:inline distT="0" distB="0" distL="0" distR="0" wp14:anchorId="60EBD9C0" wp14:editId="4DEDC7AF">
            <wp:extent cx="5274310" cy="1028065"/>
            <wp:effectExtent l="0" t="0" r="0" b="635"/>
            <wp:docPr id="716789134" name="图片 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89134" name="图片 4" descr="图表, 散点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15ADE" w14:textId="36CB95DA" w:rsidR="008E0CF1" w:rsidRDefault="008E0CF1" w:rsidP="008600F6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8E0CF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 S4. </w:t>
      </w:r>
      <w:r w:rsidRPr="008E0CF1">
        <w:rPr>
          <w:rFonts w:ascii="Times New Roman" w:hAnsi="Times New Roman" w:cs="Times New Roman"/>
          <w:color w:val="000000" w:themeColor="text1"/>
          <w:sz w:val="24"/>
        </w:rPr>
        <w:t xml:space="preserve">External validation of expression of nine </w:t>
      </w:r>
      <w:r w:rsidR="00C7257A">
        <w:rPr>
          <w:rFonts w:ascii="Times New Roman" w:hAnsi="Times New Roman" w:cs="Times New Roman" w:hint="eastAsia"/>
          <w:color w:val="000000" w:themeColor="text1"/>
          <w:sz w:val="24"/>
        </w:rPr>
        <w:t>prognostic</w:t>
      </w:r>
      <w:r w:rsidR="00C7257A">
        <w:rPr>
          <w:rFonts w:ascii="Times New Roman" w:hAnsi="Times New Roman" w:cs="Times New Roman"/>
          <w:color w:val="000000" w:themeColor="text1"/>
          <w:sz w:val="24"/>
        </w:rPr>
        <w:t xml:space="preserve"> PRGs</w:t>
      </w:r>
      <w:r w:rsidRPr="008E0CF1">
        <w:rPr>
          <w:rFonts w:ascii="Times New Roman" w:hAnsi="Times New Roman" w:cs="Times New Roman"/>
          <w:color w:val="000000" w:themeColor="text1"/>
          <w:sz w:val="24"/>
        </w:rPr>
        <w:t xml:space="preserve"> in GPL96 sets.</w:t>
      </w:r>
    </w:p>
    <w:p w14:paraId="6235665E" w14:textId="77777777" w:rsidR="008600F6" w:rsidRPr="009C7B3D" w:rsidRDefault="008600F6" w:rsidP="008600F6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2D186838" w14:textId="3385D24B" w:rsidR="00B178A0" w:rsidRDefault="008E0CF1" w:rsidP="008600F6">
      <w:pPr>
        <w:spacing w:line="360" w:lineRule="auto"/>
        <w:jc w:val="left"/>
      </w:pPr>
      <w:r>
        <w:rPr>
          <w:noProof/>
        </w:rPr>
        <w:drawing>
          <wp:inline distT="0" distB="0" distL="0" distR="0" wp14:anchorId="213538D4" wp14:editId="414AD134">
            <wp:extent cx="5274310" cy="6378575"/>
            <wp:effectExtent l="0" t="0" r="0" b="0"/>
            <wp:docPr id="11958586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58646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08ABB" w14:textId="74308D2E" w:rsidR="008E0CF1" w:rsidRPr="008E0CF1" w:rsidRDefault="008E0CF1" w:rsidP="008600F6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8E0CF1">
        <w:rPr>
          <w:rFonts w:ascii="Times New Roman" w:hAnsi="Times New Roman" w:cs="Times New Roman"/>
          <w:b/>
          <w:bCs/>
          <w:color w:val="000000" w:themeColor="text1"/>
          <w:sz w:val="24"/>
        </w:rPr>
        <w:t>Figure S5.</w:t>
      </w:r>
      <w:r w:rsidRPr="008E0CF1">
        <w:rPr>
          <w:rFonts w:ascii="Times New Roman" w:hAnsi="Times New Roman" w:cs="Times New Roman"/>
          <w:color w:val="000000" w:themeColor="text1"/>
          <w:sz w:val="24"/>
        </w:rPr>
        <w:t xml:space="preserve"> Expression levels of nine </w:t>
      </w:r>
      <w:r w:rsidR="00C7257A">
        <w:rPr>
          <w:rFonts w:ascii="Times New Roman" w:hAnsi="Times New Roman" w:cs="Times New Roman" w:hint="eastAsia"/>
          <w:color w:val="000000" w:themeColor="text1"/>
          <w:sz w:val="24"/>
        </w:rPr>
        <w:t>prognostic</w:t>
      </w:r>
      <w:r w:rsidR="00C7257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E0CF1">
        <w:rPr>
          <w:rFonts w:ascii="Times New Roman" w:hAnsi="Times New Roman" w:cs="Times New Roman"/>
          <w:color w:val="000000" w:themeColor="text1"/>
          <w:sz w:val="24"/>
        </w:rPr>
        <w:t>PRGs in thyroid cancer cell lines.</w:t>
      </w:r>
    </w:p>
    <w:sectPr w:rsidR="008E0CF1" w:rsidRPr="008E0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F1"/>
    <w:rsid w:val="000E12B4"/>
    <w:rsid w:val="00122603"/>
    <w:rsid w:val="001B48A5"/>
    <w:rsid w:val="00213539"/>
    <w:rsid w:val="006779A3"/>
    <w:rsid w:val="00747B05"/>
    <w:rsid w:val="007D5BC1"/>
    <w:rsid w:val="008600F6"/>
    <w:rsid w:val="008A7555"/>
    <w:rsid w:val="008E0CF1"/>
    <w:rsid w:val="00994A6A"/>
    <w:rsid w:val="009C7B3D"/>
    <w:rsid w:val="00A408D1"/>
    <w:rsid w:val="00B178A0"/>
    <w:rsid w:val="00C7257A"/>
    <w:rsid w:val="00D47E3F"/>
    <w:rsid w:val="00DB30E0"/>
    <w:rsid w:val="00E379AC"/>
    <w:rsid w:val="00E5061F"/>
    <w:rsid w:val="00ED41C5"/>
    <w:rsid w:val="00FC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E58B44"/>
  <w15:chartTrackingRefBased/>
  <w15:docId w15:val="{649E1098-FEE5-294F-AECD-D321A7A5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theme" Target="theme/theme1.xml"/><Relationship Id="rId5" Type="http://schemas.openxmlformats.org/officeDocument/2006/relationships/image" Target="media/image1.t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FangLi</dc:creator>
  <cp:keywords/>
  <dc:description/>
  <cp:lastModifiedBy>FangLi</cp:lastModifiedBy>
  <cp:revision>17</cp:revision>
  <dcterms:created xsi:type="dcterms:W3CDTF">2024-01-17T07:37:00Z</dcterms:created>
  <dcterms:modified xsi:type="dcterms:W3CDTF">2024-01-17T08:31:00Z</dcterms:modified>
</cp:coreProperties>
</file>