
<file path=[Content_Types].xml><?xml version="1.0" encoding="utf-8"?>
<Types xmlns="http://schemas.openxmlformats.org/package/2006/content-types">
  <Default Extension="xml" ContentType="application/xml"/>
  <Default Extension="jpeg" ContentType="image/jpeg"/>
  <Default Extension="JPG" ContentType="image/.jpg"/>
  <Default Extension="tiff" ContentType="image/tif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138552">
      <w:pPr>
        <w:widowControl/>
        <w:jc w:val="center"/>
        <w:rPr>
          <w:rFonts w:ascii="Times New Roman" w:hAnsi="Times New Roman" w:eastAsia="宋体" w:cs="Times New Roman"/>
          <w:sz w:val="32"/>
          <w:szCs w:val="32"/>
        </w:rPr>
      </w:pPr>
      <w:bookmarkStart w:id="0" w:name="OLE_LINK19"/>
      <w:bookmarkStart w:id="1" w:name="OLE_LINK28"/>
      <w:bookmarkStart w:id="2" w:name="OLE_LINK6"/>
      <w:r>
        <w:rPr>
          <w:rFonts w:hint="eastAsia" w:ascii="Times New Roman" w:hAnsi="Times New Roman" w:eastAsia="宋体" w:cs="Times New Roman"/>
          <w:sz w:val="32"/>
          <w:szCs w:val="32"/>
        </w:rPr>
        <w:t xml:space="preserve">Potential value of </w:t>
      </w:r>
      <w:bookmarkStart w:id="3" w:name="OLE_LINK10"/>
      <w:r>
        <w:rPr>
          <w:rFonts w:ascii="Times New Roman" w:hAnsi="Times New Roman" w:eastAsia="宋体" w:cs="Times New Roman"/>
          <w:sz w:val="32"/>
          <w:szCs w:val="32"/>
        </w:rPr>
        <w:t>immunogenic cell death</w:t>
      </w:r>
      <w:bookmarkEnd w:id="3"/>
      <w:r>
        <w:rPr>
          <w:rFonts w:hint="eastAsia" w:ascii="Times New Roman" w:hAnsi="Times New Roman" w:eastAsia="宋体" w:cs="Times New Roman"/>
          <w:sz w:val="32"/>
          <w:szCs w:val="32"/>
        </w:rPr>
        <w:t xml:space="preserve"> related-genes</w:t>
      </w:r>
      <w:r>
        <w:rPr>
          <w:rFonts w:ascii="Times New Roman" w:hAnsi="Times New Roman" w:eastAsia="宋体" w:cs="Times New Roman"/>
          <w:sz w:val="32"/>
          <w:szCs w:val="32"/>
        </w:rPr>
        <w:t xml:space="preserve"> </w:t>
      </w:r>
      <w:r>
        <w:rPr>
          <w:rFonts w:hint="eastAsia" w:ascii="Times New Roman" w:hAnsi="Times New Roman" w:eastAsia="宋体" w:cs="Times New Roman"/>
          <w:sz w:val="32"/>
          <w:szCs w:val="32"/>
        </w:rPr>
        <w:t xml:space="preserve">in  </w:t>
      </w:r>
      <w:r>
        <w:rPr>
          <w:rFonts w:ascii="Times New Roman" w:hAnsi="Times New Roman" w:eastAsia="宋体" w:cs="Times New Roman"/>
          <w:sz w:val="32"/>
          <w:szCs w:val="32"/>
        </w:rPr>
        <w:t>refin</w:t>
      </w:r>
      <w:r>
        <w:rPr>
          <w:rFonts w:hint="eastAsia" w:ascii="Times New Roman" w:hAnsi="Times New Roman" w:eastAsia="宋体" w:cs="Times New Roman"/>
          <w:sz w:val="32"/>
          <w:szCs w:val="32"/>
        </w:rPr>
        <w:t>ing</w:t>
      </w:r>
      <w:r>
        <w:rPr>
          <w:rFonts w:ascii="Times New Roman" w:hAnsi="Times New Roman" w:eastAsia="宋体" w:cs="Times New Roman"/>
          <w:sz w:val="32"/>
          <w:szCs w:val="32"/>
        </w:rPr>
        <w:t xml:space="preserve"> </w:t>
      </w:r>
      <w:bookmarkStart w:id="4" w:name="OLE_LINK13"/>
      <w:bookmarkStart w:id="5" w:name="OLE_LINK14"/>
      <w:r>
        <w:rPr>
          <w:rFonts w:ascii="Times New Roman" w:hAnsi="Times New Roman" w:eastAsia="宋体" w:cs="Times New Roman"/>
          <w:sz w:val="32"/>
          <w:szCs w:val="32"/>
        </w:rPr>
        <w:t xml:space="preserve">European </w:t>
      </w:r>
      <w:r>
        <w:rPr>
          <w:rFonts w:hint="eastAsia" w:ascii="Times New Roman" w:hAnsi="Times New Roman" w:eastAsia="宋体" w:cs="Times New Roman"/>
          <w:sz w:val="32"/>
          <w:szCs w:val="32"/>
        </w:rPr>
        <w:t>Leukemia</w:t>
      </w:r>
      <w:r>
        <w:rPr>
          <w:rFonts w:ascii="Times New Roman" w:hAnsi="Times New Roman" w:eastAsia="宋体" w:cs="Times New Roman"/>
          <w:sz w:val="32"/>
          <w:szCs w:val="32"/>
        </w:rPr>
        <w:t>Net</w:t>
      </w:r>
      <w:bookmarkEnd w:id="4"/>
      <w:r>
        <w:rPr>
          <w:rFonts w:ascii="Times New Roman" w:hAnsi="Times New Roman" w:eastAsia="宋体" w:cs="Times New Roman"/>
          <w:sz w:val="32"/>
          <w:szCs w:val="32"/>
        </w:rPr>
        <w:t xml:space="preserve"> guidelines</w:t>
      </w:r>
      <w:bookmarkEnd w:id="5"/>
      <w:r>
        <w:rPr>
          <w:rFonts w:ascii="Times New Roman" w:hAnsi="Times New Roman" w:eastAsia="宋体" w:cs="Times New Roman"/>
          <w:sz w:val="32"/>
          <w:szCs w:val="32"/>
        </w:rPr>
        <w:t xml:space="preserve"> classification</w:t>
      </w:r>
      <w:r>
        <w:rPr>
          <w:rFonts w:hint="eastAsia" w:ascii="Times New Roman" w:hAnsi="Times New Roman" w:eastAsia="宋体" w:cs="Times New Roman"/>
          <w:sz w:val="32"/>
          <w:szCs w:val="32"/>
        </w:rPr>
        <w:t xml:space="preserve"> and </w:t>
      </w:r>
      <w:r>
        <w:rPr>
          <w:rFonts w:ascii="Times New Roman" w:hAnsi="Times New Roman" w:eastAsia="宋体" w:cs="Times New Roman"/>
          <w:sz w:val="32"/>
          <w:szCs w:val="32"/>
        </w:rPr>
        <w:t xml:space="preserve"> predicting the immune infiltration landscape</w:t>
      </w:r>
      <w:r>
        <w:rPr>
          <w:rFonts w:hint="eastAsia" w:ascii="Times New Roman" w:hAnsi="Times New Roman" w:eastAsia="宋体" w:cs="Times New Roman"/>
          <w:sz w:val="32"/>
          <w:szCs w:val="32"/>
        </w:rPr>
        <w:t xml:space="preserve"> in </w:t>
      </w:r>
      <w:r>
        <w:rPr>
          <w:rFonts w:ascii="Times New Roman" w:hAnsi="Times New Roman" w:eastAsia="宋体" w:cs="Times New Roman"/>
          <w:sz w:val="32"/>
          <w:szCs w:val="32"/>
        </w:rPr>
        <w:t xml:space="preserve">acute myeloid </w:t>
      </w:r>
      <w:bookmarkStart w:id="8" w:name="_GoBack"/>
      <w:bookmarkEnd w:id="8"/>
      <w:r>
        <w:rPr>
          <w:rFonts w:hint="eastAsia" w:ascii="Times New Roman" w:hAnsi="Times New Roman" w:eastAsia="宋体" w:cs="Times New Roman"/>
          <w:sz w:val="32"/>
          <w:szCs w:val="32"/>
        </w:rPr>
        <w:t>leukemia</w:t>
      </w:r>
      <w:bookmarkEnd w:id="0"/>
    </w:p>
    <w:p w14:paraId="48C193CB">
      <w:pPr>
        <w:widowControl/>
        <w:jc w:val="center"/>
        <w:rPr>
          <w:rFonts w:ascii="Times New Roman" w:hAnsi="Times New Roman" w:eastAsia="宋体" w:cs="Times New Roman"/>
          <w:sz w:val="32"/>
          <w:szCs w:val="32"/>
        </w:rPr>
      </w:pPr>
    </w:p>
    <w:bookmarkEnd w:id="1"/>
    <w:bookmarkEnd w:id="2"/>
    <w:p w14:paraId="11B19CE9">
      <w:pPr>
        <w:widowControl/>
        <w:jc w:val="left"/>
        <w:rPr>
          <w:rFonts w:ascii="Times New Roman" w:hAnsi="Times New Roman" w:eastAsia="宋体" w:cs="Times New Roman"/>
          <w:sz w:val="24"/>
          <w:szCs w:val="24"/>
        </w:rPr>
      </w:pPr>
      <w:r>
        <w:rPr>
          <w:rFonts w:ascii="Times New Roman" w:hAnsi="Times New Roman" w:eastAsia="宋体" w:cs="Times New Roman"/>
          <w:sz w:val="24"/>
          <w:szCs w:val="24"/>
        </w:rPr>
        <w:t>Changqing Jiao</w:t>
      </w:r>
      <w:r>
        <w:rPr>
          <w:rFonts w:ascii="Times New Roman" w:hAnsi="Times New Roman" w:eastAsia="宋体" w:cs="Times New Roman"/>
          <w:sz w:val="24"/>
          <w:szCs w:val="24"/>
          <w:vertAlign w:val="superscript"/>
        </w:rPr>
        <w:t>1</w:t>
      </w:r>
      <w:r>
        <w:rPr>
          <w:rFonts w:hint="eastAsia" w:ascii="Times New Roman" w:hAnsi="Times New Roman" w:eastAsia="宋体" w:cs="Times New Roman"/>
          <w:sz w:val="24"/>
          <w:szCs w:val="24"/>
          <w:vertAlign w:val="superscript"/>
        </w:rPr>
        <w:t>,2</w:t>
      </w:r>
      <w:r>
        <w:rPr>
          <w:rFonts w:ascii="Times New Roman" w:hAnsi="Times New Roman" w:eastAsia="宋体" w:cs="Times New Roman"/>
          <w:sz w:val="24"/>
          <w:szCs w:val="24"/>
        </w:rPr>
        <w:t xml:space="preserve"> | </w:t>
      </w:r>
      <w:r>
        <w:rPr>
          <w:rFonts w:hint="eastAsia" w:ascii="Times New Roman" w:hAnsi="Times New Roman" w:eastAsia="宋体" w:cs="Times New Roman"/>
          <w:sz w:val="24"/>
          <w:szCs w:val="24"/>
        </w:rPr>
        <w:t>Xiaoyu Ma</w:t>
      </w:r>
      <w:r>
        <w:rPr>
          <w:rFonts w:ascii="Times New Roman" w:hAnsi="Times New Roman" w:eastAsia="宋体" w:cs="Times New Roman"/>
          <w:sz w:val="24"/>
          <w:szCs w:val="24"/>
          <w:vertAlign w:val="superscript"/>
        </w:rPr>
        <w:t>1</w:t>
      </w:r>
      <w:r>
        <w:rPr>
          <w:rFonts w:hint="eastAsia" w:ascii="Times New Roman" w:hAnsi="Times New Roman" w:eastAsia="宋体" w:cs="Times New Roman"/>
          <w:sz w:val="24"/>
          <w:szCs w:val="24"/>
          <w:vertAlign w:val="superscript"/>
        </w:rPr>
        <w:t>,2</w:t>
      </w:r>
      <w:r>
        <w:rPr>
          <w:rFonts w:ascii="Times New Roman" w:hAnsi="Times New Roman" w:eastAsia="宋体" w:cs="Times New Roman"/>
          <w:sz w:val="24"/>
          <w:szCs w:val="24"/>
        </w:rPr>
        <w:t xml:space="preserve"> |</w:t>
      </w:r>
      <w:r>
        <w:rPr>
          <w:rFonts w:hint="eastAsia" w:ascii="Times New Roman" w:hAnsi="Times New Roman" w:eastAsia="宋体" w:cs="Times New Roman"/>
          <w:sz w:val="24"/>
          <w:szCs w:val="24"/>
        </w:rPr>
        <w:t xml:space="preserve"> Jianling Cui</w:t>
      </w:r>
      <w:r>
        <w:rPr>
          <w:rFonts w:hint="eastAsia" w:ascii="Times New Roman" w:hAnsi="Times New Roman" w:eastAsia="宋体" w:cs="Times New Roman"/>
          <w:sz w:val="24"/>
          <w:szCs w:val="24"/>
          <w:vertAlign w:val="superscript"/>
        </w:rPr>
        <w:t>1,2</w:t>
      </w:r>
      <w:r>
        <w:rPr>
          <w:rFonts w:hint="eastAsia" w:ascii="Times New Roman" w:hAnsi="Times New Roman" w:eastAsia="宋体" w:cs="Times New Roman"/>
          <w:sz w:val="24"/>
          <w:szCs w:val="24"/>
        </w:rPr>
        <w:t xml:space="preserve"> | Bobin Su</w:t>
      </w:r>
      <w:r>
        <w:rPr>
          <w:rFonts w:ascii="Times New Roman" w:hAnsi="Times New Roman" w:eastAsia="宋体" w:cs="Times New Roman"/>
          <w:sz w:val="24"/>
          <w:szCs w:val="24"/>
          <w:vertAlign w:val="superscript"/>
        </w:rPr>
        <w:t>1</w:t>
      </w:r>
      <w:r>
        <w:rPr>
          <w:rFonts w:hint="eastAsia" w:ascii="Times New Roman" w:hAnsi="Times New Roman" w:eastAsia="宋体" w:cs="Times New Roman"/>
          <w:sz w:val="24"/>
          <w:szCs w:val="24"/>
          <w:vertAlign w:val="superscript"/>
        </w:rPr>
        <w:t xml:space="preserve">,2 </w:t>
      </w:r>
      <w:r>
        <w:rPr>
          <w:rFonts w:hint="eastAsia" w:ascii="Times New Roman" w:hAnsi="Times New Roman" w:eastAsia="宋体" w:cs="Times New Roman"/>
          <w:sz w:val="24"/>
          <w:szCs w:val="24"/>
        </w:rPr>
        <w:t>| Fei Xu</w:t>
      </w:r>
      <w:r>
        <w:rPr>
          <w:rFonts w:ascii="Times New Roman" w:hAnsi="Times New Roman" w:eastAsia="宋体" w:cs="Times New Roman"/>
          <w:sz w:val="24"/>
          <w:szCs w:val="24"/>
          <w:vertAlign w:val="superscript"/>
        </w:rPr>
        <w:t>1</w:t>
      </w:r>
      <w:r>
        <w:rPr>
          <w:rFonts w:hint="eastAsia" w:ascii="Times New Roman" w:hAnsi="Times New Roman" w:eastAsia="宋体" w:cs="Times New Roman"/>
          <w:sz w:val="24"/>
          <w:szCs w:val="24"/>
          <w:vertAlign w:val="superscript"/>
        </w:rPr>
        <w:t>,2</w:t>
      </w:r>
      <w:r>
        <w:rPr>
          <w:rFonts w:hint="eastAsia" w:ascii="Times New Roman" w:hAnsi="Times New Roman" w:eastAsia="宋体" w:cs="Times New Roman"/>
          <w:sz w:val="24"/>
          <w:szCs w:val="24"/>
        </w:rPr>
        <w:t xml:space="preserve"> | Enbo Chen</w:t>
      </w:r>
      <w:r>
        <w:rPr>
          <w:rFonts w:hint="eastAsia" w:ascii="Times New Roman" w:hAnsi="Times New Roman" w:eastAsia="宋体" w:cs="Times New Roman"/>
          <w:sz w:val="24"/>
          <w:szCs w:val="24"/>
          <w:vertAlign w:val="superscript"/>
        </w:rPr>
        <w:t>1,2</w:t>
      </w:r>
      <w:r>
        <w:rPr>
          <w:rFonts w:hint="eastAsia" w:ascii="Times New Roman" w:hAnsi="Times New Roman" w:eastAsia="宋体" w:cs="Times New Roman"/>
          <w:sz w:val="24"/>
          <w:szCs w:val="24"/>
        </w:rPr>
        <w:t xml:space="preserve"> | Junjie Zhou</w:t>
      </w:r>
      <w:r>
        <w:rPr>
          <w:rFonts w:hint="eastAsia" w:ascii="Times New Roman" w:hAnsi="Times New Roman" w:eastAsia="宋体" w:cs="Times New Roman"/>
          <w:sz w:val="24"/>
          <w:szCs w:val="24"/>
          <w:vertAlign w:val="superscript"/>
        </w:rPr>
        <w:t>1</w:t>
      </w:r>
      <w:r>
        <w:rPr>
          <w:rFonts w:hint="eastAsia" w:ascii="Times New Roman" w:hAnsi="Times New Roman" w:eastAsia="宋体" w:cs="Times New Roman"/>
          <w:sz w:val="24"/>
          <w:szCs w:val="24"/>
        </w:rPr>
        <w:t xml:space="preserve"> | Jifei Dai</w:t>
      </w:r>
      <w:r>
        <w:rPr>
          <w:rFonts w:hint="eastAsia" w:ascii="Times New Roman" w:hAnsi="Times New Roman" w:eastAsia="宋体" w:cs="Times New Roman"/>
          <w:sz w:val="24"/>
          <w:szCs w:val="24"/>
          <w:vertAlign w:val="superscript"/>
        </w:rPr>
        <w:t>1,2,3</w:t>
      </w:r>
      <w:r>
        <w:rPr>
          <w:rFonts w:ascii="Times New Roman" w:hAnsi="Times New Roman" w:eastAsia="宋体" w:cs="Times New Roman"/>
          <w:sz w:val="24"/>
          <w:szCs w:val="24"/>
        </w:rPr>
        <w:t xml:space="preserve"> | Mengya Pan</w:t>
      </w:r>
      <w:r>
        <w:rPr>
          <w:rFonts w:ascii="Times New Roman" w:hAnsi="Times New Roman" w:eastAsia="宋体" w:cs="Times New Roman"/>
          <w:sz w:val="24"/>
          <w:szCs w:val="24"/>
          <w:vertAlign w:val="superscript"/>
        </w:rPr>
        <w:t>1</w:t>
      </w:r>
      <w:r>
        <w:rPr>
          <w:rFonts w:hint="eastAsia" w:ascii="Times New Roman" w:hAnsi="Times New Roman" w:eastAsia="宋体" w:cs="Times New Roman"/>
          <w:sz w:val="24"/>
          <w:szCs w:val="24"/>
          <w:vertAlign w:val="superscript"/>
        </w:rPr>
        <w:t>,2</w:t>
      </w:r>
      <w:r>
        <w:rPr>
          <w:rFonts w:ascii="Times New Roman" w:hAnsi="Times New Roman" w:eastAsia="宋体" w:cs="Times New Roman"/>
          <w:sz w:val="24"/>
          <w:szCs w:val="24"/>
        </w:rPr>
        <w:t xml:space="preserve"> </w:t>
      </w:r>
      <w:r>
        <w:rPr>
          <w:rFonts w:hint="eastAsia" w:ascii="Times New Roman" w:hAnsi="Times New Roman" w:eastAsia="宋体" w:cs="Times New Roman"/>
          <w:sz w:val="24"/>
          <w:szCs w:val="24"/>
        </w:rPr>
        <w:t xml:space="preserve">| </w:t>
      </w:r>
      <w:r>
        <w:rPr>
          <w:rFonts w:ascii="Times New Roman" w:hAnsi="Times New Roman" w:eastAsia="宋体" w:cs="Times New Roman"/>
          <w:sz w:val="24"/>
          <w:szCs w:val="24"/>
        </w:rPr>
        <w:t>Zhangbiao Long</w:t>
      </w:r>
      <w:r>
        <w:rPr>
          <w:rFonts w:ascii="Times New Roman" w:hAnsi="Times New Roman" w:eastAsia="宋体" w:cs="Times New Roman"/>
          <w:sz w:val="24"/>
          <w:szCs w:val="24"/>
          <w:vertAlign w:val="superscript"/>
        </w:rPr>
        <w:t>1</w:t>
      </w:r>
      <w:r>
        <w:rPr>
          <w:rFonts w:hint="eastAsia" w:ascii="Times New Roman" w:hAnsi="Times New Roman" w:eastAsia="宋体" w:cs="Times New Roman"/>
          <w:sz w:val="24"/>
          <w:szCs w:val="24"/>
          <w:vertAlign w:val="superscript"/>
        </w:rPr>
        <w:t>,2,3</w:t>
      </w:r>
      <w:r>
        <w:rPr>
          <w:rFonts w:hint="eastAsia" w:ascii="Times New Roman" w:hAnsi="Times New Roman" w:eastAsia="宋体" w:cs="Times New Roman"/>
          <w:sz w:val="24"/>
          <w:szCs w:val="24"/>
        </w:rPr>
        <w:t xml:space="preserve">| </w:t>
      </w:r>
      <w:r>
        <w:rPr>
          <w:rFonts w:ascii="Times New Roman" w:hAnsi="Times New Roman" w:eastAsia="宋体" w:cs="Times New Roman"/>
          <w:sz w:val="24"/>
          <w:szCs w:val="24"/>
        </w:rPr>
        <w:t>Jian Ge</w:t>
      </w:r>
      <w:r>
        <w:rPr>
          <w:rFonts w:ascii="Times New Roman" w:hAnsi="Times New Roman" w:eastAsia="宋体" w:cs="Times New Roman"/>
          <w:sz w:val="24"/>
          <w:szCs w:val="24"/>
          <w:vertAlign w:val="superscript"/>
        </w:rPr>
        <w:t>1</w:t>
      </w:r>
      <w:r>
        <w:rPr>
          <w:rFonts w:hint="eastAsia" w:ascii="Times New Roman" w:hAnsi="Times New Roman" w:eastAsia="宋体" w:cs="Times New Roman"/>
          <w:sz w:val="24"/>
          <w:szCs w:val="24"/>
          <w:vertAlign w:val="superscript"/>
        </w:rPr>
        <w:t>,2,3</w:t>
      </w:r>
      <w:r>
        <w:rPr>
          <w:vertAlign w:val="superscript"/>
        </w:rPr>
        <w:t>*</w:t>
      </w:r>
    </w:p>
    <w:p w14:paraId="328E557E"/>
    <w:p w14:paraId="265B9613">
      <w:pPr>
        <w:widowControl/>
        <w:rPr>
          <w:rFonts w:ascii="Times New Roman" w:hAnsi="Times New Roman" w:eastAsia="宋体" w:cs="Times New Roman"/>
          <w:sz w:val="24"/>
          <w:szCs w:val="24"/>
        </w:rPr>
      </w:pPr>
      <w:r>
        <w:rPr>
          <w:rFonts w:ascii="Times New Roman" w:hAnsi="Times New Roman" w:eastAsia="宋体" w:cs="Times New Roman"/>
          <w:sz w:val="24"/>
          <w:szCs w:val="24"/>
          <w:vertAlign w:val="superscript"/>
        </w:rPr>
        <w:t>1</w:t>
      </w:r>
      <w:r>
        <w:rPr>
          <w:rFonts w:ascii="Times New Roman" w:hAnsi="Times New Roman" w:eastAsia="宋体" w:cs="Times New Roman"/>
          <w:sz w:val="24"/>
          <w:szCs w:val="24"/>
        </w:rPr>
        <w:t>Department of Hem</w:t>
      </w:r>
      <w:r>
        <w:rPr>
          <w:rFonts w:hint="eastAsia" w:ascii="Times New Roman" w:hAnsi="Times New Roman" w:eastAsia="宋体" w:cs="Times New Roman"/>
          <w:sz w:val="24"/>
          <w:szCs w:val="24"/>
        </w:rPr>
        <w:t>a</w:t>
      </w:r>
      <w:r>
        <w:rPr>
          <w:rFonts w:ascii="Times New Roman" w:hAnsi="Times New Roman" w:eastAsia="宋体" w:cs="Times New Roman"/>
          <w:sz w:val="24"/>
          <w:szCs w:val="24"/>
        </w:rPr>
        <w:t xml:space="preserve">tology, </w:t>
      </w:r>
      <w:bookmarkStart w:id="6" w:name="OLE_LINK27"/>
      <w:r>
        <w:rPr>
          <w:rFonts w:ascii="Times New Roman" w:hAnsi="Times New Roman" w:eastAsia="宋体" w:cs="Times New Roman"/>
          <w:sz w:val="24"/>
          <w:szCs w:val="24"/>
        </w:rPr>
        <w:t xml:space="preserve">the First Affiliated Hospital of Anhui Medical University, Hefei 230022, China </w:t>
      </w:r>
    </w:p>
    <w:p w14:paraId="3935846A">
      <w:pPr>
        <w:widowControl/>
        <w:rPr>
          <w:rFonts w:ascii="Times New Roman" w:hAnsi="Times New Roman" w:eastAsia="宋体" w:cs="Times New Roman"/>
          <w:sz w:val="24"/>
          <w:szCs w:val="24"/>
        </w:rPr>
      </w:pPr>
      <w:r>
        <w:rPr>
          <w:rFonts w:hint="eastAsia" w:ascii="Times New Roman" w:hAnsi="Times New Roman" w:eastAsia="宋体" w:cs="Times New Roman"/>
          <w:sz w:val="24"/>
          <w:szCs w:val="24"/>
          <w:vertAlign w:val="superscript"/>
        </w:rPr>
        <w:t>2</w:t>
      </w:r>
      <w:r>
        <w:rPr>
          <w:rFonts w:hint="eastAsia" w:ascii="Times New Roman" w:hAnsi="Times New Roman" w:eastAsia="宋体" w:cs="Times New Roman"/>
          <w:sz w:val="24"/>
          <w:szCs w:val="24"/>
        </w:rPr>
        <w:t>Anhui Medical University, Hefei 230032, China</w:t>
      </w:r>
    </w:p>
    <w:bookmarkEnd w:id="6"/>
    <w:p w14:paraId="424D72C4">
      <w:pPr>
        <w:widowControl/>
        <w:rPr>
          <w:rFonts w:ascii="Times New Roman" w:hAnsi="Times New Roman" w:eastAsia="宋体" w:cs="Times New Roman"/>
          <w:sz w:val="24"/>
          <w:szCs w:val="24"/>
        </w:rPr>
      </w:pPr>
      <w:r>
        <w:rPr>
          <w:rFonts w:hint="eastAsia" w:ascii="Times New Roman" w:hAnsi="Times New Roman" w:eastAsia="宋体" w:cs="Times New Roman"/>
          <w:sz w:val="24"/>
          <w:szCs w:val="24"/>
          <w:vertAlign w:val="superscript"/>
        </w:rPr>
        <w:t>3</w:t>
      </w:r>
      <w:r>
        <w:rPr>
          <w:rFonts w:hint="eastAsia" w:ascii="Times New Roman" w:hAnsi="Times New Roman" w:eastAsia="宋体" w:cs="Times New Roman"/>
          <w:sz w:val="24"/>
          <w:szCs w:val="24"/>
        </w:rPr>
        <w:t>National Clinical Medical Research Centre for Blood System Diseases, Anhui Branch Centre, Hefei 230032, China</w:t>
      </w:r>
    </w:p>
    <w:p w14:paraId="490150C5"/>
    <w:p w14:paraId="71465D13">
      <w:pPr>
        <w:spacing w:line="360" w:lineRule="auto"/>
        <w:rPr>
          <w:rFonts w:ascii="Times New Roman" w:hAnsi="Times New Roman" w:cs="Times New Roman"/>
          <w:color w:val="000000"/>
        </w:rPr>
      </w:pPr>
      <w:r>
        <w:rPr>
          <w:rFonts w:hint="eastAsia" w:ascii="Times New Roman" w:hAnsi="Times New Roman" w:cs="Times New Roman"/>
          <w:color w:val="000000"/>
          <w:lang w:val="en-US" w:eastAsia="zh-CN"/>
        </w:rPr>
        <w:t>*</w:t>
      </w:r>
      <w:r>
        <w:rPr>
          <w:rFonts w:ascii="Times New Roman" w:hAnsi="Times New Roman" w:cs="Times New Roman"/>
          <w:color w:val="000000"/>
        </w:rPr>
        <w:t>Correspondence should be addressed to:</w:t>
      </w:r>
      <w:r>
        <w:rPr>
          <w:rFonts w:hint="eastAsia" w:ascii="Times New Roman" w:hAnsi="Times New Roman" w:cs="Times New Roman"/>
          <w:color w:val="000000"/>
        </w:rPr>
        <w:t xml:space="preserve"> </w:t>
      </w:r>
    </w:p>
    <w:p w14:paraId="36A158A3">
      <w:pPr>
        <w:spacing w:line="360" w:lineRule="auto"/>
        <w:rPr>
          <w:rFonts w:ascii="Times New Roman" w:hAnsi="Times New Roman" w:cs="Times New Roman"/>
          <w:color w:val="000000"/>
        </w:rPr>
      </w:pPr>
      <w:r>
        <w:rPr>
          <w:rFonts w:ascii="Times New Roman" w:hAnsi="Times New Roman" w:cs="Times New Roman"/>
          <w:color w:val="000000"/>
        </w:rPr>
        <w:t>gejian@ahmu.edu.cn</w:t>
      </w:r>
    </w:p>
    <w:p w14:paraId="4F8C9297">
      <w:pPr>
        <w:rPr>
          <w:rFonts w:hint="eastAsia"/>
          <w:lang w:val="en-US" w:eastAsia="zh-CN"/>
        </w:rPr>
      </w:pPr>
    </w:p>
    <w:p w14:paraId="42B1E348">
      <w:pP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Changqing Jiao and Xiaoyu Ma have contributed equally to this work.</w:t>
      </w:r>
    </w:p>
    <w:p w14:paraId="09D42875">
      <w:pPr>
        <w:widowControl/>
        <w:rPr>
          <w:rFonts w:hint="eastAsia" w:ascii="Times New Roman" w:hAnsi="Times New Roman" w:eastAsia="宋体" w:cs="Times New Roman"/>
          <w:color w:val="2A2B2E"/>
          <w:szCs w:val="21"/>
          <w:shd w:val="clear" w:color="auto" w:fill="FFFFFF"/>
        </w:rPr>
      </w:pPr>
    </w:p>
    <w:p w14:paraId="3D31FCC2">
      <w:pPr>
        <w:rPr>
          <w:b/>
        </w:rPr>
      </w:pPr>
      <w:r>
        <w:rPr>
          <w:b/>
        </w:rPr>
        <w:t>List of supplementary information</w:t>
      </w:r>
    </w:p>
    <w:p w14:paraId="384C7611">
      <w:pPr>
        <w:ind w:firstLine="482"/>
        <w:rPr>
          <w:b/>
        </w:rPr>
      </w:pPr>
    </w:p>
    <w:p w14:paraId="3503576A">
      <w:pPr>
        <w:pStyle w:val="5"/>
        <w:numPr>
          <w:ilvl w:val="0"/>
          <w:numId w:val="1"/>
        </w:numPr>
        <w:ind w:firstLineChars="0"/>
        <w:rPr>
          <w:rFonts w:ascii="Times New Roman" w:hAnsi="Times New Roman" w:cs="Times New Roman"/>
          <w:bCs/>
          <w:sz w:val="24"/>
          <w:szCs w:val="24"/>
        </w:rPr>
      </w:pPr>
      <w:r>
        <w:rPr>
          <w:rFonts w:ascii="Times New Roman" w:hAnsi="Times New Roman" w:cs="Times New Roman"/>
          <w:bCs/>
          <w:sz w:val="24"/>
          <w:szCs w:val="24"/>
        </w:rPr>
        <w:t>Supplementary tables</w:t>
      </w:r>
    </w:p>
    <w:p w14:paraId="6DC8BA41">
      <w:pPr>
        <w:pStyle w:val="5"/>
        <w:numPr>
          <w:ilvl w:val="0"/>
          <w:numId w:val="1"/>
        </w:numPr>
        <w:ind w:firstLineChars="0"/>
        <w:rPr>
          <w:rFonts w:ascii="Times New Roman" w:hAnsi="Times New Roman" w:cs="Times New Roman"/>
          <w:b/>
          <w:sz w:val="24"/>
          <w:szCs w:val="24"/>
        </w:rPr>
      </w:pPr>
      <w:r>
        <w:rPr>
          <w:rFonts w:ascii="Times New Roman" w:hAnsi="Times New Roman" w:cs="Times New Roman"/>
          <w:bCs/>
          <w:sz w:val="24"/>
          <w:szCs w:val="24"/>
        </w:rPr>
        <w:t>Supplementary figures</w:t>
      </w:r>
    </w:p>
    <w:p w14:paraId="41DDB2E8">
      <w:pPr>
        <w:widowControl/>
        <w:rPr>
          <w:rFonts w:hint="eastAsia" w:ascii="Times New Roman" w:hAnsi="Times New Roman" w:eastAsia="宋体" w:cs="Times New Roman"/>
          <w:color w:val="2A2B2E"/>
          <w:szCs w:val="21"/>
          <w:shd w:val="clear" w:color="auto" w:fill="FFFFFF"/>
        </w:rPr>
      </w:pPr>
    </w:p>
    <w:p w14:paraId="7AF2D377">
      <w:pPr>
        <w:rPr>
          <w:rFonts w:hint="default" w:ascii="Times New Roman" w:hAnsi="Times New Roman" w:eastAsia="宋体" w:cs="Times New Roman"/>
          <w:b/>
          <w:bCs/>
          <w:color w:val="2A2B2E"/>
          <w:sz w:val="24"/>
          <w:szCs w:val="24"/>
          <w:shd w:val="clear" w:color="auto" w:fill="FFFFFF"/>
        </w:rPr>
      </w:pPr>
    </w:p>
    <w:p w14:paraId="5FE33804">
      <w:pPr>
        <w:rPr>
          <w:rFonts w:hint="default" w:ascii="Times New Roman" w:hAnsi="Times New Roman" w:eastAsia="宋体" w:cs="Times New Roman"/>
          <w:b/>
          <w:bCs/>
          <w:color w:val="2A2B2E"/>
          <w:sz w:val="24"/>
          <w:szCs w:val="24"/>
          <w:shd w:val="clear" w:color="auto" w:fill="FFFFFF"/>
        </w:rPr>
      </w:pPr>
    </w:p>
    <w:p w14:paraId="73C0C332">
      <w:pPr>
        <w:rPr>
          <w:rFonts w:hint="default" w:ascii="Times New Roman" w:hAnsi="Times New Roman" w:eastAsia="宋体" w:cs="Times New Roman"/>
          <w:b/>
          <w:bCs/>
          <w:color w:val="2A2B2E"/>
          <w:sz w:val="24"/>
          <w:szCs w:val="24"/>
          <w:shd w:val="clear" w:color="auto" w:fill="FFFFFF"/>
        </w:rPr>
      </w:pPr>
    </w:p>
    <w:p w14:paraId="1CBBEA66">
      <w:pPr>
        <w:rPr>
          <w:rFonts w:hint="default" w:ascii="Times New Roman" w:hAnsi="Times New Roman" w:eastAsia="宋体" w:cs="Times New Roman"/>
          <w:b/>
          <w:bCs/>
          <w:color w:val="2A2B2E"/>
          <w:sz w:val="24"/>
          <w:szCs w:val="24"/>
          <w:shd w:val="clear" w:color="auto" w:fill="FFFFFF"/>
        </w:rPr>
      </w:pPr>
    </w:p>
    <w:p w14:paraId="18DD8859">
      <w:pPr>
        <w:rPr>
          <w:rFonts w:hint="default" w:ascii="Times New Roman" w:hAnsi="Times New Roman" w:eastAsia="宋体" w:cs="Times New Roman"/>
          <w:b/>
          <w:bCs/>
          <w:color w:val="2A2B2E"/>
          <w:sz w:val="24"/>
          <w:szCs w:val="24"/>
          <w:shd w:val="clear" w:color="auto" w:fill="FFFFFF"/>
        </w:rPr>
      </w:pPr>
    </w:p>
    <w:p w14:paraId="177B3722">
      <w:pPr>
        <w:rPr>
          <w:rFonts w:hint="default" w:ascii="Times New Roman" w:hAnsi="Times New Roman" w:eastAsia="宋体" w:cs="Times New Roman"/>
          <w:b/>
          <w:bCs/>
          <w:color w:val="2A2B2E"/>
          <w:sz w:val="24"/>
          <w:szCs w:val="24"/>
          <w:shd w:val="clear" w:color="auto" w:fill="FFFFFF"/>
        </w:rPr>
      </w:pPr>
    </w:p>
    <w:p w14:paraId="50CB5875">
      <w:pPr>
        <w:rPr>
          <w:rFonts w:hint="default" w:ascii="Times New Roman" w:hAnsi="Times New Roman" w:eastAsia="宋体" w:cs="Times New Roman"/>
          <w:b/>
          <w:bCs/>
          <w:color w:val="2A2B2E"/>
          <w:sz w:val="24"/>
          <w:szCs w:val="24"/>
          <w:shd w:val="clear" w:color="auto" w:fill="FFFFFF"/>
        </w:rPr>
      </w:pPr>
    </w:p>
    <w:p w14:paraId="750A319C">
      <w:pPr>
        <w:rPr>
          <w:rFonts w:hint="default" w:ascii="Times New Roman" w:hAnsi="Times New Roman" w:eastAsia="宋体" w:cs="Times New Roman"/>
          <w:b/>
          <w:bCs/>
          <w:color w:val="2A2B2E"/>
          <w:sz w:val="24"/>
          <w:szCs w:val="24"/>
          <w:shd w:val="clear" w:color="auto" w:fill="FFFFFF"/>
        </w:rPr>
      </w:pPr>
    </w:p>
    <w:p w14:paraId="4856BC2F">
      <w:pPr>
        <w:rPr>
          <w:rFonts w:hint="default" w:ascii="Times New Roman" w:hAnsi="Times New Roman" w:eastAsia="宋体" w:cs="Times New Roman"/>
          <w:b/>
          <w:bCs/>
          <w:color w:val="2A2B2E"/>
          <w:sz w:val="24"/>
          <w:szCs w:val="24"/>
          <w:shd w:val="clear" w:color="auto" w:fill="FFFFFF"/>
        </w:rPr>
      </w:pPr>
    </w:p>
    <w:p w14:paraId="742A50F0">
      <w:pPr>
        <w:rPr>
          <w:rFonts w:hint="default" w:ascii="Times New Roman" w:hAnsi="Times New Roman" w:eastAsia="宋体" w:cs="Times New Roman"/>
          <w:b/>
          <w:bCs/>
          <w:color w:val="2A2B2E"/>
          <w:sz w:val="24"/>
          <w:szCs w:val="24"/>
          <w:shd w:val="clear" w:color="auto" w:fill="FFFFFF"/>
        </w:rPr>
      </w:pPr>
    </w:p>
    <w:p w14:paraId="45432E2D">
      <w:pPr>
        <w:rPr>
          <w:rFonts w:hint="default" w:ascii="Times New Roman" w:hAnsi="Times New Roman" w:eastAsia="宋体" w:cs="Times New Roman"/>
          <w:b/>
          <w:bCs/>
          <w:color w:val="2A2B2E"/>
          <w:sz w:val="24"/>
          <w:szCs w:val="24"/>
          <w:shd w:val="clear" w:color="auto" w:fill="FFFFFF"/>
        </w:rPr>
      </w:pPr>
    </w:p>
    <w:p w14:paraId="06BFC50B">
      <w:pPr>
        <w:rPr>
          <w:rFonts w:hint="default" w:ascii="Times New Roman" w:hAnsi="Times New Roman" w:eastAsia="宋体" w:cs="Times New Roman"/>
          <w:b/>
          <w:bCs/>
          <w:color w:val="2A2B2E"/>
          <w:sz w:val="24"/>
          <w:szCs w:val="24"/>
          <w:shd w:val="clear" w:color="auto" w:fill="FFFFFF"/>
        </w:rPr>
      </w:pPr>
    </w:p>
    <w:p w14:paraId="4660311B">
      <w:pPr>
        <w:rPr>
          <w:rFonts w:hint="default" w:ascii="Times New Roman" w:hAnsi="Times New Roman" w:eastAsia="宋体" w:cs="Times New Roman"/>
          <w:b/>
          <w:bCs/>
          <w:color w:val="2A2B2E"/>
          <w:sz w:val="24"/>
          <w:szCs w:val="24"/>
          <w:shd w:val="clear" w:color="auto" w:fill="FFFFFF"/>
        </w:rPr>
      </w:pPr>
    </w:p>
    <w:p w14:paraId="041E44A1">
      <w:pPr>
        <w:rPr>
          <w:rFonts w:hint="default" w:ascii="Times New Roman" w:hAnsi="Times New Roman" w:eastAsia="宋体" w:cs="Times New Roman"/>
          <w:b/>
          <w:bCs/>
          <w:color w:val="2A2B2E"/>
          <w:sz w:val="24"/>
          <w:szCs w:val="24"/>
          <w:shd w:val="clear" w:color="auto" w:fill="FFFFFF"/>
        </w:rPr>
      </w:pPr>
    </w:p>
    <w:p w14:paraId="5ECD2A33">
      <w:pPr>
        <w:rPr>
          <w:sz w:val="24"/>
          <w:szCs w:val="24"/>
        </w:rPr>
      </w:pPr>
      <w:r>
        <w:rPr>
          <w:rFonts w:hint="default" w:ascii="Times New Roman" w:hAnsi="Times New Roman" w:eastAsia="宋体" w:cs="Times New Roman"/>
          <w:b/>
          <w:bCs/>
          <w:color w:val="2A2B2E"/>
          <w:sz w:val="24"/>
          <w:szCs w:val="24"/>
          <w:shd w:val="clear" w:color="auto" w:fill="FFFFFF"/>
        </w:rPr>
        <w:t>Table S</w:t>
      </w:r>
      <w:r>
        <w:rPr>
          <w:rFonts w:hint="eastAsia" w:ascii="Times New Roman" w:hAnsi="Times New Roman" w:eastAsia="宋体" w:cs="Times New Roman"/>
          <w:b/>
          <w:bCs/>
          <w:color w:val="2A2B2E"/>
          <w:sz w:val="24"/>
          <w:szCs w:val="24"/>
          <w:shd w:val="clear" w:color="auto" w:fill="FFFFFF"/>
          <w:lang w:val="en-US" w:eastAsia="zh-CN"/>
        </w:rPr>
        <w:t>1</w:t>
      </w:r>
      <w:r>
        <w:rPr>
          <w:rFonts w:hint="default" w:ascii="Times New Roman" w:hAnsi="Times New Roman" w:eastAsia="宋体" w:cs="Times New Roman"/>
          <w:b/>
          <w:bCs/>
          <w:color w:val="2A2B2E"/>
          <w:sz w:val="24"/>
          <w:szCs w:val="24"/>
          <w:shd w:val="clear" w:color="auto" w:fill="FFFFFF"/>
        </w:rPr>
        <w:t xml:space="preserve"> ICD-related gene list</w:t>
      </w:r>
    </w:p>
    <w:tbl>
      <w:tblPr>
        <w:tblStyle w:val="3"/>
        <w:tblpPr w:leftFromText="180" w:rightFromText="180" w:vertAnchor="text" w:horzAnchor="page" w:tblpXSpec="center" w:tblpY="612"/>
        <w:tblOverlap w:val="never"/>
        <w:tblW w:w="8379" w:type="dxa"/>
        <w:jc w:val="center"/>
        <w:tblLayout w:type="fixed"/>
        <w:tblCellMar>
          <w:top w:w="0" w:type="dxa"/>
          <w:left w:w="108" w:type="dxa"/>
          <w:bottom w:w="0" w:type="dxa"/>
          <w:right w:w="108" w:type="dxa"/>
        </w:tblCellMar>
      </w:tblPr>
      <w:tblGrid>
        <w:gridCol w:w="1653"/>
        <w:gridCol w:w="6726"/>
      </w:tblGrid>
      <w:tr w14:paraId="6C4F219F">
        <w:tblPrEx>
          <w:tblCellMar>
            <w:top w:w="0" w:type="dxa"/>
            <w:left w:w="108" w:type="dxa"/>
            <w:bottom w:w="0" w:type="dxa"/>
            <w:right w:w="108" w:type="dxa"/>
          </w:tblCellMar>
        </w:tblPrEx>
        <w:trPr>
          <w:trHeight w:val="414" w:hRule="atLeast"/>
          <w:jc w:val="center"/>
        </w:trPr>
        <w:tc>
          <w:tcPr>
            <w:tcW w:w="1653" w:type="dxa"/>
            <w:tcBorders>
              <w:top w:val="single" w:color="000000" w:sz="8" w:space="0"/>
              <w:left w:val="nil"/>
              <w:bottom w:val="single" w:color="000000" w:sz="8" w:space="0"/>
              <w:right w:val="nil"/>
            </w:tcBorders>
            <w:shd w:val="clear" w:color="auto" w:fill="auto"/>
            <w:noWrap/>
            <w:vAlign w:val="center"/>
          </w:tcPr>
          <w:p w14:paraId="228FA693">
            <w:pPr>
              <w:widowControl/>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Gene</w:t>
            </w:r>
          </w:p>
        </w:tc>
        <w:tc>
          <w:tcPr>
            <w:tcW w:w="6726" w:type="dxa"/>
            <w:tcBorders>
              <w:top w:val="single" w:color="000000" w:sz="8" w:space="0"/>
              <w:left w:val="nil"/>
              <w:bottom w:val="single" w:color="000000" w:sz="8" w:space="0"/>
              <w:right w:val="nil"/>
            </w:tcBorders>
            <w:shd w:val="clear" w:color="auto" w:fill="auto"/>
            <w:noWrap/>
            <w:vAlign w:val="center"/>
          </w:tcPr>
          <w:p w14:paraId="478BE82A">
            <w:pPr>
              <w:widowControl/>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Full name</w:t>
            </w:r>
          </w:p>
        </w:tc>
      </w:tr>
      <w:tr w14:paraId="357FACB7">
        <w:tblPrEx>
          <w:tblCellMar>
            <w:top w:w="0" w:type="dxa"/>
            <w:left w:w="108" w:type="dxa"/>
            <w:bottom w:w="0" w:type="dxa"/>
            <w:right w:w="108" w:type="dxa"/>
          </w:tblCellMar>
        </w:tblPrEx>
        <w:trPr>
          <w:trHeight w:val="414" w:hRule="atLeast"/>
          <w:jc w:val="center"/>
        </w:trPr>
        <w:tc>
          <w:tcPr>
            <w:tcW w:w="1653" w:type="dxa"/>
            <w:tcBorders>
              <w:top w:val="nil"/>
              <w:left w:val="nil"/>
              <w:bottom w:val="nil"/>
              <w:right w:val="nil"/>
            </w:tcBorders>
            <w:shd w:val="clear" w:color="auto" w:fill="DBE3F4" w:themeFill="accent1" w:themeFillTint="32"/>
            <w:noWrap/>
            <w:vAlign w:val="center"/>
          </w:tcPr>
          <w:p w14:paraId="27A8DBC9">
            <w:pPr>
              <w:widowControl/>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ATG5</w:t>
            </w:r>
          </w:p>
        </w:tc>
        <w:tc>
          <w:tcPr>
            <w:tcW w:w="6726" w:type="dxa"/>
            <w:tcBorders>
              <w:top w:val="nil"/>
              <w:left w:val="nil"/>
              <w:bottom w:val="nil"/>
              <w:right w:val="nil"/>
            </w:tcBorders>
            <w:shd w:val="clear" w:color="auto" w:fill="DBE3F4" w:themeFill="accent1" w:themeFillTint="32"/>
            <w:noWrap/>
            <w:vAlign w:val="center"/>
          </w:tcPr>
          <w:p w14:paraId="1ED0D4C9">
            <w:pPr>
              <w:widowControl/>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Autophagy related 5</w:t>
            </w:r>
          </w:p>
        </w:tc>
      </w:tr>
      <w:tr w14:paraId="46724E46">
        <w:tblPrEx>
          <w:tblCellMar>
            <w:top w:w="0" w:type="dxa"/>
            <w:left w:w="108" w:type="dxa"/>
            <w:bottom w:w="0" w:type="dxa"/>
            <w:right w:w="108" w:type="dxa"/>
          </w:tblCellMar>
        </w:tblPrEx>
        <w:trPr>
          <w:trHeight w:val="305" w:hRule="atLeast"/>
          <w:jc w:val="center"/>
        </w:trPr>
        <w:tc>
          <w:tcPr>
            <w:tcW w:w="1653" w:type="dxa"/>
            <w:tcBorders>
              <w:top w:val="nil"/>
              <w:left w:val="nil"/>
              <w:bottom w:val="nil"/>
              <w:right w:val="nil"/>
            </w:tcBorders>
            <w:shd w:val="clear" w:color="auto" w:fill="auto"/>
            <w:noWrap/>
            <w:vAlign w:val="center"/>
          </w:tcPr>
          <w:p w14:paraId="6A9181F2">
            <w:pPr>
              <w:widowControl/>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BAX</w:t>
            </w:r>
          </w:p>
        </w:tc>
        <w:tc>
          <w:tcPr>
            <w:tcW w:w="6726" w:type="dxa"/>
            <w:tcBorders>
              <w:top w:val="nil"/>
              <w:left w:val="nil"/>
              <w:bottom w:val="nil"/>
              <w:right w:val="nil"/>
            </w:tcBorders>
            <w:shd w:val="clear" w:color="auto" w:fill="auto"/>
            <w:noWrap/>
            <w:vAlign w:val="center"/>
          </w:tcPr>
          <w:p w14:paraId="358C12CD">
            <w:pPr>
              <w:widowControl/>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BCL2 Associated X</w:t>
            </w:r>
          </w:p>
        </w:tc>
      </w:tr>
      <w:tr w14:paraId="1DBCF639">
        <w:tblPrEx>
          <w:tblCellMar>
            <w:top w:w="0" w:type="dxa"/>
            <w:left w:w="108" w:type="dxa"/>
            <w:bottom w:w="0" w:type="dxa"/>
            <w:right w:w="108" w:type="dxa"/>
          </w:tblCellMar>
        </w:tblPrEx>
        <w:trPr>
          <w:trHeight w:val="305" w:hRule="atLeast"/>
          <w:jc w:val="center"/>
        </w:trPr>
        <w:tc>
          <w:tcPr>
            <w:tcW w:w="1653" w:type="dxa"/>
            <w:tcBorders>
              <w:top w:val="nil"/>
              <w:left w:val="nil"/>
              <w:bottom w:val="nil"/>
              <w:right w:val="nil"/>
            </w:tcBorders>
            <w:shd w:val="clear" w:color="auto" w:fill="DBE3F4" w:themeFill="accent1" w:themeFillTint="32"/>
            <w:noWrap/>
            <w:vAlign w:val="center"/>
          </w:tcPr>
          <w:p w14:paraId="2A6CC3ED">
            <w:pPr>
              <w:widowControl/>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CALR</w:t>
            </w:r>
          </w:p>
        </w:tc>
        <w:tc>
          <w:tcPr>
            <w:tcW w:w="6726" w:type="dxa"/>
            <w:tcBorders>
              <w:top w:val="nil"/>
              <w:left w:val="nil"/>
              <w:bottom w:val="nil"/>
              <w:right w:val="nil"/>
            </w:tcBorders>
            <w:shd w:val="clear" w:color="auto" w:fill="DBE3F4" w:themeFill="accent1" w:themeFillTint="32"/>
            <w:noWrap/>
            <w:vAlign w:val="center"/>
          </w:tcPr>
          <w:p w14:paraId="447DFA61">
            <w:pPr>
              <w:widowControl/>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Calreticulin</w:t>
            </w:r>
          </w:p>
        </w:tc>
      </w:tr>
      <w:tr w14:paraId="364E0E00">
        <w:tblPrEx>
          <w:tblCellMar>
            <w:top w:w="0" w:type="dxa"/>
            <w:left w:w="108" w:type="dxa"/>
            <w:bottom w:w="0" w:type="dxa"/>
            <w:right w:w="108" w:type="dxa"/>
          </w:tblCellMar>
        </w:tblPrEx>
        <w:trPr>
          <w:trHeight w:val="305" w:hRule="atLeast"/>
          <w:jc w:val="center"/>
        </w:trPr>
        <w:tc>
          <w:tcPr>
            <w:tcW w:w="1653" w:type="dxa"/>
            <w:tcBorders>
              <w:top w:val="nil"/>
              <w:left w:val="nil"/>
              <w:bottom w:val="nil"/>
              <w:right w:val="nil"/>
            </w:tcBorders>
            <w:shd w:val="clear" w:color="auto" w:fill="auto"/>
            <w:noWrap/>
            <w:vAlign w:val="center"/>
          </w:tcPr>
          <w:p w14:paraId="55A1FB82">
            <w:pPr>
              <w:widowControl/>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CASP1</w:t>
            </w:r>
          </w:p>
        </w:tc>
        <w:tc>
          <w:tcPr>
            <w:tcW w:w="6726" w:type="dxa"/>
            <w:tcBorders>
              <w:top w:val="nil"/>
              <w:left w:val="nil"/>
              <w:bottom w:val="nil"/>
              <w:right w:val="nil"/>
            </w:tcBorders>
            <w:shd w:val="clear" w:color="auto" w:fill="auto"/>
            <w:noWrap/>
            <w:vAlign w:val="center"/>
          </w:tcPr>
          <w:p w14:paraId="53187A0C">
            <w:pPr>
              <w:widowControl/>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Cysteine-aspartic acid protease-1</w:t>
            </w:r>
          </w:p>
        </w:tc>
      </w:tr>
      <w:tr w14:paraId="5DA46533">
        <w:tblPrEx>
          <w:tblCellMar>
            <w:top w:w="0" w:type="dxa"/>
            <w:left w:w="108" w:type="dxa"/>
            <w:bottom w:w="0" w:type="dxa"/>
            <w:right w:w="108" w:type="dxa"/>
          </w:tblCellMar>
        </w:tblPrEx>
        <w:trPr>
          <w:trHeight w:val="305" w:hRule="atLeast"/>
          <w:jc w:val="center"/>
        </w:trPr>
        <w:tc>
          <w:tcPr>
            <w:tcW w:w="1653" w:type="dxa"/>
            <w:tcBorders>
              <w:top w:val="nil"/>
              <w:left w:val="nil"/>
              <w:bottom w:val="nil"/>
              <w:right w:val="nil"/>
            </w:tcBorders>
            <w:shd w:val="clear" w:color="auto" w:fill="DBE3F4" w:themeFill="accent1" w:themeFillTint="32"/>
            <w:noWrap/>
            <w:vAlign w:val="center"/>
          </w:tcPr>
          <w:p w14:paraId="593F3CBA">
            <w:pPr>
              <w:widowControl/>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CASP8</w:t>
            </w:r>
          </w:p>
        </w:tc>
        <w:tc>
          <w:tcPr>
            <w:tcW w:w="6726" w:type="dxa"/>
            <w:tcBorders>
              <w:top w:val="nil"/>
              <w:left w:val="nil"/>
              <w:bottom w:val="nil"/>
              <w:right w:val="nil"/>
            </w:tcBorders>
            <w:shd w:val="clear" w:color="auto" w:fill="DBE3F4" w:themeFill="accent1" w:themeFillTint="32"/>
            <w:noWrap/>
            <w:vAlign w:val="center"/>
          </w:tcPr>
          <w:p w14:paraId="225C3919">
            <w:pPr>
              <w:widowControl/>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Cysteine-aspartic acid protease-8</w:t>
            </w:r>
          </w:p>
        </w:tc>
      </w:tr>
      <w:tr w14:paraId="17EFC5B6">
        <w:tblPrEx>
          <w:tblCellMar>
            <w:top w:w="0" w:type="dxa"/>
            <w:left w:w="108" w:type="dxa"/>
            <w:bottom w:w="0" w:type="dxa"/>
            <w:right w:w="108" w:type="dxa"/>
          </w:tblCellMar>
        </w:tblPrEx>
        <w:trPr>
          <w:trHeight w:val="305" w:hRule="atLeast"/>
          <w:jc w:val="center"/>
        </w:trPr>
        <w:tc>
          <w:tcPr>
            <w:tcW w:w="1653" w:type="dxa"/>
            <w:tcBorders>
              <w:top w:val="nil"/>
              <w:left w:val="nil"/>
              <w:bottom w:val="nil"/>
              <w:right w:val="nil"/>
            </w:tcBorders>
            <w:shd w:val="clear" w:color="auto" w:fill="auto"/>
            <w:noWrap/>
            <w:vAlign w:val="center"/>
          </w:tcPr>
          <w:p w14:paraId="1009E759">
            <w:pPr>
              <w:widowControl/>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CD4</w:t>
            </w:r>
          </w:p>
        </w:tc>
        <w:tc>
          <w:tcPr>
            <w:tcW w:w="6726" w:type="dxa"/>
            <w:tcBorders>
              <w:top w:val="nil"/>
              <w:left w:val="nil"/>
              <w:bottom w:val="nil"/>
              <w:right w:val="nil"/>
            </w:tcBorders>
            <w:shd w:val="clear" w:color="auto" w:fill="auto"/>
            <w:noWrap/>
            <w:vAlign w:val="center"/>
          </w:tcPr>
          <w:p w14:paraId="5536D21A">
            <w:pPr>
              <w:widowControl/>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CD4 molecule</w:t>
            </w:r>
          </w:p>
        </w:tc>
      </w:tr>
      <w:tr w14:paraId="432A7D17">
        <w:tblPrEx>
          <w:tblCellMar>
            <w:top w:w="0" w:type="dxa"/>
            <w:left w:w="108" w:type="dxa"/>
            <w:bottom w:w="0" w:type="dxa"/>
            <w:right w:w="108" w:type="dxa"/>
          </w:tblCellMar>
        </w:tblPrEx>
        <w:trPr>
          <w:trHeight w:val="305" w:hRule="atLeast"/>
          <w:jc w:val="center"/>
        </w:trPr>
        <w:tc>
          <w:tcPr>
            <w:tcW w:w="1653" w:type="dxa"/>
            <w:tcBorders>
              <w:top w:val="nil"/>
              <w:left w:val="nil"/>
              <w:bottom w:val="nil"/>
              <w:right w:val="nil"/>
            </w:tcBorders>
            <w:shd w:val="clear" w:color="auto" w:fill="DBE3F4" w:themeFill="accent1" w:themeFillTint="32"/>
            <w:noWrap/>
            <w:vAlign w:val="center"/>
          </w:tcPr>
          <w:p w14:paraId="4148B7D8">
            <w:pPr>
              <w:widowControl/>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CD8A</w:t>
            </w:r>
          </w:p>
        </w:tc>
        <w:tc>
          <w:tcPr>
            <w:tcW w:w="6726" w:type="dxa"/>
            <w:tcBorders>
              <w:top w:val="nil"/>
              <w:left w:val="nil"/>
              <w:bottom w:val="nil"/>
              <w:right w:val="nil"/>
            </w:tcBorders>
            <w:shd w:val="clear" w:color="auto" w:fill="DBE3F4" w:themeFill="accent1" w:themeFillTint="32"/>
            <w:noWrap/>
            <w:vAlign w:val="center"/>
          </w:tcPr>
          <w:p w14:paraId="7CB15546">
            <w:pPr>
              <w:widowControl/>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CD8 subunit alpha</w:t>
            </w:r>
          </w:p>
        </w:tc>
      </w:tr>
      <w:tr w14:paraId="1D5C79D1">
        <w:tblPrEx>
          <w:tblCellMar>
            <w:top w:w="0" w:type="dxa"/>
            <w:left w:w="108" w:type="dxa"/>
            <w:bottom w:w="0" w:type="dxa"/>
            <w:right w:w="108" w:type="dxa"/>
          </w:tblCellMar>
        </w:tblPrEx>
        <w:trPr>
          <w:trHeight w:val="308" w:hRule="exact"/>
          <w:jc w:val="center"/>
        </w:trPr>
        <w:tc>
          <w:tcPr>
            <w:tcW w:w="1653" w:type="dxa"/>
            <w:tcBorders>
              <w:top w:val="nil"/>
              <w:left w:val="nil"/>
              <w:bottom w:val="nil"/>
              <w:right w:val="nil"/>
            </w:tcBorders>
            <w:shd w:val="clear" w:color="auto" w:fill="auto"/>
            <w:noWrap/>
            <w:vAlign w:val="center"/>
          </w:tcPr>
          <w:p w14:paraId="38D06DCE">
            <w:pPr>
              <w:widowControl/>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CD8B</w:t>
            </w:r>
          </w:p>
        </w:tc>
        <w:tc>
          <w:tcPr>
            <w:tcW w:w="6726" w:type="dxa"/>
            <w:tcBorders>
              <w:top w:val="nil"/>
              <w:left w:val="nil"/>
              <w:bottom w:val="nil"/>
              <w:right w:val="nil"/>
            </w:tcBorders>
            <w:shd w:val="clear" w:color="auto" w:fill="auto"/>
            <w:noWrap/>
            <w:vAlign w:val="center"/>
          </w:tcPr>
          <w:p w14:paraId="0A23C43C">
            <w:pPr>
              <w:widowControl/>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CD8 subunit beta</w:t>
            </w:r>
          </w:p>
        </w:tc>
      </w:tr>
      <w:tr w14:paraId="34FFF8EA">
        <w:tblPrEx>
          <w:tblCellMar>
            <w:top w:w="0" w:type="dxa"/>
            <w:left w:w="108" w:type="dxa"/>
            <w:bottom w:w="0" w:type="dxa"/>
            <w:right w:w="108" w:type="dxa"/>
          </w:tblCellMar>
        </w:tblPrEx>
        <w:trPr>
          <w:trHeight w:val="305" w:hRule="atLeast"/>
          <w:jc w:val="center"/>
        </w:trPr>
        <w:tc>
          <w:tcPr>
            <w:tcW w:w="1653" w:type="dxa"/>
            <w:tcBorders>
              <w:top w:val="nil"/>
              <w:left w:val="nil"/>
              <w:bottom w:val="nil"/>
              <w:right w:val="nil"/>
            </w:tcBorders>
            <w:shd w:val="clear" w:color="auto" w:fill="DBE3F4" w:themeFill="accent1" w:themeFillTint="32"/>
            <w:noWrap/>
            <w:vAlign w:val="center"/>
          </w:tcPr>
          <w:p w14:paraId="221452EE">
            <w:pPr>
              <w:widowControl/>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CXCR3</w:t>
            </w:r>
          </w:p>
        </w:tc>
        <w:tc>
          <w:tcPr>
            <w:tcW w:w="6726" w:type="dxa"/>
            <w:tcBorders>
              <w:top w:val="nil"/>
              <w:left w:val="nil"/>
              <w:bottom w:val="nil"/>
              <w:right w:val="nil"/>
            </w:tcBorders>
            <w:shd w:val="clear" w:color="auto" w:fill="DBE3F4" w:themeFill="accent1" w:themeFillTint="32"/>
            <w:noWrap/>
            <w:vAlign w:val="center"/>
          </w:tcPr>
          <w:p w14:paraId="7C45A03D">
            <w:pPr>
              <w:widowControl/>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C-X-C motif chemokine receptor 3</w:t>
            </w:r>
          </w:p>
        </w:tc>
      </w:tr>
      <w:tr w14:paraId="37FAABA6">
        <w:tblPrEx>
          <w:tblCellMar>
            <w:top w:w="0" w:type="dxa"/>
            <w:left w:w="108" w:type="dxa"/>
            <w:bottom w:w="0" w:type="dxa"/>
            <w:right w:w="108" w:type="dxa"/>
          </w:tblCellMar>
        </w:tblPrEx>
        <w:trPr>
          <w:trHeight w:val="305" w:hRule="atLeast"/>
          <w:jc w:val="center"/>
        </w:trPr>
        <w:tc>
          <w:tcPr>
            <w:tcW w:w="1653" w:type="dxa"/>
            <w:tcBorders>
              <w:top w:val="nil"/>
              <w:left w:val="nil"/>
              <w:bottom w:val="nil"/>
              <w:right w:val="nil"/>
            </w:tcBorders>
            <w:shd w:val="clear" w:color="auto" w:fill="auto"/>
            <w:noWrap/>
            <w:vAlign w:val="center"/>
          </w:tcPr>
          <w:p w14:paraId="6453657C">
            <w:pPr>
              <w:widowControl/>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EIF2AK3</w:t>
            </w:r>
          </w:p>
        </w:tc>
        <w:tc>
          <w:tcPr>
            <w:tcW w:w="6726" w:type="dxa"/>
            <w:tcBorders>
              <w:top w:val="nil"/>
              <w:left w:val="nil"/>
              <w:bottom w:val="nil"/>
              <w:right w:val="nil"/>
            </w:tcBorders>
            <w:shd w:val="clear" w:color="auto" w:fill="auto"/>
            <w:noWrap/>
            <w:vAlign w:val="center"/>
          </w:tcPr>
          <w:p w14:paraId="0AE99AEA">
            <w:pPr>
              <w:widowControl/>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Eukaryotic translation initiation factor 2 alpha kinase 3</w:t>
            </w:r>
          </w:p>
        </w:tc>
      </w:tr>
      <w:tr w14:paraId="533214FD">
        <w:tblPrEx>
          <w:tblCellMar>
            <w:top w:w="0" w:type="dxa"/>
            <w:left w:w="108" w:type="dxa"/>
            <w:bottom w:w="0" w:type="dxa"/>
            <w:right w:w="108" w:type="dxa"/>
          </w:tblCellMar>
        </w:tblPrEx>
        <w:trPr>
          <w:trHeight w:val="305" w:hRule="atLeast"/>
          <w:jc w:val="center"/>
        </w:trPr>
        <w:tc>
          <w:tcPr>
            <w:tcW w:w="1653" w:type="dxa"/>
            <w:tcBorders>
              <w:top w:val="nil"/>
              <w:left w:val="nil"/>
              <w:bottom w:val="nil"/>
              <w:right w:val="nil"/>
            </w:tcBorders>
            <w:shd w:val="clear" w:color="auto" w:fill="DBE3F4" w:themeFill="accent1" w:themeFillTint="32"/>
            <w:noWrap/>
            <w:vAlign w:val="center"/>
          </w:tcPr>
          <w:p w14:paraId="4CF1DB8F">
            <w:pPr>
              <w:widowControl/>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ENTPD1</w:t>
            </w:r>
          </w:p>
        </w:tc>
        <w:tc>
          <w:tcPr>
            <w:tcW w:w="6726" w:type="dxa"/>
            <w:tcBorders>
              <w:top w:val="nil"/>
              <w:left w:val="nil"/>
              <w:bottom w:val="nil"/>
              <w:right w:val="nil"/>
            </w:tcBorders>
            <w:shd w:val="clear" w:color="auto" w:fill="DBE3F4" w:themeFill="accent1" w:themeFillTint="32"/>
            <w:noWrap/>
            <w:vAlign w:val="center"/>
          </w:tcPr>
          <w:p w14:paraId="5682326A">
            <w:pPr>
              <w:widowControl/>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Ectonucleoside triphosphate diphosphohydrolase 1</w:t>
            </w:r>
          </w:p>
        </w:tc>
      </w:tr>
      <w:tr w14:paraId="0B3BF677">
        <w:tblPrEx>
          <w:tblCellMar>
            <w:top w:w="0" w:type="dxa"/>
            <w:left w:w="108" w:type="dxa"/>
            <w:bottom w:w="0" w:type="dxa"/>
            <w:right w:w="108" w:type="dxa"/>
          </w:tblCellMar>
        </w:tblPrEx>
        <w:trPr>
          <w:trHeight w:val="305" w:hRule="atLeast"/>
          <w:jc w:val="center"/>
        </w:trPr>
        <w:tc>
          <w:tcPr>
            <w:tcW w:w="1653" w:type="dxa"/>
            <w:tcBorders>
              <w:top w:val="nil"/>
              <w:left w:val="nil"/>
              <w:bottom w:val="nil"/>
              <w:right w:val="nil"/>
            </w:tcBorders>
            <w:shd w:val="clear" w:color="auto" w:fill="auto"/>
            <w:noWrap/>
            <w:vAlign w:val="center"/>
          </w:tcPr>
          <w:p w14:paraId="7D7F0321">
            <w:pPr>
              <w:widowControl/>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FOXP3</w:t>
            </w:r>
          </w:p>
        </w:tc>
        <w:tc>
          <w:tcPr>
            <w:tcW w:w="6726" w:type="dxa"/>
            <w:tcBorders>
              <w:top w:val="nil"/>
              <w:left w:val="nil"/>
              <w:bottom w:val="nil"/>
              <w:right w:val="nil"/>
            </w:tcBorders>
            <w:shd w:val="clear" w:color="auto" w:fill="auto"/>
            <w:noWrap/>
            <w:vAlign w:val="center"/>
          </w:tcPr>
          <w:p w14:paraId="43F69DCF">
            <w:pPr>
              <w:widowControl/>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Forkhead box P3</w:t>
            </w:r>
          </w:p>
        </w:tc>
      </w:tr>
      <w:tr w14:paraId="7E81A8B3">
        <w:tblPrEx>
          <w:tblCellMar>
            <w:top w:w="0" w:type="dxa"/>
            <w:left w:w="108" w:type="dxa"/>
            <w:bottom w:w="0" w:type="dxa"/>
            <w:right w:w="108" w:type="dxa"/>
          </w:tblCellMar>
        </w:tblPrEx>
        <w:trPr>
          <w:trHeight w:val="305" w:hRule="atLeast"/>
          <w:jc w:val="center"/>
        </w:trPr>
        <w:tc>
          <w:tcPr>
            <w:tcW w:w="1653" w:type="dxa"/>
            <w:tcBorders>
              <w:top w:val="nil"/>
              <w:left w:val="nil"/>
              <w:bottom w:val="nil"/>
              <w:right w:val="nil"/>
            </w:tcBorders>
            <w:shd w:val="clear" w:color="auto" w:fill="DBE3F4" w:themeFill="accent1" w:themeFillTint="32"/>
            <w:noWrap/>
            <w:vAlign w:val="center"/>
          </w:tcPr>
          <w:p w14:paraId="5EF870F3">
            <w:pPr>
              <w:widowControl/>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HMGB1</w:t>
            </w:r>
          </w:p>
        </w:tc>
        <w:tc>
          <w:tcPr>
            <w:tcW w:w="6726" w:type="dxa"/>
            <w:tcBorders>
              <w:top w:val="nil"/>
              <w:left w:val="nil"/>
              <w:bottom w:val="nil"/>
              <w:right w:val="nil"/>
            </w:tcBorders>
            <w:shd w:val="clear" w:color="auto" w:fill="DBE3F4" w:themeFill="accent1" w:themeFillTint="32"/>
            <w:noWrap/>
            <w:vAlign w:val="center"/>
          </w:tcPr>
          <w:p w14:paraId="3DA71E03">
            <w:pPr>
              <w:widowControl/>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High mobility group box 1</w:t>
            </w:r>
          </w:p>
        </w:tc>
      </w:tr>
      <w:tr w14:paraId="777A1C67">
        <w:tblPrEx>
          <w:tblCellMar>
            <w:top w:w="0" w:type="dxa"/>
            <w:left w:w="108" w:type="dxa"/>
            <w:bottom w:w="0" w:type="dxa"/>
            <w:right w:w="108" w:type="dxa"/>
          </w:tblCellMar>
        </w:tblPrEx>
        <w:trPr>
          <w:trHeight w:val="305" w:hRule="atLeast"/>
          <w:jc w:val="center"/>
        </w:trPr>
        <w:tc>
          <w:tcPr>
            <w:tcW w:w="1653" w:type="dxa"/>
            <w:tcBorders>
              <w:top w:val="nil"/>
              <w:left w:val="nil"/>
              <w:bottom w:val="nil"/>
              <w:right w:val="nil"/>
            </w:tcBorders>
            <w:shd w:val="clear" w:color="auto" w:fill="auto"/>
            <w:noWrap/>
            <w:vAlign w:val="center"/>
          </w:tcPr>
          <w:p w14:paraId="4FCB44DD">
            <w:pPr>
              <w:widowControl/>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HSP90AA1</w:t>
            </w:r>
          </w:p>
        </w:tc>
        <w:tc>
          <w:tcPr>
            <w:tcW w:w="6726" w:type="dxa"/>
            <w:tcBorders>
              <w:top w:val="nil"/>
              <w:left w:val="nil"/>
              <w:bottom w:val="nil"/>
              <w:right w:val="nil"/>
            </w:tcBorders>
            <w:shd w:val="clear" w:color="auto" w:fill="auto"/>
            <w:noWrap/>
            <w:vAlign w:val="center"/>
          </w:tcPr>
          <w:p w14:paraId="63B73D93">
            <w:pPr>
              <w:widowControl/>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Heat shock protein 90 alpha family class A member 1</w:t>
            </w:r>
          </w:p>
        </w:tc>
      </w:tr>
      <w:tr w14:paraId="31248476">
        <w:tblPrEx>
          <w:tblCellMar>
            <w:top w:w="0" w:type="dxa"/>
            <w:left w:w="108" w:type="dxa"/>
            <w:bottom w:w="0" w:type="dxa"/>
            <w:right w:w="108" w:type="dxa"/>
          </w:tblCellMar>
        </w:tblPrEx>
        <w:trPr>
          <w:trHeight w:val="305" w:hRule="atLeast"/>
          <w:jc w:val="center"/>
        </w:trPr>
        <w:tc>
          <w:tcPr>
            <w:tcW w:w="1653" w:type="dxa"/>
            <w:tcBorders>
              <w:top w:val="nil"/>
              <w:left w:val="nil"/>
              <w:bottom w:val="nil"/>
              <w:right w:val="nil"/>
            </w:tcBorders>
            <w:shd w:val="clear" w:color="auto" w:fill="DBE3F4" w:themeFill="accent1" w:themeFillTint="32"/>
            <w:noWrap/>
            <w:vAlign w:val="center"/>
          </w:tcPr>
          <w:p w14:paraId="5FEAC6B7">
            <w:pPr>
              <w:widowControl/>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IFNA1</w:t>
            </w:r>
          </w:p>
        </w:tc>
        <w:tc>
          <w:tcPr>
            <w:tcW w:w="6726" w:type="dxa"/>
            <w:tcBorders>
              <w:top w:val="nil"/>
              <w:left w:val="nil"/>
              <w:bottom w:val="nil"/>
              <w:right w:val="nil"/>
            </w:tcBorders>
            <w:shd w:val="clear" w:color="auto" w:fill="DBE3F4" w:themeFill="accent1" w:themeFillTint="32"/>
            <w:noWrap/>
            <w:vAlign w:val="center"/>
          </w:tcPr>
          <w:p w14:paraId="0F704A88">
            <w:pPr>
              <w:widowControl/>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Interferon alpha 1</w:t>
            </w:r>
          </w:p>
        </w:tc>
      </w:tr>
      <w:tr w14:paraId="663AD69E">
        <w:tblPrEx>
          <w:tblCellMar>
            <w:top w:w="0" w:type="dxa"/>
            <w:left w:w="108" w:type="dxa"/>
            <w:bottom w:w="0" w:type="dxa"/>
            <w:right w:w="108" w:type="dxa"/>
          </w:tblCellMar>
        </w:tblPrEx>
        <w:trPr>
          <w:trHeight w:val="305" w:hRule="atLeast"/>
          <w:jc w:val="center"/>
        </w:trPr>
        <w:tc>
          <w:tcPr>
            <w:tcW w:w="1653" w:type="dxa"/>
            <w:tcBorders>
              <w:top w:val="nil"/>
              <w:left w:val="nil"/>
              <w:bottom w:val="nil"/>
              <w:right w:val="nil"/>
            </w:tcBorders>
            <w:shd w:val="clear" w:color="auto" w:fill="auto"/>
            <w:noWrap/>
            <w:vAlign w:val="center"/>
          </w:tcPr>
          <w:p w14:paraId="712B6531">
            <w:pPr>
              <w:widowControl/>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IFNB1</w:t>
            </w:r>
          </w:p>
        </w:tc>
        <w:tc>
          <w:tcPr>
            <w:tcW w:w="6726" w:type="dxa"/>
            <w:tcBorders>
              <w:top w:val="nil"/>
              <w:left w:val="nil"/>
              <w:bottom w:val="nil"/>
              <w:right w:val="nil"/>
            </w:tcBorders>
            <w:shd w:val="clear" w:color="auto" w:fill="auto"/>
            <w:noWrap/>
            <w:vAlign w:val="center"/>
          </w:tcPr>
          <w:p w14:paraId="2FA70199">
            <w:pPr>
              <w:widowControl/>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Interferon beta 2</w:t>
            </w:r>
          </w:p>
        </w:tc>
      </w:tr>
      <w:tr w14:paraId="01138A27">
        <w:tblPrEx>
          <w:tblCellMar>
            <w:top w:w="0" w:type="dxa"/>
            <w:left w:w="108" w:type="dxa"/>
            <w:bottom w:w="0" w:type="dxa"/>
            <w:right w:w="108" w:type="dxa"/>
          </w:tblCellMar>
        </w:tblPrEx>
        <w:trPr>
          <w:trHeight w:val="305" w:hRule="atLeast"/>
          <w:jc w:val="center"/>
        </w:trPr>
        <w:tc>
          <w:tcPr>
            <w:tcW w:w="1653" w:type="dxa"/>
            <w:tcBorders>
              <w:top w:val="nil"/>
              <w:left w:val="nil"/>
              <w:bottom w:val="nil"/>
              <w:right w:val="nil"/>
            </w:tcBorders>
            <w:shd w:val="clear" w:color="auto" w:fill="DBE3F4" w:themeFill="accent1" w:themeFillTint="32"/>
            <w:noWrap/>
            <w:vAlign w:val="center"/>
          </w:tcPr>
          <w:p w14:paraId="76A8B031">
            <w:pPr>
              <w:widowControl/>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IFNG</w:t>
            </w:r>
          </w:p>
        </w:tc>
        <w:tc>
          <w:tcPr>
            <w:tcW w:w="6726" w:type="dxa"/>
            <w:tcBorders>
              <w:top w:val="nil"/>
              <w:left w:val="nil"/>
              <w:bottom w:val="nil"/>
              <w:right w:val="nil"/>
            </w:tcBorders>
            <w:shd w:val="clear" w:color="auto" w:fill="DBE3F4" w:themeFill="accent1" w:themeFillTint="32"/>
            <w:noWrap/>
            <w:vAlign w:val="center"/>
          </w:tcPr>
          <w:p w14:paraId="3F54AA98">
            <w:pPr>
              <w:widowControl/>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Interferon gamma</w:t>
            </w:r>
          </w:p>
        </w:tc>
      </w:tr>
      <w:tr w14:paraId="0E7AB68B">
        <w:tblPrEx>
          <w:tblCellMar>
            <w:top w:w="0" w:type="dxa"/>
            <w:left w:w="108" w:type="dxa"/>
            <w:bottom w:w="0" w:type="dxa"/>
            <w:right w:w="108" w:type="dxa"/>
          </w:tblCellMar>
        </w:tblPrEx>
        <w:trPr>
          <w:trHeight w:val="305" w:hRule="atLeast"/>
          <w:jc w:val="center"/>
        </w:trPr>
        <w:tc>
          <w:tcPr>
            <w:tcW w:w="1653" w:type="dxa"/>
            <w:tcBorders>
              <w:top w:val="nil"/>
              <w:left w:val="nil"/>
              <w:bottom w:val="nil"/>
              <w:right w:val="nil"/>
            </w:tcBorders>
            <w:shd w:val="clear" w:color="auto" w:fill="auto"/>
            <w:noWrap/>
            <w:vAlign w:val="center"/>
          </w:tcPr>
          <w:p w14:paraId="63A804A0">
            <w:pPr>
              <w:widowControl/>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IFNGR1</w:t>
            </w:r>
          </w:p>
        </w:tc>
        <w:tc>
          <w:tcPr>
            <w:tcW w:w="6726" w:type="dxa"/>
            <w:tcBorders>
              <w:top w:val="nil"/>
              <w:left w:val="nil"/>
              <w:bottom w:val="nil"/>
              <w:right w:val="nil"/>
            </w:tcBorders>
            <w:shd w:val="clear" w:color="auto" w:fill="auto"/>
            <w:noWrap/>
            <w:vAlign w:val="center"/>
          </w:tcPr>
          <w:p w14:paraId="3A4F45C9">
            <w:pPr>
              <w:widowControl/>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Interferon gamma receptor 1</w:t>
            </w:r>
          </w:p>
        </w:tc>
      </w:tr>
      <w:tr w14:paraId="20833B07">
        <w:tblPrEx>
          <w:tblCellMar>
            <w:top w:w="0" w:type="dxa"/>
            <w:left w:w="108" w:type="dxa"/>
            <w:bottom w:w="0" w:type="dxa"/>
            <w:right w:w="108" w:type="dxa"/>
          </w:tblCellMar>
        </w:tblPrEx>
        <w:trPr>
          <w:trHeight w:val="305" w:hRule="atLeast"/>
          <w:jc w:val="center"/>
        </w:trPr>
        <w:tc>
          <w:tcPr>
            <w:tcW w:w="1653" w:type="dxa"/>
            <w:tcBorders>
              <w:top w:val="nil"/>
              <w:left w:val="nil"/>
              <w:bottom w:val="nil"/>
              <w:right w:val="nil"/>
            </w:tcBorders>
            <w:shd w:val="clear" w:color="auto" w:fill="DBE3F4" w:themeFill="accent1" w:themeFillTint="32"/>
            <w:noWrap/>
            <w:vAlign w:val="center"/>
          </w:tcPr>
          <w:p w14:paraId="67D17706">
            <w:pPr>
              <w:widowControl/>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IL10</w:t>
            </w:r>
          </w:p>
        </w:tc>
        <w:tc>
          <w:tcPr>
            <w:tcW w:w="6726" w:type="dxa"/>
            <w:tcBorders>
              <w:top w:val="nil"/>
              <w:left w:val="nil"/>
              <w:bottom w:val="nil"/>
              <w:right w:val="nil"/>
            </w:tcBorders>
            <w:shd w:val="clear" w:color="auto" w:fill="DBE3F4" w:themeFill="accent1" w:themeFillTint="32"/>
            <w:noWrap/>
            <w:vAlign w:val="center"/>
          </w:tcPr>
          <w:p w14:paraId="66C70650">
            <w:pPr>
              <w:widowControl/>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Interleukin 10</w:t>
            </w:r>
          </w:p>
        </w:tc>
      </w:tr>
      <w:tr w14:paraId="3F1C587A">
        <w:tblPrEx>
          <w:tblCellMar>
            <w:top w:w="0" w:type="dxa"/>
            <w:left w:w="108" w:type="dxa"/>
            <w:bottom w:w="0" w:type="dxa"/>
            <w:right w:w="108" w:type="dxa"/>
          </w:tblCellMar>
        </w:tblPrEx>
        <w:trPr>
          <w:trHeight w:val="305" w:hRule="atLeast"/>
          <w:jc w:val="center"/>
        </w:trPr>
        <w:tc>
          <w:tcPr>
            <w:tcW w:w="1653" w:type="dxa"/>
            <w:tcBorders>
              <w:top w:val="nil"/>
              <w:left w:val="nil"/>
              <w:bottom w:val="nil"/>
              <w:right w:val="nil"/>
            </w:tcBorders>
            <w:shd w:val="clear" w:color="auto" w:fill="auto"/>
            <w:noWrap/>
            <w:vAlign w:val="center"/>
          </w:tcPr>
          <w:p w14:paraId="0674DE54">
            <w:pPr>
              <w:widowControl/>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IL17A</w:t>
            </w:r>
          </w:p>
        </w:tc>
        <w:tc>
          <w:tcPr>
            <w:tcW w:w="6726" w:type="dxa"/>
            <w:tcBorders>
              <w:top w:val="nil"/>
              <w:left w:val="nil"/>
              <w:bottom w:val="nil"/>
              <w:right w:val="nil"/>
            </w:tcBorders>
            <w:shd w:val="clear" w:color="auto" w:fill="auto"/>
            <w:noWrap/>
            <w:vAlign w:val="center"/>
          </w:tcPr>
          <w:p w14:paraId="206E5ACF">
            <w:pPr>
              <w:widowControl/>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Interleukin 17A</w:t>
            </w:r>
          </w:p>
        </w:tc>
      </w:tr>
      <w:tr w14:paraId="5FB18BDA">
        <w:tblPrEx>
          <w:tblCellMar>
            <w:top w:w="0" w:type="dxa"/>
            <w:left w:w="108" w:type="dxa"/>
            <w:bottom w:w="0" w:type="dxa"/>
            <w:right w:w="108" w:type="dxa"/>
          </w:tblCellMar>
        </w:tblPrEx>
        <w:trPr>
          <w:trHeight w:val="305" w:hRule="atLeast"/>
          <w:jc w:val="center"/>
        </w:trPr>
        <w:tc>
          <w:tcPr>
            <w:tcW w:w="1653" w:type="dxa"/>
            <w:tcBorders>
              <w:top w:val="nil"/>
              <w:left w:val="nil"/>
              <w:bottom w:val="nil"/>
              <w:right w:val="nil"/>
            </w:tcBorders>
            <w:shd w:val="clear" w:color="auto" w:fill="DBE3F4" w:themeFill="accent1" w:themeFillTint="32"/>
            <w:noWrap/>
            <w:vAlign w:val="center"/>
          </w:tcPr>
          <w:p w14:paraId="67E94150">
            <w:pPr>
              <w:widowControl/>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IL17RA</w:t>
            </w:r>
          </w:p>
        </w:tc>
        <w:tc>
          <w:tcPr>
            <w:tcW w:w="6726" w:type="dxa"/>
            <w:tcBorders>
              <w:top w:val="nil"/>
              <w:left w:val="nil"/>
              <w:bottom w:val="nil"/>
              <w:right w:val="nil"/>
            </w:tcBorders>
            <w:shd w:val="clear" w:color="auto" w:fill="DBE3F4" w:themeFill="accent1" w:themeFillTint="32"/>
            <w:noWrap/>
            <w:vAlign w:val="center"/>
          </w:tcPr>
          <w:p w14:paraId="06935219">
            <w:pPr>
              <w:widowControl/>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Interleukin 17 receptor A</w:t>
            </w:r>
          </w:p>
        </w:tc>
      </w:tr>
      <w:tr w14:paraId="49FCBE6D">
        <w:tblPrEx>
          <w:tblCellMar>
            <w:top w:w="0" w:type="dxa"/>
            <w:left w:w="108" w:type="dxa"/>
            <w:bottom w:w="0" w:type="dxa"/>
            <w:right w:w="108" w:type="dxa"/>
          </w:tblCellMar>
        </w:tblPrEx>
        <w:trPr>
          <w:trHeight w:val="305" w:hRule="atLeast"/>
          <w:jc w:val="center"/>
        </w:trPr>
        <w:tc>
          <w:tcPr>
            <w:tcW w:w="1653" w:type="dxa"/>
            <w:tcBorders>
              <w:top w:val="nil"/>
              <w:left w:val="nil"/>
              <w:bottom w:val="nil"/>
              <w:right w:val="nil"/>
            </w:tcBorders>
            <w:shd w:val="clear" w:color="auto" w:fill="auto"/>
            <w:noWrap/>
            <w:vAlign w:val="center"/>
          </w:tcPr>
          <w:p w14:paraId="3C155D32">
            <w:pPr>
              <w:widowControl/>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IL1B</w:t>
            </w:r>
          </w:p>
        </w:tc>
        <w:tc>
          <w:tcPr>
            <w:tcW w:w="6726" w:type="dxa"/>
            <w:tcBorders>
              <w:top w:val="nil"/>
              <w:left w:val="nil"/>
              <w:bottom w:val="nil"/>
              <w:right w:val="nil"/>
            </w:tcBorders>
            <w:shd w:val="clear" w:color="auto" w:fill="auto"/>
            <w:noWrap/>
            <w:vAlign w:val="center"/>
          </w:tcPr>
          <w:p w14:paraId="491DD8A9">
            <w:pPr>
              <w:widowControl/>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Interleukin 1 beta</w:t>
            </w:r>
          </w:p>
        </w:tc>
      </w:tr>
      <w:tr w14:paraId="563BB4B1">
        <w:tblPrEx>
          <w:tblCellMar>
            <w:top w:w="0" w:type="dxa"/>
            <w:left w:w="108" w:type="dxa"/>
            <w:bottom w:w="0" w:type="dxa"/>
            <w:right w:w="108" w:type="dxa"/>
          </w:tblCellMar>
        </w:tblPrEx>
        <w:trPr>
          <w:trHeight w:val="305" w:hRule="atLeast"/>
          <w:jc w:val="center"/>
        </w:trPr>
        <w:tc>
          <w:tcPr>
            <w:tcW w:w="1653" w:type="dxa"/>
            <w:tcBorders>
              <w:top w:val="nil"/>
              <w:left w:val="nil"/>
              <w:bottom w:val="nil"/>
              <w:right w:val="nil"/>
            </w:tcBorders>
            <w:shd w:val="clear" w:color="auto" w:fill="DBE3F4" w:themeFill="accent1" w:themeFillTint="32"/>
            <w:noWrap/>
            <w:vAlign w:val="center"/>
          </w:tcPr>
          <w:p w14:paraId="03AEB442">
            <w:pPr>
              <w:widowControl/>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IL1R1</w:t>
            </w:r>
          </w:p>
        </w:tc>
        <w:tc>
          <w:tcPr>
            <w:tcW w:w="6726" w:type="dxa"/>
            <w:tcBorders>
              <w:top w:val="nil"/>
              <w:left w:val="nil"/>
              <w:bottom w:val="nil"/>
              <w:right w:val="nil"/>
            </w:tcBorders>
            <w:shd w:val="clear" w:color="auto" w:fill="DBE3F4" w:themeFill="accent1" w:themeFillTint="32"/>
            <w:noWrap/>
            <w:vAlign w:val="center"/>
          </w:tcPr>
          <w:p w14:paraId="4D3E0B5A">
            <w:pPr>
              <w:widowControl/>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Interleukin 1 receptor type 1</w:t>
            </w:r>
          </w:p>
        </w:tc>
      </w:tr>
      <w:tr w14:paraId="701DAB60">
        <w:tblPrEx>
          <w:tblCellMar>
            <w:top w:w="0" w:type="dxa"/>
            <w:left w:w="108" w:type="dxa"/>
            <w:bottom w:w="0" w:type="dxa"/>
            <w:right w:w="108" w:type="dxa"/>
          </w:tblCellMar>
        </w:tblPrEx>
        <w:trPr>
          <w:trHeight w:val="305" w:hRule="atLeast"/>
          <w:jc w:val="center"/>
        </w:trPr>
        <w:tc>
          <w:tcPr>
            <w:tcW w:w="1653" w:type="dxa"/>
            <w:tcBorders>
              <w:top w:val="nil"/>
              <w:left w:val="nil"/>
              <w:bottom w:val="nil"/>
              <w:right w:val="nil"/>
            </w:tcBorders>
            <w:shd w:val="clear" w:color="auto" w:fill="auto"/>
            <w:noWrap/>
            <w:vAlign w:val="center"/>
          </w:tcPr>
          <w:p w14:paraId="5069DD46">
            <w:pPr>
              <w:widowControl/>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IL6</w:t>
            </w:r>
          </w:p>
        </w:tc>
        <w:tc>
          <w:tcPr>
            <w:tcW w:w="6726" w:type="dxa"/>
            <w:tcBorders>
              <w:top w:val="nil"/>
              <w:left w:val="nil"/>
              <w:bottom w:val="nil"/>
              <w:right w:val="nil"/>
            </w:tcBorders>
            <w:shd w:val="clear" w:color="auto" w:fill="auto"/>
            <w:noWrap/>
            <w:vAlign w:val="center"/>
          </w:tcPr>
          <w:p w14:paraId="6B19E52D">
            <w:pPr>
              <w:widowControl/>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Interleukin 6</w:t>
            </w:r>
          </w:p>
        </w:tc>
      </w:tr>
      <w:tr w14:paraId="32289D47">
        <w:tblPrEx>
          <w:tblCellMar>
            <w:top w:w="0" w:type="dxa"/>
            <w:left w:w="108" w:type="dxa"/>
            <w:bottom w:w="0" w:type="dxa"/>
            <w:right w:w="108" w:type="dxa"/>
          </w:tblCellMar>
        </w:tblPrEx>
        <w:trPr>
          <w:trHeight w:val="305" w:hRule="atLeast"/>
          <w:jc w:val="center"/>
        </w:trPr>
        <w:tc>
          <w:tcPr>
            <w:tcW w:w="1653" w:type="dxa"/>
            <w:tcBorders>
              <w:top w:val="nil"/>
              <w:left w:val="nil"/>
              <w:bottom w:val="nil"/>
              <w:right w:val="nil"/>
            </w:tcBorders>
            <w:shd w:val="clear" w:color="auto" w:fill="DBE3F4" w:themeFill="accent1" w:themeFillTint="32"/>
            <w:noWrap/>
            <w:vAlign w:val="center"/>
          </w:tcPr>
          <w:p w14:paraId="789CA08E">
            <w:pPr>
              <w:widowControl/>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LY96</w:t>
            </w:r>
          </w:p>
        </w:tc>
        <w:tc>
          <w:tcPr>
            <w:tcW w:w="6726" w:type="dxa"/>
            <w:tcBorders>
              <w:top w:val="nil"/>
              <w:left w:val="nil"/>
              <w:bottom w:val="nil"/>
              <w:right w:val="nil"/>
            </w:tcBorders>
            <w:shd w:val="clear" w:color="auto" w:fill="DBE3F4" w:themeFill="accent1" w:themeFillTint="32"/>
            <w:noWrap/>
            <w:vAlign w:val="center"/>
          </w:tcPr>
          <w:p w14:paraId="16CEEE49">
            <w:pPr>
              <w:widowControl/>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Lymphocyte antigen 96</w:t>
            </w:r>
          </w:p>
        </w:tc>
      </w:tr>
      <w:tr w14:paraId="79223915">
        <w:tblPrEx>
          <w:tblCellMar>
            <w:top w:w="0" w:type="dxa"/>
            <w:left w:w="108" w:type="dxa"/>
            <w:bottom w:w="0" w:type="dxa"/>
            <w:right w:w="108" w:type="dxa"/>
          </w:tblCellMar>
        </w:tblPrEx>
        <w:trPr>
          <w:trHeight w:val="305" w:hRule="atLeast"/>
          <w:jc w:val="center"/>
        </w:trPr>
        <w:tc>
          <w:tcPr>
            <w:tcW w:w="1653" w:type="dxa"/>
            <w:tcBorders>
              <w:top w:val="nil"/>
              <w:left w:val="nil"/>
              <w:bottom w:val="nil"/>
              <w:right w:val="nil"/>
            </w:tcBorders>
            <w:shd w:val="clear" w:color="auto" w:fill="auto"/>
            <w:noWrap/>
            <w:vAlign w:val="center"/>
          </w:tcPr>
          <w:p w14:paraId="73B20583">
            <w:pPr>
              <w:widowControl/>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MYD88</w:t>
            </w:r>
          </w:p>
        </w:tc>
        <w:tc>
          <w:tcPr>
            <w:tcW w:w="6726" w:type="dxa"/>
            <w:tcBorders>
              <w:top w:val="nil"/>
              <w:left w:val="nil"/>
              <w:bottom w:val="nil"/>
              <w:right w:val="nil"/>
            </w:tcBorders>
            <w:shd w:val="clear" w:color="auto" w:fill="auto"/>
            <w:noWrap/>
            <w:vAlign w:val="center"/>
          </w:tcPr>
          <w:p w14:paraId="71270AA8">
            <w:pPr>
              <w:widowControl/>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MYD88 innate immune signal transduction adaptor</w:t>
            </w:r>
          </w:p>
        </w:tc>
      </w:tr>
      <w:tr w14:paraId="6A6BC84A">
        <w:tblPrEx>
          <w:tblCellMar>
            <w:top w:w="0" w:type="dxa"/>
            <w:left w:w="108" w:type="dxa"/>
            <w:bottom w:w="0" w:type="dxa"/>
            <w:right w:w="108" w:type="dxa"/>
          </w:tblCellMar>
        </w:tblPrEx>
        <w:trPr>
          <w:trHeight w:val="305" w:hRule="atLeast"/>
          <w:jc w:val="center"/>
        </w:trPr>
        <w:tc>
          <w:tcPr>
            <w:tcW w:w="1653" w:type="dxa"/>
            <w:tcBorders>
              <w:top w:val="nil"/>
              <w:left w:val="nil"/>
              <w:bottom w:val="nil"/>
              <w:right w:val="nil"/>
            </w:tcBorders>
            <w:shd w:val="clear" w:color="auto" w:fill="DBE3F4" w:themeFill="accent1" w:themeFillTint="32"/>
            <w:noWrap/>
            <w:vAlign w:val="center"/>
          </w:tcPr>
          <w:p w14:paraId="4F9ECAD2">
            <w:pPr>
              <w:widowControl/>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NLRP3</w:t>
            </w:r>
          </w:p>
        </w:tc>
        <w:tc>
          <w:tcPr>
            <w:tcW w:w="6726" w:type="dxa"/>
            <w:tcBorders>
              <w:top w:val="nil"/>
              <w:left w:val="nil"/>
              <w:bottom w:val="nil"/>
              <w:right w:val="nil"/>
            </w:tcBorders>
            <w:shd w:val="clear" w:color="auto" w:fill="DBE3F4" w:themeFill="accent1" w:themeFillTint="32"/>
            <w:noWrap/>
            <w:vAlign w:val="center"/>
          </w:tcPr>
          <w:p w14:paraId="1E8137CC">
            <w:pPr>
              <w:widowControl/>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NLR family pyrin domain containing 3</w:t>
            </w:r>
          </w:p>
        </w:tc>
      </w:tr>
      <w:tr w14:paraId="52EBEA9B">
        <w:tblPrEx>
          <w:tblCellMar>
            <w:top w:w="0" w:type="dxa"/>
            <w:left w:w="108" w:type="dxa"/>
            <w:bottom w:w="0" w:type="dxa"/>
            <w:right w:w="108" w:type="dxa"/>
          </w:tblCellMar>
        </w:tblPrEx>
        <w:trPr>
          <w:trHeight w:val="305" w:hRule="atLeast"/>
          <w:jc w:val="center"/>
        </w:trPr>
        <w:tc>
          <w:tcPr>
            <w:tcW w:w="1653" w:type="dxa"/>
            <w:tcBorders>
              <w:top w:val="nil"/>
              <w:left w:val="nil"/>
              <w:bottom w:val="nil"/>
              <w:right w:val="nil"/>
            </w:tcBorders>
            <w:shd w:val="clear" w:color="auto" w:fill="auto"/>
            <w:noWrap/>
            <w:vAlign w:val="center"/>
          </w:tcPr>
          <w:p w14:paraId="2F1CA9EA">
            <w:pPr>
              <w:widowControl/>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NT5E</w:t>
            </w:r>
          </w:p>
        </w:tc>
        <w:tc>
          <w:tcPr>
            <w:tcW w:w="6726" w:type="dxa"/>
            <w:tcBorders>
              <w:top w:val="nil"/>
              <w:left w:val="nil"/>
              <w:bottom w:val="nil"/>
              <w:right w:val="nil"/>
            </w:tcBorders>
            <w:shd w:val="clear" w:color="auto" w:fill="auto"/>
            <w:noWrap/>
            <w:vAlign w:val="center"/>
          </w:tcPr>
          <w:p w14:paraId="1F496722">
            <w:pPr>
              <w:widowControl/>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5'-nucleotidase ecto</w:t>
            </w:r>
          </w:p>
        </w:tc>
      </w:tr>
      <w:tr w14:paraId="324CC894">
        <w:tblPrEx>
          <w:tblCellMar>
            <w:top w:w="0" w:type="dxa"/>
            <w:left w:w="108" w:type="dxa"/>
            <w:bottom w:w="0" w:type="dxa"/>
            <w:right w:w="108" w:type="dxa"/>
          </w:tblCellMar>
        </w:tblPrEx>
        <w:trPr>
          <w:trHeight w:val="305" w:hRule="atLeast"/>
          <w:jc w:val="center"/>
        </w:trPr>
        <w:tc>
          <w:tcPr>
            <w:tcW w:w="1653" w:type="dxa"/>
            <w:tcBorders>
              <w:top w:val="nil"/>
              <w:left w:val="nil"/>
              <w:bottom w:val="nil"/>
              <w:right w:val="nil"/>
            </w:tcBorders>
            <w:shd w:val="clear" w:color="auto" w:fill="DBE3F4" w:themeFill="accent1" w:themeFillTint="32"/>
            <w:noWrap/>
            <w:vAlign w:val="center"/>
          </w:tcPr>
          <w:p w14:paraId="3524C226">
            <w:pPr>
              <w:widowControl/>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P2RX7</w:t>
            </w:r>
          </w:p>
        </w:tc>
        <w:tc>
          <w:tcPr>
            <w:tcW w:w="6726" w:type="dxa"/>
            <w:tcBorders>
              <w:top w:val="nil"/>
              <w:left w:val="nil"/>
              <w:bottom w:val="nil"/>
              <w:right w:val="nil"/>
            </w:tcBorders>
            <w:shd w:val="clear" w:color="auto" w:fill="DBE3F4" w:themeFill="accent1" w:themeFillTint="32"/>
            <w:noWrap/>
            <w:vAlign w:val="center"/>
          </w:tcPr>
          <w:p w14:paraId="36B7EE0D">
            <w:pPr>
              <w:widowControl/>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Purinergic receptor P2X 7</w:t>
            </w:r>
          </w:p>
        </w:tc>
      </w:tr>
      <w:tr w14:paraId="715FA02E">
        <w:tblPrEx>
          <w:tblCellMar>
            <w:top w:w="0" w:type="dxa"/>
            <w:left w:w="108" w:type="dxa"/>
            <w:bottom w:w="0" w:type="dxa"/>
            <w:right w:w="108" w:type="dxa"/>
          </w:tblCellMar>
        </w:tblPrEx>
        <w:trPr>
          <w:trHeight w:val="305" w:hRule="atLeast"/>
          <w:jc w:val="center"/>
        </w:trPr>
        <w:tc>
          <w:tcPr>
            <w:tcW w:w="1653" w:type="dxa"/>
            <w:tcBorders>
              <w:top w:val="nil"/>
              <w:left w:val="nil"/>
              <w:bottom w:val="nil"/>
              <w:right w:val="nil"/>
            </w:tcBorders>
            <w:shd w:val="clear" w:color="auto" w:fill="auto"/>
            <w:noWrap/>
            <w:vAlign w:val="center"/>
          </w:tcPr>
          <w:p w14:paraId="223B6B6F">
            <w:pPr>
              <w:widowControl/>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PDIA3</w:t>
            </w:r>
          </w:p>
        </w:tc>
        <w:tc>
          <w:tcPr>
            <w:tcW w:w="6726" w:type="dxa"/>
            <w:tcBorders>
              <w:top w:val="nil"/>
              <w:left w:val="nil"/>
              <w:bottom w:val="nil"/>
              <w:right w:val="nil"/>
            </w:tcBorders>
            <w:shd w:val="clear" w:color="auto" w:fill="auto"/>
            <w:noWrap/>
            <w:vAlign w:val="center"/>
          </w:tcPr>
          <w:p w14:paraId="578078C0">
            <w:pPr>
              <w:widowControl/>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Protein disulfide isomerase family A member 3</w:t>
            </w:r>
          </w:p>
        </w:tc>
      </w:tr>
      <w:tr w14:paraId="3FFBC5DC">
        <w:tblPrEx>
          <w:tblCellMar>
            <w:top w:w="0" w:type="dxa"/>
            <w:left w:w="108" w:type="dxa"/>
            <w:bottom w:w="0" w:type="dxa"/>
            <w:right w:w="108" w:type="dxa"/>
          </w:tblCellMar>
        </w:tblPrEx>
        <w:trPr>
          <w:trHeight w:val="330" w:hRule="atLeast"/>
          <w:jc w:val="center"/>
        </w:trPr>
        <w:tc>
          <w:tcPr>
            <w:tcW w:w="1653" w:type="dxa"/>
            <w:tcBorders>
              <w:top w:val="nil"/>
              <w:left w:val="nil"/>
              <w:bottom w:val="nil"/>
              <w:right w:val="nil"/>
            </w:tcBorders>
            <w:shd w:val="clear" w:color="auto" w:fill="DBE3F4" w:themeFill="accent1" w:themeFillTint="32"/>
            <w:noWrap/>
            <w:vAlign w:val="center"/>
          </w:tcPr>
          <w:p w14:paraId="49317A43">
            <w:pPr>
              <w:widowControl/>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PIK3CA</w:t>
            </w:r>
          </w:p>
        </w:tc>
        <w:tc>
          <w:tcPr>
            <w:tcW w:w="6726" w:type="dxa"/>
            <w:tcBorders>
              <w:top w:val="nil"/>
              <w:left w:val="nil"/>
              <w:bottom w:val="nil"/>
              <w:right w:val="nil"/>
            </w:tcBorders>
            <w:shd w:val="clear" w:color="auto" w:fill="DBE3F4" w:themeFill="accent1" w:themeFillTint="32"/>
            <w:noWrap/>
            <w:vAlign w:val="center"/>
          </w:tcPr>
          <w:p w14:paraId="6C64F52D">
            <w:pPr>
              <w:widowControl/>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Phosphatidylinositol-4,5-bisphosphate 3-kinase catalytic subunit alpha</w:t>
            </w:r>
          </w:p>
        </w:tc>
      </w:tr>
      <w:tr w14:paraId="1B926F40">
        <w:tblPrEx>
          <w:tblCellMar>
            <w:top w:w="0" w:type="dxa"/>
            <w:left w:w="108" w:type="dxa"/>
            <w:bottom w:w="0" w:type="dxa"/>
            <w:right w:w="108" w:type="dxa"/>
          </w:tblCellMar>
        </w:tblPrEx>
        <w:trPr>
          <w:trHeight w:val="305" w:hRule="atLeast"/>
          <w:jc w:val="center"/>
        </w:trPr>
        <w:tc>
          <w:tcPr>
            <w:tcW w:w="1653" w:type="dxa"/>
            <w:tcBorders>
              <w:top w:val="nil"/>
              <w:left w:val="nil"/>
              <w:bottom w:val="nil"/>
              <w:right w:val="nil"/>
            </w:tcBorders>
            <w:shd w:val="clear" w:color="auto" w:fill="auto"/>
            <w:noWrap/>
            <w:vAlign w:val="center"/>
          </w:tcPr>
          <w:p w14:paraId="4476A27F">
            <w:pPr>
              <w:widowControl/>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PRF1</w:t>
            </w:r>
          </w:p>
        </w:tc>
        <w:tc>
          <w:tcPr>
            <w:tcW w:w="6726" w:type="dxa"/>
            <w:tcBorders>
              <w:top w:val="nil"/>
              <w:left w:val="nil"/>
              <w:bottom w:val="nil"/>
              <w:right w:val="nil"/>
            </w:tcBorders>
            <w:shd w:val="clear" w:color="auto" w:fill="auto"/>
            <w:noWrap/>
            <w:vAlign w:val="center"/>
          </w:tcPr>
          <w:p w14:paraId="6711FEBE">
            <w:pPr>
              <w:widowControl/>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Perforin 1</w:t>
            </w:r>
          </w:p>
        </w:tc>
      </w:tr>
      <w:tr w14:paraId="57370D5A">
        <w:tblPrEx>
          <w:tblCellMar>
            <w:top w:w="0" w:type="dxa"/>
            <w:left w:w="108" w:type="dxa"/>
            <w:bottom w:w="0" w:type="dxa"/>
            <w:right w:w="108" w:type="dxa"/>
          </w:tblCellMar>
        </w:tblPrEx>
        <w:trPr>
          <w:trHeight w:val="305" w:hRule="atLeast"/>
          <w:jc w:val="center"/>
        </w:trPr>
        <w:tc>
          <w:tcPr>
            <w:tcW w:w="1653" w:type="dxa"/>
            <w:tcBorders>
              <w:top w:val="nil"/>
              <w:left w:val="nil"/>
              <w:bottom w:val="nil"/>
              <w:right w:val="nil"/>
            </w:tcBorders>
            <w:shd w:val="clear" w:color="auto" w:fill="DBE3F4" w:themeFill="accent1" w:themeFillTint="32"/>
            <w:noWrap/>
            <w:vAlign w:val="center"/>
          </w:tcPr>
          <w:p w14:paraId="6377706A">
            <w:pPr>
              <w:widowControl/>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TLR4</w:t>
            </w:r>
          </w:p>
        </w:tc>
        <w:tc>
          <w:tcPr>
            <w:tcW w:w="6726" w:type="dxa"/>
            <w:tcBorders>
              <w:top w:val="nil"/>
              <w:left w:val="nil"/>
              <w:bottom w:val="nil"/>
              <w:right w:val="nil"/>
            </w:tcBorders>
            <w:shd w:val="clear" w:color="auto" w:fill="DBE3F4" w:themeFill="accent1" w:themeFillTint="32"/>
            <w:noWrap/>
            <w:vAlign w:val="center"/>
          </w:tcPr>
          <w:p w14:paraId="30DF35E5">
            <w:pPr>
              <w:widowControl/>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Toll like receptor 4</w:t>
            </w:r>
          </w:p>
        </w:tc>
      </w:tr>
      <w:tr w14:paraId="0123268C">
        <w:tblPrEx>
          <w:tblCellMar>
            <w:top w:w="0" w:type="dxa"/>
            <w:left w:w="108" w:type="dxa"/>
            <w:bottom w:w="0" w:type="dxa"/>
            <w:right w:w="108" w:type="dxa"/>
          </w:tblCellMar>
        </w:tblPrEx>
        <w:trPr>
          <w:trHeight w:val="414" w:hRule="atLeast"/>
          <w:jc w:val="center"/>
        </w:trPr>
        <w:tc>
          <w:tcPr>
            <w:tcW w:w="1653" w:type="dxa"/>
            <w:tcBorders>
              <w:top w:val="nil"/>
              <w:left w:val="nil"/>
              <w:bottom w:val="single" w:color="000000" w:sz="8" w:space="0"/>
              <w:right w:val="nil"/>
            </w:tcBorders>
            <w:shd w:val="clear" w:color="auto" w:fill="auto"/>
            <w:noWrap/>
            <w:vAlign w:val="center"/>
          </w:tcPr>
          <w:p w14:paraId="2AAD7667">
            <w:pPr>
              <w:widowControl/>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TNF</w:t>
            </w:r>
          </w:p>
        </w:tc>
        <w:tc>
          <w:tcPr>
            <w:tcW w:w="6726" w:type="dxa"/>
            <w:tcBorders>
              <w:top w:val="nil"/>
              <w:left w:val="nil"/>
              <w:bottom w:val="single" w:color="000000" w:sz="8" w:space="0"/>
              <w:right w:val="nil"/>
            </w:tcBorders>
            <w:shd w:val="clear" w:color="auto" w:fill="auto"/>
            <w:noWrap/>
            <w:vAlign w:val="center"/>
          </w:tcPr>
          <w:p w14:paraId="57F659CA">
            <w:pPr>
              <w:widowControl/>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Tumor necrosis factor</w:t>
            </w:r>
          </w:p>
        </w:tc>
      </w:tr>
    </w:tbl>
    <w:p w14:paraId="0308738B">
      <w:pPr>
        <w:bidi w:val="0"/>
        <w:rPr>
          <w:lang w:val="en-US" w:eastAsia="zh-CN"/>
        </w:rPr>
      </w:pPr>
    </w:p>
    <w:p w14:paraId="033D6786">
      <w:pPr>
        <w:bidi w:val="0"/>
        <w:rPr>
          <w:lang w:val="en-US" w:eastAsia="zh-CN"/>
        </w:rPr>
      </w:pPr>
    </w:p>
    <w:p w14:paraId="09E182A0">
      <w:pPr>
        <w:bidi w:val="0"/>
        <w:ind w:firstLine="208" w:firstLineChars="0"/>
        <w:jc w:val="left"/>
        <w:rPr>
          <w:rFonts w:hint="default" w:ascii="Times New Roman" w:hAnsi="Times New Roman" w:cs="Times New Roman"/>
          <w:b/>
          <w:bCs/>
          <w:sz w:val="24"/>
          <w:szCs w:val="24"/>
        </w:rPr>
      </w:pPr>
    </w:p>
    <w:p w14:paraId="59D99D37">
      <w:pPr>
        <w:bidi w:val="0"/>
        <w:ind w:firstLine="208" w:firstLineChars="0"/>
        <w:jc w:val="left"/>
        <w:rPr>
          <w:rFonts w:hint="default" w:ascii="Times New Roman" w:hAnsi="Times New Roman" w:cs="Times New Roman"/>
          <w:b/>
          <w:bCs/>
          <w:sz w:val="24"/>
          <w:szCs w:val="24"/>
        </w:rPr>
      </w:pPr>
    </w:p>
    <w:p w14:paraId="42AA9DB2">
      <w:pPr>
        <w:bidi w:val="0"/>
        <w:ind w:firstLine="208" w:firstLineChars="0"/>
        <w:jc w:val="left"/>
        <w:rPr>
          <w:rFonts w:hint="default" w:ascii="Times New Roman" w:hAnsi="Times New Roman" w:cs="Times New Roman"/>
          <w:b/>
          <w:bCs/>
          <w:sz w:val="24"/>
          <w:szCs w:val="24"/>
        </w:rPr>
      </w:pPr>
    </w:p>
    <w:p w14:paraId="2AD532AF">
      <w:pPr>
        <w:rPr>
          <w:rFonts w:hint="eastAsia" w:ascii="Times New Roman" w:hAnsi="Times New Roman" w:eastAsia="宋体" w:cs="Times New Roman"/>
          <w:color w:val="2A2B2E"/>
          <w:sz w:val="24"/>
          <w:shd w:val="clear" w:color="auto" w:fill="FFFFFF"/>
        </w:rPr>
      </w:pPr>
    </w:p>
    <w:p w14:paraId="0E9F1397">
      <w:pPr>
        <w:rPr>
          <w:rFonts w:ascii="Times New Roman" w:hAnsi="Times New Roman" w:eastAsia="宋体" w:cs="Times New Roman"/>
          <w:b/>
          <w:bCs/>
          <w:color w:val="2A2B2E"/>
          <w:sz w:val="24"/>
          <w:shd w:val="clear" w:color="auto" w:fill="FFFFFF"/>
        </w:rPr>
      </w:pPr>
      <w:r>
        <w:rPr>
          <w:rFonts w:hint="eastAsia" w:ascii="Times New Roman" w:hAnsi="Times New Roman" w:eastAsia="宋体" w:cs="Times New Roman"/>
          <w:b/>
          <w:bCs/>
          <w:color w:val="2A2B2E"/>
          <w:sz w:val="24"/>
          <w:shd w:val="clear" w:color="auto" w:fill="FFFFFF"/>
        </w:rPr>
        <w:t xml:space="preserve">Table </w:t>
      </w:r>
      <w:r>
        <w:rPr>
          <w:rFonts w:hint="eastAsia" w:ascii="Times New Roman" w:hAnsi="Times New Roman" w:eastAsia="宋体" w:cs="Times New Roman"/>
          <w:b/>
          <w:bCs/>
          <w:color w:val="2A2B2E"/>
          <w:sz w:val="24"/>
          <w:shd w:val="clear" w:color="auto" w:fill="FFFFFF"/>
          <w:lang w:val="en-US" w:eastAsia="zh-CN"/>
        </w:rPr>
        <w:t>S2</w:t>
      </w:r>
      <w:r>
        <w:rPr>
          <w:rFonts w:hint="eastAsia" w:ascii="Times New Roman" w:hAnsi="Times New Roman" w:eastAsia="宋体" w:cs="Times New Roman"/>
          <w:b/>
          <w:bCs/>
          <w:color w:val="2A2B2E"/>
          <w:sz w:val="24"/>
          <w:shd w:val="clear" w:color="auto" w:fill="FFFFFF"/>
        </w:rPr>
        <w:t xml:space="preserve"> Univariate Cox regression analysis of 31 ICD-related genes </w:t>
      </w:r>
      <w:r>
        <w:rPr>
          <w:rFonts w:ascii="Times New Roman" w:hAnsi="Times New Roman" w:eastAsia="宋体" w:cs="Times New Roman"/>
          <w:b/>
          <w:bCs/>
          <w:color w:val="2A2B2E"/>
          <w:sz w:val="24"/>
          <w:shd w:val="clear" w:color="auto" w:fill="FFFFFF"/>
        </w:rPr>
        <w:t>for overall survival of TCGA-LAML patients.</w:t>
      </w:r>
    </w:p>
    <w:tbl>
      <w:tblPr>
        <w:tblStyle w:val="3"/>
        <w:tblpPr w:leftFromText="180" w:rightFromText="180" w:vertAnchor="text" w:horzAnchor="page" w:tblpXSpec="center" w:tblpY="302"/>
        <w:tblOverlap w:val="never"/>
        <w:tblW w:w="8179" w:type="dxa"/>
        <w:jc w:val="center"/>
        <w:tblLayout w:type="autofit"/>
        <w:tblCellMar>
          <w:top w:w="0" w:type="dxa"/>
          <w:left w:w="108" w:type="dxa"/>
          <w:bottom w:w="0" w:type="dxa"/>
          <w:right w:w="108" w:type="dxa"/>
        </w:tblCellMar>
      </w:tblPr>
      <w:tblGrid>
        <w:gridCol w:w="2308"/>
        <w:gridCol w:w="3599"/>
        <w:gridCol w:w="2272"/>
      </w:tblGrid>
      <w:tr w14:paraId="51531E2E">
        <w:tblPrEx>
          <w:tblCellMar>
            <w:top w:w="0" w:type="dxa"/>
            <w:left w:w="108" w:type="dxa"/>
            <w:bottom w:w="0" w:type="dxa"/>
            <w:right w:w="108" w:type="dxa"/>
          </w:tblCellMar>
        </w:tblPrEx>
        <w:trPr>
          <w:trHeight w:val="351" w:hRule="atLeast"/>
          <w:jc w:val="center"/>
        </w:trPr>
        <w:tc>
          <w:tcPr>
            <w:tcW w:w="2308" w:type="dxa"/>
            <w:tcBorders>
              <w:top w:val="single" w:color="000000" w:sz="8" w:space="0"/>
              <w:left w:val="nil"/>
              <w:bottom w:val="single" w:color="000000" w:sz="8" w:space="0"/>
              <w:right w:val="nil"/>
            </w:tcBorders>
            <w:shd w:val="clear" w:color="auto" w:fill="auto"/>
            <w:noWrap/>
            <w:vAlign w:val="center"/>
          </w:tcPr>
          <w:p w14:paraId="072B8A9E">
            <w:pPr>
              <w:widowControl/>
              <w:jc w:val="center"/>
              <w:textAlignment w:val="center"/>
              <w:rPr>
                <w:rFonts w:hint="default" w:ascii="Times New Roman" w:hAnsi="Times New Roman" w:eastAsia="宋体" w:cs="Times New Roman"/>
                <w:color w:val="000000"/>
                <w:sz w:val="22"/>
                <w:szCs w:val="22"/>
              </w:rPr>
            </w:pPr>
            <w:r>
              <w:rPr>
                <w:rFonts w:hint="default" w:ascii="Times New Roman" w:hAnsi="Times New Roman" w:eastAsia="宋体" w:cs="Times New Roman"/>
                <w:color w:val="000000"/>
                <w:kern w:val="0"/>
                <w:sz w:val="22"/>
                <w:szCs w:val="22"/>
                <w:lang w:bidi="ar"/>
              </w:rPr>
              <w:t>Gene</w:t>
            </w:r>
          </w:p>
        </w:tc>
        <w:tc>
          <w:tcPr>
            <w:tcW w:w="3599" w:type="dxa"/>
            <w:tcBorders>
              <w:top w:val="single" w:color="000000" w:sz="8" w:space="0"/>
              <w:left w:val="nil"/>
              <w:bottom w:val="single" w:color="000000" w:sz="8" w:space="0"/>
              <w:right w:val="nil"/>
            </w:tcBorders>
            <w:shd w:val="clear" w:color="auto" w:fill="auto"/>
            <w:noWrap/>
            <w:vAlign w:val="center"/>
          </w:tcPr>
          <w:p w14:paraId="2DAFE086">
            <w:pPr>
              <w:widowControl/>
              <w:jc w:val="center"/>
              <w:textAlignment w:val="center"/>
              <w:rPr>
                <w:rFonts w:hint="default" w:ascii="Times New Roman" w:hAnsi="Times New Roman" w:eastAsia="宋体" w:cs="Times New Roman"/>
                <w:color w:val="000000"/>
                <w:sz w:val="22"/>
                <w:szCs w:val="22"/>
              </w:rPr>
            </w:pPr>
            <w:r>
              <w:rPr>
                <w:rFonts w:hint="default" w:ascii="Times New Roman" w:hAnsi="Times New Roman" w:eastAsia="宋体" w:cs="Times New Roman"/>
                <w:color w:val="000000"/>
                <w:kern w:val="0"/>
                <w:sz w:val="22"/>
                <w:szCs w:val="22"/>
                <w:lang w:bidi="ar"/>
              </w:rPr>
              <w:t>HR(95%)</w:t>
            </w:r>
          </w:p>
        </w:tc>
        <w:tc>
          <w:tcPr>
            <w:tcW w:w="2272" w:type="dxa"/>
            <w:tcBorders>
              <w:top w:val="single" w:color="000000" w:sz="8" w:space="0"/>
              <w:left w:val="nil"/>
              <w:bottom w:val="single" w:color="000000" w:sz="8" w:space="0"/>
              <w:right w:val="nil"/>
            </w:tcBorders>
            <w:shd w:val="clear" w:color="auto" w:fill="auto"/>
            <w:noWrap/>
            <w:vAlign w:val="center"/>
          </w:tcPr>
          <w:p w14:paraId="6E05CCDF">
            <w:pPr>
              <w:widowControl/>
              <w:jc w:val="center"/>
              <w:textAlignment w:val="center"/>
              <w:rPr>
                <w:rFonts w:hint="default" w:ascii="Times New Roman" w:hAnsi="Times New Roman" w:eastAsia="宋体" w:cs="Times New Roman"/>
                <w:color w:val="000000"/>
                <w:sz w:val="22"/>
                <w:szCs w:val="22"/>
              </w:rPr>
            </w:pPr>
            <w:r>
              <w:rPr>
                <w:rFonts w:hint="default" w:ascii="Times New Roman" w:hAnsi="Times New Roman" w:eastAsia="宋体" w:cs="Times New Roman"/>
                <w:color w:val="000000"/>
                <w:kern w:val="0"/>
                <w:sz w:val="22"/>
                <w:szCs w:val="22"/>
                <w:lang w:bidi="ar"/>
              </w:rPr>
              <w:t>pvalue</w:t>
            </w:r>
          </w:p>
        </w:tc>
      </w:tr>
      <w:tr w14:paraId="675AADCA">
        <w:tblPrEx>
          <w:tblCellMar>
            <w:top w:w="0" w:type="dxa"/>
            <w:left w:w="108" w:type="dxa"/>
            <w:bottom w:w="0" w:type="dxa"/>
            <w:right w:w="108" w:type="dxa"/>
          </w:tblCellMar>
        </w:tblPrEx>
        <w:trPr>
          <w:trHeight w:val="351" w:hRule="atLeast"/>
          <w:jc w:val="center"/>
        </w:trPr>
        <w:tc>
          <w:tcPr>
            <w:tcW w:w="2308" w:type="dxa"/>
            <w:tcBorders>
              <w:top w:val="nil"/>
              <w:left w:val="nil"/>
              <w:bottom w:val="nil"/>
              <w:right w:val="nil"/>
            </w:tcBorders>
            <w:shd w:val="clear" w:color="auto" w:fill="DBE3F4" w:themeFill="accent1" w:themeFillTint="32"/>
            <w:noWrap/>
            <w:vAlign w:val="center"/>
          </w:tcPr>
          <w:p w14:paraId="4280FFC3">
            <w:pPr>
              <w:widowControl/>
              <w:jc w:val="center"/>
              <w:textAlignment w:val="center"/>
              <w:rPr>
                <w:rFonts w:hint="default" w:ascii="Times New Roman" w:hAnsi="Times New Roman" w:eastAsia="宋体" w:cs="Times New Roman"/>
                <w:color w:val="000000"/>
                <w:sz w:val="22"/>
                <w:szCs w:val="22"/>
              </w:rPr>
            </w:pPr>
            <w:r>
              <w:rPr>
                <w:rFonts w:hint="default" w:ascii="Times New Roman" w:hAnsi="Times New Roman" w:eastAsia="宋体" w:cs="Times New Roman"/>
                <w:color w:val="000000"/>
                <w:kern w:val="0"/>
                <w:sz w:val="22"/>
                <w:szCs w:val="22"/>
                <w:lang w:bidi="ar"/>
              </w:rPr>
              <w:t>CALR</w:t>
            </w:r>
          </w:p>
        </w:tc>
        <w:tc>
          <w:tcPr>
            <w:tcW w:w="3599" w:type="dxa"/>
            <w:tcBorders>
              <w:top w:val="nil"/>
              <w:left w:val="nil"/>
              <w:bottom w:val="nil"/>
              <w:right w:val="nil"/>
            </w:tcBorders>
            <w:shd w:val="clear" w:color="auto" w:fill="DBE3F4" w:themeFill="accent1" w:themeFillTint="32"/>
            <w:noWrap/>
            <w:vAlign w:val="center"/>
          </w:tcPr>
          <w:p w14:paraId="0F41F9BC">
            <w:pPr>
              <w:widowControl/>
              <w:jc w:val="center"/>
              <w:textAlignment w:val="center"/>
              <w:rPr>
                <w:rFonts w:hint="default" w:ascii="Times New Roman" w:hAnsi="Times New Roman" w:eastAsia="宋体" w:cs="Times New Roman"/>
                <w:color w:val="000000"/>
                <w:sz w:val="22"/>
                <w:szCs w:val="22"/>
              </w:rPr>
            </w:pPr>
            <w:r>
              <w:rPr>
                <w:rFonts w:hint="default" w:ascii="Times New Roman" w:hAnsi="Times New Roman" w:eastAsia="宋体" w:cs="Times New Roman"/>
                <w:color w:val="000000"/>
                <w:kern w:val="0"/>
                <w:sz w:val="22"/>
                <w:szCs w:val="22"/>
                <w:lang w:bidi="ar"/>
              </w:rPr>
              <w:t>0.58(0.41,0.83)</w:t>
            </w:r>
          </w:p>
        </w:tc>
        <w:tc>
          <w:tcPr>
            <w:tcW w:w="2272" w:type="dxa"/>
            <w:tcBorders>
              <w:top w:val="nil"/>
              <w:left w:val="nil"/>
              <w:bottom w:val="nil"/>
              <w:right w:val="nil"/>
            </w:tcBorders>
            <w:shd w:val="clear" w:color="auto" w:fill="DBE3F4" w:themeFill="accent1" w:themeFillTint="32"/>
            <w:noWrap/>
            <w:vAlign w:val="center"/>
          </w:tcPr>
          <w:p w14:paraId="610D0C02">
            <w:pPr>
              <w:widowControl/>
              <w:jc w:val="center"/>
              <w:textAlignment w:val="center"/>
              <w:rPr>
                <w:rFonts w:hint="default" w:ascii="Times New Roman" w:hAnsi="Times New Roman" w:eastAsia="宋体" w:cs="Times New Roman"/>
                <w:color w:val="000000"/>
                <w:sz w:val="22"/>
                <w:szCs w:val="22"/>
              </w:rPr>
            </w:pPr>
            <w:r>
              <w:rPr>
                <w:rFonts w:hint="default" w:ascii="Times New Roman" w:hAnsi="Times New Roman" w:eastAsia="宋体" w:cs="Times New Roman"/>
                <w:color w:val="000000"/>
                <w:kern w:val="0"/>
                <w:sz w:val="22"/>
                <w:szCs w:val="22"/>
                <w:lang w:bidi="ar"/>
              </w:rPr>
              <w:t>0.003</w:t>
            </w:r>
          </w:p>
        </w:tc>
      </w:tr>
      <w:tr w14:paraId="0ADDE4F1">
        <w:tblPrEx>
          <w:tblCellMar>
            <w:top w:w="0" w:type="dxa"/>
            <w:left w:w="108" w:type="dxa"/>
            <w:bottom w:w="0" w:type="dxa"/>
            <w:right w:w="108" w:type="dxa"/>
          </w:tblCellMar>
        </w:tblPrEx>
        <w:trPr>
          <w:trHeight w:val="296" w:hRule="atLeast"/>
          <w:jc w:val="center"/>
        </w:trPr>
        <w:tc>
          <w:tcPr>
            <w:tcW w:w="2308" w:type="dxa"/>
            <w:tcBorders>
              <w:top w:val="nil"/>
              <w:left w:val="nil"/>
              <w:bottom w:val="nil"/>
              <w:right w:val="nil"/>
            </w:tcBorders>
            <w:shd w:val="clear" w:color="auto" w:fill="auto"/>
            <w:noWrap/>
            <w:vAlign w:val="center"/>
          </w:tcPr>
          <w:p w14:paraId="1D55A964">
            <w:pPr>
              <w:widowControl/>
              <w:jc w:val="center"/>
              <w:textAlignment w:val="center"/>
              <w:rPr>
                <w:rFonts w:hint="default" w:ascii="Times New Roman" w:hAnsi="Times New Roman" w:eastAsia="宋体" w:cs="Times New Roman"/>
                <w:color w:val="000000"/>
                <w:sz w:val="22"/>
                <w:szCs w:val="22"/>
              </w:rPr>
            </w:pPr>
            <w:r>
              <w:rPr>
                <w:rFonts w:hint="default" w:ascii="Times New Roman" w:hAnsi="Times New Roman" w:eastAsia="宋体" w:cs="Times New Roman"/>
                <w:color w:val="000000"/>
                <w:kern w:val="0"/>
                <w:sz w:val="22"/>
                <w:szCs w:val="22"/>
                <w:lang w:bidi="ar"/>
              </w:rPr>
              <w:t>CASP1</w:t>
            </w:r>
          </w:p>
        </w:tc>
        <w:tc>
          <w:tcPr>
            <w:tcW w:w="3599" w:type="dxa"/>
            <w:tcBorders>
              <w:top w:val="nil"/>
              <w:left w:val="nil"/>
              <w:bottom w:val="nil"/>
              <w:right w:val="nil"/>
            </w:tcBorders>
            <w:shd w:val="clear" w:color="auto" w:fill="auto"/>
            <w:noWrap/>
            <w:vAlign w:val="center"/>
          </w:tcPr>
          <w:p w14:paraId="2B3DF784">
            <w:pPr>
              <w:widowControl/>
              <w:jc w:val="center"/>
              <w:textAlignment w:val="center"/>
              <w:rPr>
                <w:rFonts w:hint="default" w:ascii="Times New Roman" w:hAnsi="Times New Roman" w:eastAsia="宋体" w:cs="Times New Roman"/>
                <w:color w:val="000000"/>
                <w:sz w:val="22"/>
                <w:szCs w:val="22"/>
              </w:rPr>
            </w:pPr>
            <w:r>
              <w:rPr>
                <w:rFonts w:hint="default" w:ascii="Times New Roman" w:hAnsi="Times New Roman" w:eastAsia="宋体" w:cs="Times New Roman"/>
                <w:color w:val="000000"/>
                <w:kern w:val="0"/>
                <w:sz w:val="22"/>
                <w:szCs w:val="22"/>
                <w:lang w:bidi="ar"/>
              </w:rPr>
              <w:t>1.39(1.12,1.73)</w:t>
            </w:r>
          </w:p>
        </w:tc>
        <w:tc>
          <w:tcPr>
            <w:tcW w:w="2272" w:type="dxa"/>
            <w:tcBorders>
              <w:top w:val="nil"/>
              <w:left w:val="nil"/>
              <w:bottom w:val="nil"/>
              <w:right w:val="nil"/>
            </w:tcBorders>
            <w:shd w:val="clear" w:color="auto" w:fill="auto"/>
            <w:noWrap/>
            <w:vAlign w:val="center"/>
          </w:tcPr>
          <w:p w14:paraId="169B75F0">
            <w:pPr>
              <w:widowControl/>
              <w:jc w:val="center"/>
              <w:textAlignment w:val="center"/>
              <w:rPr>
                <w:rFonts w:hint="default" w:ascii="Times New Roman" w:hAnsi="Times New Roman" w:eastAsia="宋体" w:cs="Times New Roman"/>
                <w:color w:val="000000"/>
                <w:sz w:val="22"/>
                <w:szCs w:val="22"/>
              </w:rPr>
            </w:pPr>
            <w:r>
              <w:rPr>
                <w:rFonts w:hint="default" w:ascii="Times New Roman" w:hAnsi="Times New Roman" w:eastAsia="宋体" w:cs="Times New Roman"/>
                <w:color w:val="000000"/>
                <w:kern w:val="0"/>
                <w:sz w:val="22"/>
                <w:szCs w:val="22"/>
                <w:lang w:bidi="ar"/>
              </w:rPr>
              <w:t>0.003</w:t>
            </w:r>
          </w:p>
        </w:tc>
      </w:tr>
      <w:tr w14:paraId="5628004C">
        <w:tblPrEx>
          <w:tblCellMar>
            <w:top w:w="0" w:type="dxa"/>
            <w:left w:w="108" w:type="dxa"/>
            <w:bottom w:w="0" w:type="dxa"/>
            <w:right w:w="108" w:type="dxa"/>
          </w:tblCellMar>
        </w:tblPrEx>
        <w:trPr>
          <w:trHeight w:val="296" w:hRule="atLeast"/>
          <w:jc w:val="center"/>
        </w:trPr>
        <w:tc>
          <w:tcPr>
            <w:tcW w:w="2308" w:type="dxa"/>
            <w:tcBorders>
              <w:top w:val="nil"/>
              <w:left w:val="nil"/>
              <w:bottom w:val="nil"/>
              <w:right w:val="nil"/>
            </w:tcBorders>
            <w:shd w:val="clear" w:color="auto" w:fill="DBE3F4" w:themeFill="accent1" w:themeFillTint="32"/>
            <w:noWrap/>
            <w:vAlign w:val="center"/>
          </w:tcPr>
          <w:p w14:paraId="636F25FC">
            <w:pPr>
              <w:widowControl/>
              <w:jc w:val="center"/>
              <w:textAlignment w:val="center"/>
              <w:rPr>
                <w:rFonts w:hint="default" w:ascii="Times New Roman" w:hAnsi="Times New Roman" w:eastAsia="宋体" w:cs="Times New Roman"/>
                <w:color w:val="000000"/>
                <w:sz w:val="22"/>
                <w:szCs w:val="22"/>
              </w:rPr>
            </w:pPr>
            <w:r>
              <w:rPr>
                <w:rFonts w:hint="default" w:ascii="Times New Roman" w:hAnsi="Times New Roman" w:eastAsia="宋体" w:cs="Times New Roman"/>
                <w:color w:val="000000"/>
                <w:kern w:val="0"/>
                <w:sz w:val="22"/>
                <w:szCs w:val="22"/>
                <w:lang w:bidi="ar"/>
              </w:rPr>
              <w:t>CD4</w:t>
            </w:r>
          </w:p>
        </w:tc>
        <w:tc>
          <w:tcPr>
            <w:tcW w:w="3599" w:type="dxa"/>
            <w:tcBorders>
              <w:top w:val="nil"/>
              <w:left w:val="nil"/>
              <w:bottom w:val="nil"/>
              <w:right w:val="nil"/>
            </w:tcBorders>
            <w:shd w:val="clear" w:color="auto" w:fill="DBE3F4" w:themeFill="accent1" w:themeFillTint="32"/>
            <w:noWrap/>
            <w:vAlign w:val="center"/>
          </w:tcPr>
          <w:p w14:paraId="7B2A208E">
            <w:pPr>
              <w:widowControl/>
              <w:jc w:val="center"/>
              <w:textAlignment w:val="center"/>
              <w:rPr>
                <w:rFonts w:hint="default" w:ascii="Times New Roman" w:hAnsi="Times New Roman" w:eastAsia="宋体" w:cs="Times New Roman"/>
                <w:color w:val="000000"/>
                <w:sz w:val="22"/>
                <w:szCs w:val="22"/>
              </w:rPr>
            </w:pPr>
            <w:r>
              <w:rPr>
                <w:rFonts w:hint="default" w:ascii="Times New Roman" w:hAnsi="Times New Roman" w:eastAsia="宋体" w:cs="Times New Roman"/>
                <w:color w:val="000000"/>
                <w:kern w:val="0"/>
                <w:sz w:val="22"/>
                <w:szCs w:val="22"/>
                <w:lang w:bidi="ar"/>
              </w:rPr>
              <w:t>1.22(1.03,1.45)</w:t>
            </w:r>
          </w:p>
        </w:tc>
        <w:tc>
          <w:tcPr>
            <w:tcW w:w="2272" w:type="dxa"/>
            <w:tcBorders>
              <w:top w:val="nil"/>
              <w:left w:val="nil"/>
              <w:bottom w:val="nil"/>
              <w:right w:val="nil"/>
            </w:tcBorders>
            <w:shd w:val="clear" w:color="auto" w:fill="DBE3F4" w:themeFill="accent1" w:themeFillTint="32"/>
            <w:noWrap/>
            <w:vAlign w:val="center"/>
          </w:tcPr>
          <w:p w14:paraId="7BE89228">
            <w:pPr>
              <w:widowControl/>
              <w:jc w:val="center"/>
              <w:textAlignment w:val="center"/>
              <w:rPr>
                <w:rFonts w:hint="default" w:ascii="Times New Roman" w:hAnsi="Times New Roman" w:eastAsia="宋体" w:cs="Times New Roman"/>
                <w:color w:val="000000"/>
                <w:sz w:val="22"/>
                <w:szCs w:val="22"/>
              </w:rPr>
            </w:pPr>
            <w:r>
              <w:rPr>
                <w:rFonts w:hint="default" w:ascii="Times New Roman" w:hAnsi="Times New Roman" w:eastAsia="宋体" w:cs="Times New Roman"/>
                <w:color w:val="000000"/>
                <w:kern w:val="0"/>
                <w:sz w:val="22"/>
                <w:szCs w:val="22"/>
                <w:lang w:bidi="ar"/>
              </w:rPr>
              <w:t>0.02</w:t>
            </w:r>
          </w:p>
        </w:tc>
      </w:tr>
      <w:tr w14:paraId="1C1146CA">
        <w:tblPrEx>
          <w:tblCellMar>
            <w:top w:w="0" w:type="dxa"/>
            <w:left w:w="108" w:type="dxa"/>
            <w:bottom w:w="0" w:type="dxa"/>
            <w:right w:w="108" w:type="dxa"/>
          </w:tblCellMar>
        </w:tblPrEx>
        <w:trPr>
          <w:trHeight w:val="296" w:hRule="atLeast"/>
          <w:jc w:val="center"/>
        </w:trPr>
        <w:tc>
          <w:tcPr>
            <w:tcW w:w="2308" w:type="dxa"/>
            <w:tcBorders>
              <w:top w:val="nil"/>
              <w:left w:val="nil"/>
              <w:bottom w:val="nil"/>
              <w:right w:val="nil"/>
            </w:tcBorders>
            <w:shd w:val="clear" w:color="auto" w:fill="auto"/>
            <w:noWrap/>
            <w:vAlign w:val="center"/>
          </w:tcPr>
          <w:p w14:paraId="0009674D">
            <w:pPr>
              <w:widowControl/>
              <w:jc w:val="center"/>
              <w:textAlignment w:val="center"/>
              <w:rPr>
                <w:rFonts w:hint="default" w:ascii="Times New Roman" w:hAnsi="Times New Roman" w:eastAsia="宋体" w:cs="Times New Roman"/>
                <w:color w:val="000000"/>
                <w:sz w:val="22"/>
                <w:szCs w:val="22"/>
              </w:rPr>
            </w:pPr>
            <w:r>
              <w:rPr>
                <w:rFonts w:hint="default" w:ascii="Times New Roman" w:hAnsi="Times New Roman" w:eastAsia="宋体" w:cs="Times New Roman"/>
                <w:color w:val="000000"/>
                <w:kern w:val="0"/>
                <w:sz w:val="22"/>
                <w:szCs w:val="22"/>
                <w:lang w:bidi="ar"/>
              </w:rPr>
              <w:t>EIF2AK3</w:t>
            </w:r>
          </w:p>
        </w:tc>
        <w:tc>
          <w:tcPr>
            <w:tcW w:w="3599" w:type="dxa"/>
            <w:tcBorders>
              <w:top w:val="nil"/>
              <w:left w:val="nil"/>
              <w:bottom w:val="nil"/>
              <w:right w:val="nil"/>
            </w:tcBorders>
            <w:shd w:val="clear" w:color="auto" w:fill="auto"/>
            <w:noWrap/>
            <w:vAlign w:val="center"/>
          </w:tcPr>
          <w:p w14:paraId="4F83BEC0">
            <w:pPr>
              <w:widowControl/>
              <w:jc w:val="center"/>
              <w:textAlignment w:val="center"/>
              <w:rPr>
                <w:rFonts w:hint="default" w:ascii="Times New Roman" w:hAnsi="Times New Roman" w:eastAsia="宋体" w:cs="Times New Roman"/>
                <w:color w:val="000000"/>
                <w:sz w:val="22"/>
                <w:szCs w:val="22"/>
              </w:rPr>
            </w:pPr>
            <w:r>
              <w:rPr>
                <w:rFonts w:hint="default" w:ascii="Times New Roman" w:hAnsi="Times New Roman" w:eastAsia="宋体" w:cs="Times New Roman"/>
                <w:color w:val="000000"/>
                <w:kern w:val="0"/>
                <w:sz w:val="22"/>
                <w:szCs w:val="22"/>
                <w:lang w:bidi="ar"/>
              </w:rPr>
              <w:t>0.66(0.49,0.90)</w:t>
            </w:r>
          </w:p>
        </w:tc>
        <w:tc>
          <w:tcPr>
            <w:tcW w:w="2272" w:type="dxa"/>
            <w:tcBorders>
              <w:top w:val="nil"/>
              <w:left w:val="nil"/>
              <w:bottom w:val="nil"/>
              <w:right w:val="nil"/>
            </w:tcBorders>
            <w:shd w:val="clear" w:color="auto" w:fill="auto"/>
            <w:noWrap/>
            <w:vAlign w:val="center"/>
          </w:tcPr>
          <w:p w14:paraId="492595BC">
            <w:pPr>
              <w:widowControl/>
              <w:jc w:val="center"/>
              <w:textAlignment w:val="center"/>
              <w:rPr>
                <w:rFonts w:hint="default" w:ascii="Times New Roman" w:hAnsi="Times New Roman" w:eastAsia="宋体" w:cs="Times New Roman"/>
                <w:color w:val="000000"/>
                <w:sz w:val="22"/>
                <w:szCs w:val="22"/>
              </w:rPr>
            </w:pPr>
            <w:r>
              <w:rPr>
                <w:rFonts w:hint="default" w:ascii="Times New Roman" w:hAnsi="Times New Roman" w:eastAsia="宋体" w:cs="Times New Roman"/>
                <w:color w:val="000000"/>
                <w:kern w:val="0"/>
                <w:sz w:val="22"/>
                <w:szCs w:val="22"/>
                <w:lang w:bidi="ar"/>
              </w:rPr>
              <w:t>0.008</w:t>
            </w:r>
          </w:p>
        </w:tc>
      </w:tr>
      <w:tr w14:paraId="53EA2949">
        <w:tblPrEx>
          <w:tblCellMar>
            <w:top w:w="0" w:type="dxa"/>
            <w:left w:w="108" w:type="dxa"/>
            <w:bottom w:w="0" w:type="dxa"/>
            <w:right w:w="108" w:type="dxa"/>
          </w:tblCellMar>
        </w:tblPrEx>
        <w:trPr>
          <w:trHeight w:val="296" w:hRule="atLeast"/>
          <w:jc w:val="center"/>
        </w:trPr>
        <w:tc>
          <w:tcPr>
            <w:tcW w:w="2308" w:type="dxa"/>
            <w:tcBorders>
              <w:top w:val="nil"/>
              <w:left w:val="nil"/>
              <w:bottom w:val="nil"/>
              <w:right w:val="nil"/>
            </w:tcBorders>
            <w:shd w:val="clear" w:color="auto" w:fill="DBE3F4" w:themeFill="accent1" w:themeFillTint="32"/>
            <w:noWrap/>
            <w:vAlign w:val="center"/>
          </w:tcPr>
          <w:p w14:paraId="64B45BAF">
            <w:pPr>
              <w:widowControl/>
              <w:jc w:val="center"/>
              <w:textAlignment w:val="center"/>
              <w:rPr>
                <w:rFonts w:hint="default" w:ascii="Times New Roman" w:hAnsi="Times New Roman" w:eastAsia="宋体" w:cs="Times New Roman"/>
                <w:color w:val="000000"/>
                <w:sz w:val="22"/>
                <w:szCs w:val="22"/>
              </w:rPr>
            </w:pPr>
            <w:r>
              <w:rPr>
                <w:rFonts w:hint="default" w:ascii="Times New Roman" w:hAnsi="Times New Roman" w:eastAsia="宋体" w:cs="Times New Roman"/>
                <w:color w:val="000000"/>
                <w:kern w:val="0"/>
                <w:sz w:val="22"/>
                <w:szCs w:val="22"/>
                <w:lang w:bidi="ar"/>
              </w:rPr>
              <w:t>IFNGR1</w:t>
            </w:r>
          </w:p>
        </w:tc>
        <w:tc>
          <w:tcPr>
            <w:tcW w:w="3599" w:type="dxa"/>
            <w:tcBorders>
              <w:top w:val="nil"/>
              <w:left w:val="nil"/>
              <w:bottom w:val="nil"/>
              <w:right w:val="nil"/>
            </w:tcBorders>
            <w:shd w:val="clear" w:color="auto" w:fill="DBE3F4" w:themeFill="accent1" w:themeFillTint="32"/>
            <w:noWrap/>
            <w:vAlign w:val="center"/>
          </w:tcPr>
          <w:p w14:paraId="4F2F9832">
            <w:pPr>
              <w:widowControl/>
              <w:jc w:val="center"/>
              <w:textAlignment w:val="center"/>
              <w:rPr>
                <w:rFonts w:hint="default" w:ascii="Times New Roman" w:hAnsi="Times New Roman" w:eastAsia="宋体" w:cs="Times New Roman"/>
                <w:color w:val="000000"/>
                <w:sz w:val="22"/>
                <w:szCs w:val="22"/>
              </w:rPr>
            </w:pPr>
            <w:r>
              <w:rPr>
                <w:rFonts w:hint="default" w:ascii="Times New Roman" w:hAnsi="Times New Roman" w:eastAsia="宋体" w:cs="Times New Roman"/>
                <w:color w:val="000000"/>
                <w:kern w:val="0"/>
                <w:sz w:val="22"/>
                <w:szCs w:val="22"/>
                <w:lang w:bidi="ar"/>
              </w:rPr>
              <w:t>1.37(1.08,1.74)</w:t>
            </w:r>
          </w:p>
        </w:tc>
        <w:tc>
          <w:tcPr>
            <w:tcW w:w="2272" w:type="dxa"/>
            <w:tcBorders>
              <w:top w:val="nil"/>
              <w:left w:val="nil"/>
              <w:bottom w:val="nil"/>
              <w:right w:val="nil"/>
            </w:tcBorders>
            <w:shd w:val="clear" w:color="auto" w:fill="DBE3F4" w:themeFill="accent1" w:themeFillTint="32"/>
            <w:noWrap/>
            <w:vAlign w:val="center"/>
          </w:tcPr>
          <w:p w14:paraId="482643E3">
            <w:pPr>
              <w:widowControl/>
              <w:jc w:val="center"/>
              <w:textAlignment w:val="center"/>
              <w:rPr>
                <w:rFonts w:hint="default" w:ascii="Times New Roman" w:hAnsi="Times New Roman" w:eastAsia="宋体" w:cs="Times New Roman"/>
                <w:color w:val="000000"/>
                <w:sz w:val="22"/>
                <w:szCs w:val="22"/>
              </w:rPr>
            </w:pPr>
            <w:r>
              <w:rPr>
                <w:rFonts w:hint="default" w:ascii="Times New Roman" w:hAnsi="Times New Roman" w:eastAsia="宋体" w:cs="Times New Roman"/>
                <w:color w:val="000000"/>
                <w:kern w:val="0"/>
                <w:sz w:val="22"/>
                <w:szCs w:val="22"/>
                <w:lang w:bidi="ar"/>
              </w:rPr>
              <w:t>0.009</w:t>
            </w:r>
          </w:p>
        </w:tc>
      </w:tr>
      <w:tr w14:paraId="45D85C7B">
        <w:tblPrEx>
          <w:tblCellMar>
            <w:top w:w="0" w:type="dxa"/>
            <w:left w:w="108" w:type="dxa"/>
            <w:bottom w:w="0" w:type="dxa"/>
            <w:right w:w="108" w:type="dxa"/>
          </w:tblCellMar>
        </w:tblPrEx>
        <w:trPr>
          <w:trHeight w:val="296" w:hRule="atLeast"/>
          <w:jc w:val="center"/>
        </w:trPr>
        <w:tc>
          <w:tcPr>
            <w:tcW w:w="2308" w:type="dxa"/>
            <w:tcBorders>
              <w:top w:val="nil"/>
              <w:left w:val="nil"/>
              <w:bottom w:val="nil"/>
              <w:right w:val="nil"/>
            </w:tcBorders>
            <w:shd w:val="clear" w:color="auto" w:fill="auto"/>
            <w:noWrap/>
            <w:vAlign w:val="center"/>
          </w:tcPr>
          <w:p w14:paraId="6C03610E">
            <w:pPr>
              <w:widowControl/>
              <w:jc w:val="center"/>
              <w:textAlignment w:val="center"/>
              <w:rPr>
                <w:rFonts w:hint="default" w:ascii="Times New Roman" w:hAnsi="Times New Roman" w:eastAsia="宋体" w:cs="Times New Roman"/>
                <w:color w:val="000000"/>
                <w:sz w:val="22"/>
                <w:szCs w:val="22"/>
              </w:rPr>
            </w:pPr>
            <w:r>
              <w:rPr>
                <w:rFonts w:hint="default" w:ascii="Times New Roman" w:hAnsi="Times New Roman" w:eastAsia="宋体" w:cs="Times New Roman"/>
                <w:color w:val="000000"/>
                <w:kern w:val="0"/>
                <w:sz w:val="22"/>
                <w:szCs w:val="22"/>
                <w:lang w:bidi="ar"/>
              </w:rPr>
              <w:t>IL10</w:t>
            </w:r>
          </w:p>
        </w:tc>
        <w:tc>
          <w:tcPr>
            <w:tcW w:w="3599" w:type="dxa"/>
            <w:tcBorders>
              <w:top w:val="nil"/>
              <w:left w:val="nil"/>
              <w:bottom w:val="nil"/>
              <w:right w:val="nil"/>
            </w:tcBorders>
            <w:shd w:val="clear" w:color="auto" w:fill="auto"/>
            <w:noWrap/>
            <w:vAlign w:val="center"/>
          </w:tcPr>
          <w:p w14:paraId="5459F125">
            <w:pPr>
              <w:widowControl/>
              <w:jc w:val="center"/>
              <w:textAlignment w:val="center"/>
              <w:rPr>
                <w:rFonts w:hint="default" w:ascii="Times New Roman" w:hAnsi="Times New Roman" w:eastAsia="宋体" w:cs="Times New Roman"/>
                <w:color w:val="000000"/>
                <w:sz w:val="22"/>
                <w:szCs w:val="22"/>
              </w:rPr>
            </w:pPr>
            <w:r>
              <w:rPr>
                <w:rFonts w:hint="default" w:ascii="Times New Roman" w:hAnsi="Times New Roman" w:eastAsia="宋体" w:cs="Times New Roman"/>
                <w:color w:val="000000"/>
                <w:kern w:val="0"/>
                <w:sz w:val="22"/>
                <w:szCs w:val="22"/>
                <w:lang w:bidi="ar"/>
              </w:rPr>
              <w:t>1.26(1.09,1.46)</w:t>
            </w:r>
          </w:p>
        </w:tc>
        <w:tc>
          <w:tcPr>
            <w:tcW w:w="2272" w:type="dxa"/>
            <w:tcBorders>
              <w:top w:val="nil"/>
              <w:left w:val="nil"/>
              <w:bottom w:val="nil"/>
              <w:right w:val="nil"/>
            </w:tcBorders>
            <w:shd w:val="clear" w:color="auto" w:fill="auto"/>
            <w:noWrap/>
            <w:vAlign w:val="center"/>
          </w:tcPr>
          <w:p w14:paraId="4A3E55D3">
            <w:pPr>
              <w:widowControl/>
              <w:jc w:val="center"/>
              <w:textAlignment w:val="center"/>
              <w:rPr>
                <w:rFonts w:hint="default" w:ascii="Times New Roman" w:hAnsi="Times New Roman" w:eastAsia="宋体" w:cs="Times New Roman"/>
                <w:color w:val="000000"/>
                <w:sz w:val="22"/>
                <w:szCs w:val="22"/>
              </w:rPr>
            </w:pPr>
            <w:r>
              <w:rPr>
                <w:rFonts w:hint="default" w:ascii="Times New Roman" w:hAnsi="Times New Roman" w:eastAsia="宋体" w:cs="Times New Roman"/>
                <w:color w:val="000000"/>
                <w:kern w:val="0"/>
                <w:sz w:val="22"/>
                <w:szCs w:val="22"/>
                <w:lang w:bidi="ar"/>
              </w:rPr>
              <w:t>0.002</w:t>
            </w:r>
          </w:p>
        </w:tc>
      </w:tr>
      <w:tr w14:paraId="54C81088">
        <w:tblPrEx>
          <w:tblCellMar>
            <w:top w:w="0" w:type="dxa"/>
            <w:left w:w="108" w:type="dxa"/>
            <w:bottom w:w="0" w:type="dxa"/>
            <w:right w:w="108" w:type="dxa"/>
          </w:tblCellMar>
        </w:tblPrEx>
        <w:trPr>
          <w:trHeight w:val="296" w:hRule="atLeast"/>
          <w:jc w:val="center"/>
        </w:trPr>
        <w:tc>
          <w:tcPr>
            <w:tcW w:w="2308" w:type="dxa"/>
            <w:tcBorders>
              <w:top w:val="nil"/>
              <w:left w:val="nil"/>
              <w:bottom w:val="nil"/>
              <w:right w:val="nil"/>
            </w:tcBorders>
            <w:shd w:val="clear" w:color="auto" w:fill="DBE3F4" w:themeFill="accent1" w:themeFillTint="32"/>
            <w:noWrap/>
            <w:vAlign w:val="center"/>
          </w:tcPr>
          <w:p w14:paraId="598637FE">
            <w:pPr>
              <w:widowControl/>
              <w:jc w:val="center"/>
              <w:textAlignment w:val="center"/>
              <w:rPr>
                <w:rFonts w:hint="default" w:ascii="Times New Roman" w:hAnsi="Times New Roman" w:eastAsia="宋体" w:cs="Times New Roman"/>
                <w:color w:val="000000"/>
                <w:sz w:val="22"/>
                <w:szCs w:val="22"/>
              </w:rPr>
            </w:pPr>
            <w:r>
              <w:rPr>
                <w:rFonts w:hint="default" w:ascii="Times New Roman" w:hAnsi="Times New Roman" w:eastAsia="宋体" w:cs="Times New Roman"/>
                <w:color w:val="000000"/>
                <w:kern w:val="0"/>
                <w:sz w:val="22"/>
                <w:szCs w:val="22"/>
                <w:lang w:bidi="ar"/>
              </w:rPr>
              <w:t>LY96</w:t>
            </w:r>
          </w:p>
        </w:tc>
        <w:tc>
          <w:tcPr>
            <w:tcW w:w="3599" w:type="dxa"/>
            <w:tcBorders>
              <w:top w:val="nil"/>
              <w:left w:val="nil"/>
              <w:bottom w:val="nil"/>
              <w:right w:val="nil"/>
            </w:tcBorders>
            <w:shd w:val="clear" w:color="auto" w:fill="DBE3F4" w:themeFill="accent1" w:themeFillTint="32"/>
            <w:noWrap/>
            <w:vAlign w:val="center"/>
          </w:tcPr>
          <w:p w14:paraId="1A3DCE64">
            <w:pPr>
              <w:widowControl/>
              <w:jc w:val="center"/>
              <w:textAlignment w:val="center"/>
              <w:rPr>
                <w:rFonts w:hint="default" w:ascii="Times New Roman" w:hAnsi="Times New Roman" w:eastAsia="宋体" w:cs="Times New Roman"/>
                <w:color w:val="000000"/>
                <w:sz w:val="22"/>
                <w:szCs w:val="22"/>
              </w:rPr>
            </w:pPr>
            <w:r>
              <w:rPr>
                <w:rFonts w:hint="default" w:ascii="Times New Roman" w:hAnsi="Times New Roman" w:eastAsia="宋体" w:cs="Times New Roman"/>
                <w:color w:val="000000"/>
                <w:kern w:val="0"/>
                <w:sz w:val="22"/>
                <w:szCs w:val="22"/>
                <w:lang w:bidi="ar"/>
              </w:rPr>
              <w:t>1.16(1.00,1.33)</w:t>
            </w:r>
          </w:p>
        </w:tc>
        <w:tc>
          <w:tcPr>
            <w:tcW w:w="2272" w:type="dxa"/>
            <w:tcBorders>
              <w:top w:val="nil"/>
              <w:left w:val="nil"/>
              <w:bottom w:val="nil"/>
              <w:right w:val="nil"/>
            </w:tcBorders>
            <w:shd w:val="clear" w:color="auto" w:fill="DBE3F4" w:themeFill="accent1" w:themeFillTint="32"/>
            <w:noWrap/>
            <w:vAlign w:val="center"/>
          </w:tcPr>
          <w:p w14:paraId="1DF8DC33">
            <w:pPr>
              <w:widowControl/>
              <w:jc w:val="center"/>
              <w:textAlignment w:val="center"/>
              <w:rPr>
                <w:rFonts w:hint="default" w:ascii="Times New Roman" w:hAnsi="Times New Roman" w:eastAsia="宋体" w:cs="Times New Roman"/>
                <w:color w:val="000000"/>
                <w:sz w:val="22"/>
                <w:szCs w:val="22"/>
              </w:rPr>
            </w:pPr>
            <w:r>
              <w:rPr>
                <w:rFonts w:hint="default" w:ascii="Times New Roman" w:hAnsi="Times New Roman" w:eastAsia="宋体" w:cs="Times New Roman"/>
                <w:color w:val="000000"/>
                <w:kern w:val="0"/>
                <w:sz w:val="22"/>
                <w:szCs w:val="22"/>
                <w:lang w:bidi="ar"/>
              </w:rPr>
              <w:t>0.048</w:t>
            </w:r>
          </w:p>
        </w:tc>
      </w:tr>
      <w:tr w14:paraId="0A909865">
        <w:tblPrEx>
          <w:tblCellMar>
            <w:top w:w="0" w:type="dxa"/>
            <w:left w:w="108" w:type="dxa"/>
            <w:bottom w:w="0" w:type="dxa"/>
            <w:right w:w="108" w:type="dxa"/>
          </w:tblCellMar>
        </w:tblPrEx>
        <w:trPr>
          <w:trHeight w:val="351" w:hRule="atLeast"/>
          <w:jc w:val="center"/>
        </w:trPr>
        <w:tc>
          <w:tcPr>
            <w:tcW w:w="2308" w:type="dxa"/>
            <w:tcBorders>
              <w:top w:val="nil"/>
              <w:left w:val="nil"/>
              <w:bottom w:val="single" w:color="000000" w:sz="8" w:space="0"/>
              <w:right w:val="nil"/>
            </w:tcBorders>
            <w:shd w:val="clear" w:color="auto" w:fill="auto"/>
            <w:noWrap/>
            <w:vAlign w:val="center"/>
          </w:tcPr>
          <w:p w14:paraId="0579F407">
            <w:pPr>
              <w:widowControl/>
              <w:jc w:val="center"/>
              <w:textAlignment w:val="center"/>
              <w:rPr>
                <w:rFonts w:hint="default" w:ascii="Times New Roman" w:hAnsi="Times New Roman" w:eastAsia="宋体" w:cs="Times New Roman"/>
                <w:color w:val="000000"/>
                <w:sz w:val="22"/>
                <w:szCs w:val="22"/>
              </w:rPr>
            </w:pPr>
            <w:r>
              <w:rPr>
                <w:rFonts w:hint="default" w:ascii="Times New Roman" w:hAnsi="Times New Roman" w:eastAsia="宋体" w:cs="Times New Roman"/>
                <w:color w:val="000000"/>
                <w:kern w:val="0"/>
                <w:sz w:val="22"/>
                <w:szCs w:val="22"/>
                <w:lang w:bidi="ar"/>
              </w:rPr>
              <w:t>PIK3CA</w:t>
            </w:r>
          </w:p>
        </w:tc>
        <w:tc>
          <w:tcPr>
            <w:tcW w:w="3599" w:type="dxa"/>
            <w:tcBorders>
              <w:top w:val="nil"/>
              <w:left w:val="nil"/>
              <w:bottom w:val="single" w:color="000000" w:sz="8" w:space="0"/>
              <w:right w:val="nil"/>
            </w:tcBorders>
            <w:shd w:val="clear" w:color="auto" w:fill="auto"/>
            <w:noWrap/>
            <w:vAlign w:val="center"/>
          </w:tcPr>
          <w:p w14:paraId="2B53B584">
            <w:pPr>
              <w:widowControl/>
              <w:jc w:val="center"/>
              <w:textAlignment w:val="center"/>
              <w:rPr>
                <w:rFonts w:hint="default" w:ascii="Times New Roman" w:hAnsi="Times New Roman" w:eastAsia="宋体" w:cs="Times New Roman"/>
                <w:color w:val="000000"/>
                <w:sz w:val="22"/>
                <w:szCs w:val="22"/>
              </w:rPr>
            </w:pPr>
            <w:r>
              <w:rPr>
                <w:rFonts w:hint="default" w:ascii="Times New Roman" w:hAnsi="Times New Roman" w:eastAsia="宋体" w:cs="Times New Roman"/>
                <w:color w:val="000000"/>
                <w:kern w:val="0"/>
                <w:sz w:val="22"/>
                <w:szCs w:val="22"/>
                <w:lang w:bidi="ar"/>
              </w:rPr>
              <w:t>0.57(0.40,0.83)</w:t>
            </w:r>
          </w:p>
        </w:tc>
        <w:tc>
          <w:tcPr>
            <w:tcW w:w="2272" w:type="dxa"/>
            <w:tcBorders>
              <w:top w:val="nil"/>
              <w:left w:val="nil"/>
              <w:bottom w:val="single" w:color="000000" w:sz="8" w:space="0"/>
              <w:right w:val="nil"/>
            </w:tcBorders>
            <w:shd w:val="clear" w:color="auto" w:fill="auto"/>
            <w:noWrap/>
            <w:vAlign w:val="center"/>
          </w:tcPr>
          <w:p w14:paraId="603EF7B1">
            <w:pPr>
              <w:widowControl/>
              <w:jc w:val="center"/>
              <w:textAlignment w:val="center"/>
              <w:rPr>
                <w:rFonts w:hint="default" w:ascii="Times New Roman" w:hAnsi="Times New Roman" w:eastAsia="宋体" w:cs="Times New Roman"/>
                <w:color w:val="000000"/>
                <w:sz w:val="22"/>
                <w:szCs w:val="22"/>
              </w:rPr>
            </w:pPr>
            <w:r>
              <w:rPr>
                <w:rFonts w:hint="default" w:ascii="Times New Roman" w:hAnsi="Times New Roman" w:eastAsia="宋体" w:cs="Times New Roman"/>
                <w:color w:val="000000"/>
                <w:kern w:val="0"/>
                <w:sz w:val="22"/>
                <w:szCs w:val="22"/>
                <w:lang w:bidi="ar"/>
              </w:rPr>
              <w:t>0.003</w:t>
            </w:r>
          </w:p>
        </w:tc>
      </w:tr>
    </w:tbl>
    <w:p w14:paraId="38A75294">
      <w:pPr>
        <w:rPr>
          <w:rFonts w:ascii="Times New Roman" w:hAnsi="Times New Roman" w:eastAsia="宋体" w:cs="Times New Roman"/>
          <w:color w:val="2A2B2E"/>
          <w:szCs w:val="21"/>
          <w:shd w:val="clear" w:color="auto" w:fill="FFFFFF"/>
        </w:rPr>
      </w:pPr>
    </w:p>
    <w:p w14:paraId="62D8B746">
      <w:pPr>
        <w:rPr>
          <w:rFonts w:ascii="Times New Roman" w:hAnsi="Times New Roman" w:eastAsia="宋体" w:cs="Times New Roman"/>
          <w:color w:val="2A2B2E"/>
          <w:szCs w:val="21"/>
          <w:shd w:val="clear" w:color="auto" w:fill="FFFFFF"/>
        </w:rPr>
      </w:pPr>
    </w:p>
    <w:p w14:paraId="7611713A">
      <w:pPr>
        <w:rPr>
          <w:rFonts w:ascii="Times New Roman" w:hAnsi="Times New Roman" w:eastAsia="宋体" w:cs="Times New Roman"/>
          <w:b/>
          <w:bCs/>
          <w:color w:val="2A2B2E"/>
          <w:sz w:val="24"/>
          <w:shd w:val="clear" w:color="auto" w:fill="FFFFFF"/>
        </w:rPr>
      </w:pPr>
      <w:r>
        <w:rPr>
          <w:rFonts w:hint="eastAsia" w:ascii="Times New Roman" w:hAnsi="Times New Roman" w:eastAsia="宋体" w:cs="Times New Roman"/>
          <w:b/>
          <w:bCs/>
          <w:color w:val="2A2B2E"/>
          <w:sz w:val="24"/>
          <w:shd w:val="clear" w:color="auto" w:fill="FFFFFF"/>
        </w:rPr>
        <w:t>Table</w:t>
      </w:r>
      <w:r>
        <w:rPr>
          <w:rFonts w:hint="eastAsia" w:ascii="Times New Roman" w:hAnsi="Times New Roman" w:eastAsia="宋体" w:cs="Times New Roman"/>
          <w:b/>
          <w:bCs/>
          <w:color w:val="2A2B2E"/>
          <w:sz w:val="24"/>
          <w:shd w:val="clear" w:color="auto" w:fill="FFFFFF"/>
          <w:lang w:val="en-US" w:eastAsia="zh-CN"/>
        </w:rPr>
        <w:t xml:space="preserve"> S3</w:t>
      </w:r>
      <w:r>
        <w:rPr>
          <w:rFonts w:hint="eastAsia" w:ascii="Times New Roman" w:hAnsi="Times New Roman" w:eastAsia="宋体" w:cs="Times New Roman"/>
          <w:b/>
          <w:bCs/>
          <w:color w:val="2A2B2E"/>
          <w:sz w:val="24"/>
          <w:shd w:val="clear" w:color="auto" w:fill="FFFFFF"/>
        </w:rPr>
        <w:t xml:space="preserve"> Lasso coefficient</w:t>
      </w:r>
    </w:p>
    <w:tbl>
      <w:tblPr>
        <w:tblStyle w:val="3"/>
        <w:tblW w:w="8239" w:type="dxa"/>
        <w:jc w:val="center"/>
        <w:tblLayout w:type="autofit"/>
        <w:tblCellMar>
          <w:top w:w="0" w:type="dxa"/>
          <w:left w:w="108" w:type="dxa"/>
          <w:bottom w:w="0" w:type="dxa"/>
          <w:right w:w="108" w:type="dxa"/>
        </w:tblCellMar>
      </w:tblPr>
      <w:tblGrid>
        <w:gridCol w:w="3624"/>
        <w:gridCol w:w="4615"/>
      </w:tblGrid>
      <w:tr w14:paraId="7BBFC5D2">
        <w:tblPrEx>
          <w:tblCellMar>
            <w:top w:w="0" w:type="dxa"/>
            <w:left w:w="108" w:type="dxa"/>
            <w:bottom w:w="0" w:type="dxa"/>
            <w:right w:w="108" w:type="dxa"/>
          </w:tblCellMar>
        </w:tblPrEx>
        <w:trPr>
          <w:trHeight w:val="296" w:hRule="atLeast"/>
          <w:jc w:val="center"/>
        </w:trPr>
        <w:tc>
          <w:tcPr>
            <w:tcW w:w="3624" w:type="dxa"/>
            <w:tcBorders>
              <w:top w:val="single" w:color="000000" w:sz="8" w:space="0"/>
              <w:left w:val="nil"/>
              <w:bottom w:val="single" w:color="000000" w:sz="8" w:space="0"/>
              <w:right w:val="nil"/>
            </w:tcBorders>
            <w:shd w:val="clear" w:color="auto" w:fill="auto"/>
            <w:noWrap/>
            <w:vAlign w:val="center"/>
          </w:tcPr>
          <w:p w14:paraId="5CA4F971">
            <w:pPr>
              <w:widowControl/>
              <w:jc w:val="center"/>
              <w:textAlignment w:val="center"/>
              <w:rPr>
                <w:rFonts w:hint="default" w:ascii="Times New Roman" w:hAnsi="Times New Roman" w:eastAsia="宋体" w:cs="Times New Roman"/>
                <w:color w:val="000000"/>
                <w:sz w:val="22"/>
                <w:szCs w:val="22"/>
              </w:rPr>
            </w:pPr>
            <w:r>
              <w:rPr>
                <w:rFonts w:hint="default" w:ascii="Times New Roman" w:hAnsi="Times New Roman" w:eastAsia="宋体" w:cs="Times New Roman"/>
                <w:color w:val="000000"/>
                <w:kern w:val="0"/>
                <w:sz w:val="22"/>
                <w:szCs w:val="22"/>
                <w:lang w:bidi="ar"/>
              </w:rPr>
              <w:t>Gene</w:t>
            </w:r>
          </w:p>
        </w:tc>
        <w:tc>
          <w:tcPr>
            <w:tcW w:w="4615" w:type="dxa"/>
            <w:tcBorders>
              <w:top w:val="single" w:color="000000" w:sz="8" w:space="0"/>
              <w:left w:val="nil"/>
              <w:bottom w:val="single" w:color="000000" w:sz="8" w:space="0"/>
              <w:right w:val="nil"/>
            </w:tcBorders>
            <w:shd w:val="clear" w:color="auto" w:fill="auto"/>
            <w:noWrap/>
            <w:vAlign w:val="center"/>
          </w:tcPr>
          <w:p w14:paraId="103C46F2">
            <w:pPr>
              <w:widowControl/>
              <w:jc w:val="center"/>
              <w:textAlignment w:val="center"/>
              <w:rPr>
                <w:rFonts w:hint="default" w:ascii="Times New Roman" w:hAnsi="Times New Roman" w:eastAsia="宋体" w:cs="Times New Roman"/>
                <w:color w:val="000000"/>
                <w:sz w:val="22"/>
                <w:szCs w:val="22"/>
              </w:rPr>
            </w:pPr>
            <w:r>
              <w:rPr>
                <w:rFonts w:hint="default" w:ascii="Times New Roman" w:hAnsi="Times New Roman" w:eastAsia="宋体" w:cs="Times New Roman"/>
                <w:color w:val="000000"/>
                <w:kern w:val="0"/>
                <w:sz w:val="22"/>
                <w:szCs w:val="22"/>
                <w:lang w:bidi="ar"/>
              </w:rPr>
              <w:t>Coef</w:t>
            </w:r>
          </w:p>
        </w:tc>
      </w:tr>
      <w:tr w14:paraId="725A4A89">
        <w:tblPrEx>
          <w:tblCellMar>
            <w:top w:w="0" w:type="dxa"/>
            <w:left w:w="108" w:type="dxa"/>
            <w:bottom w:w="0" w:type="dxa"/>
            <w:right w:w="108" w:type="dxa"/>
          </w:tblCellMar>
        </w:tblPrEx>
        <w:trPr>
          <w:trHeight w:val="296" w:hRule="atLeast"/>
          <w:jc w:val="center"/>
        </w:trPr>
        <w:tc>
          <w:tcPr>
            <w:tcW w:w="0" w:type="auto"/>
            <w:tcBorders>
              <w:top w:val="nil"/>
              <w:left w:val="nil"/>
              <w:bottom w:val="nil"/>
              <w:right w:val="nil"/>
            </w:tcBorders>
            <w:shd w:val="clear" w:color="auto" w:fill="DBE3F4" w:themeFill="accent1" w:themeFillTint="32"/>
            <w:noWrap/>
            <w:vAlign w:val="center"/>
          </w:tcPr>
          <w:p w14:paraId="363B5951">
            <w:pPr>
              <w:widowControl/>
              <w:jc w:val="center"/>
              <w:textAlignment w:val="center"/>
              <w:rPr>
                <w:rFonts w:hint="default" w:ascii="Times New Roman" w:hAnsi="Times New Roman" w:eastAsia="宋体" w:cs="Times New Roman"/>
                <w:color w:val="000000"/>
                <w:sz w:val="22"/>
                <w:szCs w:val="22"/>
              </w:rPr>
            </w:pPr>
            <w:r>
              <w:rPr>
                <w:rFonts w:hint="default" w:ascii="Times New Roman" w:hAnsi="Times New Roman" w:eastAsia="宋体" w:cs="Times New Roman"/>
                <w:color w:val="000000"/>
                <w:kern w:val="0"/>
                <w:sz w:val="22"/>
                <w:szCs w:val="22"/>
                <w:lang w:bidi="ar"/>
              </w:rPr>
              <w:t>CALR</w:t>
            </w:r>
          </w:p>
        </w:tc>
        <w:tc>
          <w:tcPr>
            <w:tcW w:w="0" w:type="auto"/>
            <w:tcBorders>
              <w:top w:val="nil"/>
              <w:left w:val="nil"/>
              <w:bottom w:val="nil"/>
              <w:right w:val="nil"/>
            </w:tcBorders>
            <w:shd w:val="clear" w:color="auto" w:fill="DBE3F4" w:themeFill="accent1" w:themeFillTint="32"/>
            <w:noWrap/>
            <w:vAlign w:val="center"/>
          </w:tcPr>
          <w:p w14:paraId="515904BC">
            <w:pPr>
              <w:widowControl/>
              <w:jc w:val="center"/>
              <w:textAlignment w:val="center"/>
              <w:rPr>
                <w:rFonts w:hint="default" w:ascii="Times New Roman" w:hAnsi="Times New Roman" w:eastAsia="宋体" w:cs="Times New Roman"/>
                <w:color w:val="000000"/>
                <w:sz w:val="22"/>
                <w:szCs w:val="22"/>
              </w:rPr>
            </w:pPr>
            <w:r>
              <w:rPr>
                <w:rFonts w:hint="default" w:ascii="Times New Roman" w:hAnsi="Times New Roman" w:eastAsia="宋体" w:cs="Times New Roman"/>
                <w:color w:val="000000"/>
                <w:kern w:val="0"/>
                <w:sz w:val="22"/>
                <w:szCs w:val="22"/>
                <w:lang w:bidi="ar"/>
              </w:rPr>
              <w:t>-0.662</w:t>
            </w:r>
          </w:p>
        </w:tc>
      </w:tr>
      <w:tr w14:paraId="3D872E5F">
        <w:tblPrEx>
          <w:tblCellMar>
            <w:top w:w="0" w:type="dxa"/>
            <w:left w:w="108" w:type="dxa"/>
            <w:bottom w:w="0" w:type="dxa"/>
            <w:right w:w="108" w:type="dxa"/>
          </w:tblCellMar>
        </w:tblPrEx>
        <w:trPr>
          <w:trHeight w:val="272" w:hRule="atLeast"/>
          <w:jc w:val="center"/>
        </w:trPr>
        <w:tc>
          <w:tcPr>
            <w:tcW w:w="0" w:type="auto"/>
            <w:tcBorders>
              <w:top w:val="nil"/>
              <w:left w:val="nil"/>
              <w:bottom w:val="nil"/>
              <w:right w:val="nil"/>
            </w:tcBorders>
            <w:shd w:val="clear" w:color="auto" w:fill="auto"/>
            <w:noWrap/>
            <w:vAlign w:val="center"/>
          </w:tcPr>
          <w:p w14:paraId="57BEF578">
            <w:pPr>
              <w:widowControl/>
              <w:jc w:val="center"/>
              <w:textAlignment w:val="center"/>
              <w:rPr>
                <w:rFonts w:hint="default" w:ascii="Times New Roman" w:hAnsi="Times New Roman" w:eastAsia="宋体" w:cs="Times New Roman"/>
                <w:color w:val="000000"/>
                <w:sz w:val="22"/>
                <w:szCs w:val="22"/>
              </w:rPr>
            </w:pPr>
            <w:r>
              <w:rPr>
                <w:rFonts w:hint="default" w:ascii="Times New Roman" w:hAnsi="Times New Roman" w:eastAsia="宋体" w:cs="Times New Roman"/>
                <w:color w:val="000000"/>
                <w:kern w:val="0"/>
                <w:sz w:val="22"/>
                <w:szCs w:val="22"/>
                <w:lang w:bidi="ar"/>
              </w:rPr>
              <w:t>CASP1</w:t>
            </w:r>
          </w:p>
        </w:tc>
        <w:tc>
          <w:tcPr>
            <w:tcW w:w="0" w:type="auto"/>
            <w:tcBorders>
              <w:top w:val="nil"/>
              <w:left w:val="nil"/>
              <w:bottom w:val="nil"/>
              <w:right w:val="nil"/>
            </w:tcBorders>
            <w:shd w:val="clear" w:color="auto" w:fill="auto"/>
            <w:noWrap/>
            <w:vAlign w:val="center"/>
          </w:tcPr>
          <w:p w14:paraId="0EF42530">
            <w:pPr>
              <w:widowControl/>
              <w:jc w:val="center"/>
              <w:textAlignment w:val="center"/>
              <w:rPr>
                <w:rFonts w:hint="default" w:ascii="Times New Roman" w:hAnsi="Times New Roman" w:eastAsia="宋体" w:cs="Times New Roman"/>
                <w:color w:val="000000"/>
                <w:sz w:val="22"/>
                <w:szCs w:val="22"/>
              </w:rPr>
            </w:pPr>
            <w:r>
              <w:rPr>
                <w:rFonts w:hint="default" w:ascii="Times New Roman" w:hAnsi="Times New Roman" w:eastAsia="宋体" w:cs="Times New Roman"/>
                <w:color w:val="000000"/>
                <w:kern w:val="0"/>
                <w:sz w:val="22"/>
                <w:szCs w:val="22"/>
                <w:lang w:bidi="ar"/>
              </w:rPr>
              <w:t>0.009</w:t>
            </w:r>
          </w:p>
        </w:tc>
      </w:tr>
      <w:tr w14:paraId="5940A82D">
        <w:tblPrEx>
          <w:tblCellMar>
            <w:top w:w="0" w:type="dxa"/>
            <w:left w:w="108" w:type="dxa"/>
            <w:bottom w:w="0" w:type="dxa"/>
            <w:right w:w="108" w:type="dxa"/>
          </w:tblCellMar>
        </w:tblPrEx>
        <w:trPr>
          <w:trHeight w:val="272" w:hRule="atLeast"/>
          <w:jc w:val="center"/>
        </w:trPr>
        <w:tc>
          <w:tcPr>
            <w:tcW w:w="0" w:type="auto"/>
            <w:tcBorders>
              <w:top w:val="nil"/>
              <w:left w:val="nil"/>
              <w:bottom w:val="nil"/>
              <w:right w:val="nil"/>
            </w:tcBorders>
            <w:shd w:val="clear" w:color="auto" w:fill="DBE3F4" w:themeFill="accent1" w:themeFillTint="32"/>
            <w:noWrap/>
            <w:vAlign w:val="center"/>
          </w:tcPr>
          <w:p w14:paraId="3CB82182">
            <w:pPr>
              <w:widowControl/>
              <w:jc w:val="center"/>
              <w:textAlignment w:val="center"/>
              <w:rPr>
                <w:rFonts w:hint="default" w:ascii="Times New Roman" w:hAnsi="Times New Roman" w:eastAsia="宋体" w:cs="Times New Roman"/>
                <w:color w:val="000000"/>
                <w:sz w:val="22"/>
                <w:szCs w:val="22"/>
              </w:rPr>
            </w:pPr>
            <w:r>
              <w:rPr>
                <w:rFonts w:hint="default" w:ascii="Times New Roman" w:hAnsi="Times New Roman" w:eastAsia="宋体" w:cs="Times New Roman"/>
                <w:color w:val="000000"/>
                <w:kern w:val="0"/>
                <w:sz w:val="22"/>
                <w:szCs w:val="22"/>
                <w:lang w:bidi="ar"/>
              </w:rPr>
              <w:t>IFNGR1</w:t>
            </w:r>
          </w:p>
        </w:tc>
        <w:tc>
          <w:tcPr>
            <w:tcW w:w="0" w:type="auto"/>
            <w:tcBorders>
              <w:top w:val="nil"/>
              <w:left w:val="nil"/>
              <w:bottom w:val="nil"/>
              <w:right w:val="nil"/>
            </w:tcBorders>
            <w:shd w:val="clear" w:color="auto" w:fill="DBE3F4" w:themeFill="accent1" w:themeFillTint="32"/>
            <w:noWrap/>
            <w:vAlign w:val="center"/>
          </w:tcPr>
          <w:p w14:paraId="500847A3">
            <w:pPr>
              <w:widowControl/>
              <w:jc w:val="center"/>
              <w:textAlignment w:val="center"/>
              <w:rPr>
                <w:rFonts w:hint="default" w:ascii="Times New Roman" w:hAnsi="Times New Roman" w:eastAsia="宋体" w:cs="Times New Roman"/>
                <w:color w:val="000000"/>
                <w:sz w:val="22"/>
                <w:szCs w:val="22"/>
              </w:rPr>
            </w:pPr>
            <w:r>
              <w:rPr>
                <w:rFonts w:hint="default" w:ascii="Times New Roman" w:hAnsi="Times New Roman" w:eastAsia="宋体" w:cs="Times New Roman"/>
                <w:color w:val="000000"/>
                <w:kern w:val="0"/>
                <w:sz w:val="22"/>
                <w:szCs w:val="22"/>
                <w:lang w:bidi="ar"/>
              </w:rPr>
              <w:t>0.0643</w:t>
            </w:r>
          </w:p>
        </w:tc>
      </w:tr>
      <w:tr w14:paraId="77A19021">
        <w:tblPrEx>
          <w:tblCellMar>
            <w:top w:w="0" w:type="dxa"/>
            <w:left w:w="108" w:type="dxa"/>
            <w:bottom w:w="0" w:type="dxa"/>
            <w:right w:w="108" w:type="dxa"/>
          </w:tblCellMar>
        </w:tblPrEx>
        <w:trPr>
          <w:trHeight w:val="272" w:hRule="atLeast"/>
          <w:jc w:val="center"/>
        </w:trPr>
        <w:tc>
          <w:tcPr>
            <w:tcW w:w="0" w:type="auto"/>
            <w:tcBorders>
              <w:top w:val="nil"/>
              <w:left w:val="nil"/>
              <w:bottom w:val="nil"/>
              <w:right w:val="nil"/>
            </w:tcBorders>
            <w:shd w:val="clear" w:color="auto" w:fill="auto"/>
            <w:noWrap/>
            <w:vAlign w:val="center"/>
          </w:tcPr>
          <w:p w14:paraId="107C6AC3">
            <w:pPr>
              <w:widowControl/>
              <w:jc w:val="center"/>
              <w:textAlignment w:val="center"/>
              <w:rPr>
                <w:rFonts w:hint="default" w:ascii="Times New Roman" w:hAnsi="Times New Roman" w:eastAsia="宋体" w:cs="Times New Roman"/>
                <w:color w:val="000000"/>
                <w:sz w:val="22"/>
                <w:szCs w:val="22"/>
              </w:rPr>
            </w:pPr>
            <w:r>
              <w:rPr>
                <w:rFonts w:hint="default" w:ascii="Times New Roman" w:hAnsi="Times New Roman" w:eastAsia="宋体" w:cs="Times New Roman"/>
                <w:color w:val="000000"/>
                <w:kern w:val="0"/>
                <w:sz w:val="22"/>
                <w:szCs w:val="22"/>
                <w:lang w:bidi="ar"/>
              </w:rPr>
              <w:t>IL10</w:t>
            </w:r>
          </w:p>
        </w:tc>
        <w:tc>
          <w:tcPr>
            <w:tcW w:w="0" w:type="auto"/>
            <w:tcBorders>
              <w:top w:val="nil"/>
              <w:left w:val="nil"/>
              <w:bottom w:val="nil"/>
              <w:right w:val="nil"/>
            </w:tcBorders>
            <w:shd w:val="clear" w:color="auto" w:fill="auto"/>
            <w:noWrap/>
            <w:vAlign w:val="center"/>
          </w:tcPr>
          <w:p w14:paraId="757A7B68">
            <w:pPr>
              <w:widowControl/>
              <w:jc w:val="center"/>
              <w:textAlignment w:val="center"/>
              <w:rPr>
                <w:rFonts w:hint="default" w:ascii="Times New Roman" w:hAnsi="Times New Roman" w:eastAsia="宋体" w:cs="Times New Roman"/>
                <w:color w:val="000000"/>
                <w:sz w:val="22"/>
                <w:szCs w:val="22"/>
              </w:rPr>
            </w:pPr>
            <w:r>
              <w:rPr>
                <w:rFonts w:hint="default" w:ascii="Times New Roman" w:hAnsi="Times New Roman" w:eastAsia="宋体" w:cs="Times New Roman"/>
                <w:color w:val="000000"/>
                <w:kern w:val="0"/>
                <w:sz w:val="22"/>
                <w:szCs w:val="22"/>
                <w:lang w:bidi="ar"/>
              </w:rPr>
              <w:t>0.0436</w:t>
            </w:r>
          </w:p>
        </w:tc>
      </w:tr>
      <w:tr w14:paraId="07D6F85E">
        <w:tblPrEx>
          <w:tblCellMar>
            <w:top w:w="0" w:type="dxa"/>
            <w:left w:w="108" w:type="dxa"/>
            <w:bottom w:w="0" w:type="dxa"/>
            <w:right w:w="108" w:type="dxa"/>
          </w:tblCellMar>
        </w:tblPrEx>
        <w:trPr>
          <w:trHeight w:val="296" w:hRule="atLeast"/>
          <w:jc w:val="center"/>
        </w:trPr>
        <w:tc>
          <w:tcPr>
            <w:tcW w:w="0" w:type="auto"/>
            <w:tcBorders>
              <w:top w:val="nil"/>
              <w:left w:val="nil"/>
              <w:bottom w:val="single" w:color="000000" w:sz="8" w:space="0"/>
              <w:right w:val="nil"/>
            </w:tcBorders>
            <w:shd w:val="clear" w:color="auto" w:fill="DBE3F4" w:themeFill="accent1" w:themeFillTint="32"/>
            <w:noWrap/>
            <w:vAlign w:val="center"/>
          </w:tcPr>
          <w:p w14:paraId="3E176FCB">
            <w:pPr>
              <w:widowControl/>
              <w:jc w:val="center"/>
              <w:textAlignment w:val="center"/>
              <w:rPr>
                <w:rFonts w:hint="default" w:ascii="Times New Roman" w:hAnsi="Times New Roman" w:eastAsia="宋体" w:cs="Times New Roman"/>
                <w:color w:val="000000"/>
                <w:sz w:val="22"/>
                <w:szCs w:val="22"/>
              </w:rPr>
            </w:pPr>
            <w:r>
              <w:rPr>
                <w:rFonts w:hint="default" w:ascii="Times New Roman" w:hAnsi="Times New Roman" w:eastAsia="宋体" w:cs="Times New Roman"/>
                <w:color w:val="000000"/>
                <w:kern w:val="0"/>
                <w:sz w:val="22"/>
                <w:szCs w:val="22"/>
                <w:lang w:bidi="ar"/>
              </w:rPr>
              <w:t>PIK3CA</w:t>
            </w:r>
          </w:p>
        </w:tc>
        <w:tc>
          <w:tcPr>
            <w:tcW w:w="0" w:type="auto"/>
            <w:tcBorders>
              <w:top w:val="nil"/>
              <w:left w:val="nil"/>
              <w:bottom w:val="single" w:color="000000" w:sz="8" w:space="0"/>
              <w:right w:val="nil"/>
            </w:tcBorders>
            <w:shd w:val="clear" w:color="auto" w:fill="DBE3F4" w:themeFill="accent1" w:themeFillTint="32"/>
            <w:noWrap/>
            <w:vAlign w:val="center"/>
          </w:tcPr>
          <w:p w14:paraId="6215C688">
            <w:pPr>
              <w:widowControl/>
              <w:jc w:val="center"/>
              <w:textAlignment w:val="center"/>
              <w:rPr>
                <w:rFonts w:hint="default" w:ascii="Times New Roman" w:hAnsi="Times New Roman" w:eastAsia="宋体" w:cs="Times New Roman"/>
                <w:color w:val="000000"/>
                <w:sz w:val="22"/>
                <w:szCs w:val="22"/>
              </w:rPr>
            </w:pPr>
            <w:r>
              <w:rPr>
                <w:rFonts w:hint="default" w:ascii="Times New Roman" w:hAnsi="Times New Roman" w:eastAsia="宋体" w:cs="Times New Roman"/>
                <w:color w:val="000000"/>
                <w:kern w:val="0"/>
                <w:sz w:val="22"/>
                <w:szCs w:val="22"/>
                <w:lang w:bidi="ar"/>
              </w:rPr>
              <w:t>-0.726</w:t>
            </w:r>
          </w:p>
        </w:tc>
      </w:tr>
    </w:tbl>
    <w:p w14:paraId="061A57B5">
      <w:pPr>
        <w:tabs>
          <w:tab w:val="left" w:pos="5428"/>
        </w:tabs>
        <w:jc w:val="left"/>
        <w:rPr>
          <w:rFonts w:hint="default" w:ascii="Times New Roman" w:hAnsi="Times New Roman" w:cs="Times New Roman"/>
          <w:sz w:val="24"/>
          <w:szCs w:val="24"/>
        </w:rPr>
      </w:pPr>
    </w:p>
    <w:p w14:paraId="7B8596BE">
      <w:pPr>
        <w:tabs>
          <w:tab w:val="left" w:pos="5428"/>
        </w:tabs>
        <w:jc w:val="left"/>
        <w:rPr>
          <w:rFonts w:hint="default" w:ascii="Times New Roman" w:hAnsi="Times New Roman" w:cs="Times New Roman"/>
          <w:sz w:val="24"/>
          <w:szCs w:val="24"/>
        </w:rPr>
      </w:pPr>
    </w:p>
    <w:p w14:paraId="4B52383A">
      <w:pPr>
        <w:tabs>
          <w:tab w:val="left" w:pos="5428"/>
        </w:tabs>
        <w:jc w:val="left"/>
        <w:rPr>
          <w:rFonts w:hint="default" w:ascii="Times New Roman" w:hAnsi="Times New Roman" w:cs="Times New Roman"/>
          <w:b/>
          <w:bCs/>
          <w:sz w:val="24"/>
          <w:szCs w:val="24"/>
        </w:rPr>
      </w:pPr>
      <w:r>
        <w:rPr>
          <w:rFonts w:hint="default" w:ascii="Times New Roman" w:hAnsi="Times New Roman" w:cs="Times New Roman"/>
          <w:b/>
          <w:bCs/>
          <w:sz w:val="24"/>
          <w:szCs w:val="24"/>
        </w:rPr>
        <w:t>Table S</w:t>
      </w:r>
      <w:r>
        <w:rPr>
          <w:rFonts w:hint="eastAsia" w:ascii="Times New Roman" w:hAnsi="Times New Roman" w:cs="Times New Roman"/>
          <w:b/>
          <w:bCs/>
          <w:sz w:val="24"/>
          <w:szCs w:val="24"/>
          <w:lang w:val="en-US" w:eastAsia="zh-CN"/>
        </w:rPr>
        <w:t>4</w:t>
      </w:r>
      <w:r>
        <w:rPr>
          <w:rFonts w:hint="default" w:ascii="Times New Roman" w:hAnsi="Times New Roman" w:cs="Times New Roman"/>
          <w:b/>
          <w:bCs/>
          <w:sz w:val="24"/>
          <w:szCs w:val="24"/>
        </w:rPr>
        <w:t xml:space="preserve"> Drug sensitivity analysis</w:t>
      </w:r>
    </w:p>
    <w:tbl>
      <w:tblPr>
        <w:tblStyle w:val="3"/>
        <w:tblpPr w:leftFromText="180" w:rightFromText="180" w:vertAnchor="text" w:horzAnchor="page" w:tblpXSpec="center" w:tblpY="597"/>
        <w:tblOverlap w:val="never"/>
        <w:tblW w:w="7699" w:type="dxa"/>
        <w:jc w:val="center"/>
        <w:tblLayout w:type="autofit"/>
        <w:tblCellMar>
          <w:top w:w="0" w:type="dxa"/>
          <w:left w:w="108" w:type="dxa"/>
          <w:bottom w:w="0" w:type="dxa"/>
          <w:right w:w="108" w:type="dxa"/>
        </w:tblCellMar>
      </w:tblPr>
      <w:tblGrid>
        <w:gridCol w:w="3188"/>
        <w:gridCol w:w="2894"/>
        <w:gridCol w:w="1617"/>
      </w:tblGrid>
      <w:tr w14:paraId="18D9F183">
        <w:tblPrEx>
          <w:tblCellMar>
            <w:top w:w="0" w:type="dxa"/>
            <w:left w:w="108" w:type="dxa"/>
            <w:bottom w:w="0" w:type="dxa"/>
            <w:right w:w="108" w:type="dxa"/>
          </w:tblCellMar>
        </w:tblPrEx>
        <w:trPr>
          <w:trHeight w:val="312" w:hRule="atLeast"/>
          <w:jc w:val="center"/>
        </w:trPr>
        <w:tc>
          <w:tcPr>
            <w:tcW w:w="3188" w:type="dxa"/>
            <w:tcBorders>
              <w:top w:val="single" w:color="000000" w:sz="8" w:space="0"/>
              <w:left w:val="nil"/>
              <w:bottom w:val="single" w:color="000000" w:sz="8" w:space="0"/>
              <w:right w:val="nil"/>
            </w:tcBorders>
            <w:shd w:val="clear" w:color="auto" w:fill="auto"/>
            <w:noWrap/>
            <w:vAlign w:val="center"/>
          </w:tcPr>
          <w:p w14:paraId="152B59E4">
            <w:pPr>
              <w:widowControl/>
              <w:jc w:val="left"/>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Drug name</w:t>
            </w:r>
          </w:p>
        </w:tc>
        <w:tc>
          <w:tcPr>
            <w:tcW w:w="2894" w:type="dxa"/>
            <w:tcBorders>
              <w:top w:val="single" w:color="000000" w:sz="8" w:space="0"/>
              <w:left w:val="nil"/>
              <w:bottom w:val="single" w:color="000000" w:sz="8" w:space="0"/>
              <w:right w:val="nil"/>
            </w:tcBorders>
            <w:shd w:val="clear" w:color="auto" w:fill="auto"/>
            <w:noWrap/>
            <w:vAlign w:val="center"/>
          </w:tcPr>
          <w:p w14:paraId="7068F2C1">
            <w:pPr>
              <w:widowControl/>
              <w:jc w:val="left"/>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Type</w:t>
            </w:r>
          </w:p>
        </w:tc>
        <w:tc>
          <w:tcPr>
            <w:tcW w:w="1617" w:type="dxa"/>
            <w:tcBorders>
              <w:top w:val="single" w:color="000000" w:sz="8" w:space="0"/>
              <w:left w:val="nil"/>
              <w:bottom w:val="single" w:color="000000" w:sz="8" w:space="0"/>
              <w:right w:val="nil"/>
            </w:tcBorders>
            <w:shd w:val="clear" w:color="auto" w:fill="auto"/>
            <w:noWrap/>
            <w:vAlign w:val="center"/>
          </w:tcPr>
          <w:p w14:paraId="59CAC106">
            <w:pPr>
              <w:widowControl/>
              <w:jc w:val="left"/>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ICD risk group</w:t>
            </w:r>
          </w:p>
        </w:tc>
      </w:tr>
      <w:tr w14:paraId="7F3522B0">
        <w:tblPrEx>
          <w:tblCellMar>
            <w:top w:w="0" w:type="dxa"/>
            <w:left w:w="108" w:type="dxa"/>
            <w:bottom w:w="0" w:type="dxa"/>
            <w:right w:w="108" w:type="dxa"/>
          </w:tblCellMar>
        </w:tblPrEx>
        <w:trPr>
          <w:trHeight w:val="310" w:hRule="atLeast"/>
          <w:jc w:val="center"/>
        </w:trPr>
        <w:tc>
          <w:tcPr>
            <w:tcW w:w="3188" w:type="dxa"/>
            <w:tcBorders>
              <w:top w:val="nil"/>
              <w:left w:val="nil"/>
              <w:bottom w:val="nil"/>
              <w:right w:val="nil"/>
            </w:tcBorders>
            <w:shd w:val="clear" w:color="auto" w:fill="DBE3F4" w:themeFill="accent1" w:themeFillTint="32"/>
            <w:noWrap/>
            <w:vAlign w:val="center"/>
          </w:tcPr>
          <w:p w14:paraId="5435F411">
            <w:pPr>
              <w:widowControl/>
              <w:jc w:val="left"/>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ABT737</w:t>
            </w:r>
          </w:p>
        </w:tc>
        <w:tc>
          <w:tcPr>
            <w:tcW w:w="2894" w:type="dxa"/>
            <w:tcBorders>
              <w:top w:val="nil"/>
              <w:left w:val="nil"/>
              <w:bottom w:val="nil"/>
              <w:right w:val="nil"/>
            </w:tcBorders>
            <w:shd w:val="clear" w:color="auto" w:fill="DBE3F4" w:themeFill="accent1" w:themeFillTint="32"/>
            <w:noWrap/>
            <w:vAlign w:val="center"/>
          </w:tcPr>
          <w:p w14:paraId="4B59095F">
            <w:pPr>
              <w:widowControl/>
              <w:jc w:val="left"/>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Bcl-2 inhibitor</w:t>
            </w:r>
          </w:p>
        </w:tc>
        <w:tc>
          <w:tcPr>
            <w:tcW w:w="1617" w:type="dxa"/>
            <w:tcBorders>
              <w:top w:val="nil"/>
              <w:left w:val="nil"/>
              <w:bottom w:val="nil"/>
              <w:right w:val="nil"/>
            </w:tcBorders>
            <w:shd w:val="clear" w:color="auto" w:fill="DBE3F4" w:themeFill="accent1" w:themeFillTint="32"/>
            <w:noWrap/>
            <w:vAlign w:val="center"/>
          </w:tcPr>
          <w:p w14:paraId="01DCCCCE">
            <w:pPr>
              <w:widowControl/>
              <w:jc w:val="left"/>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high</w:t>
            </w:r>
          </w:p>
        </w:tc>
      </w:tr>
      <w:tr w14:paraId="550E75DD">
        <w:tblPrEx>
          <w:tblCellMar>
            <w:top w:w="0" w:type="dxa"/>
            <w:left w:w="108" w:type="dxa"/>
            <w:bottom w:w="0" w:type="dxa"/>
            <w:right w:w="108" w:type="dxa"/>
          </w:tblCellMar>
        </w:tblPrEx>
        <w:trPr>
          <w:trHeight w:val="264" w:hRule="atLeast"/>
          <w:jc w:val="center"/>
        </w:trPr>
        <w:tc>
          <w:tcPr>
            <w:tcW w:w="3188" w:type="dxa"/>
            <w:tcBorders>
              <w:top w:val="nil"/>
              <w:left w:val="nil"/>
              <w:bottom w:val="nil"/>
              <w:right w:val="nil"/>
            </w:tcBorders>
            <w:shd w:val="clear" w:color="auto" w:fill="auto"/>
            <w:noWrap/>
            <w:vAlign w:val="center"/>
          </w:tcPr>
          <w:p w14:paraId="2E47F580">
            <w:pPr>
              <w:widowControl/>
              <w:jc w:val="left"/>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Alisertib</w:t>
            </w:r>
          </w:p>
        </w:tc>
        <w:tc>
          <w:tcPr>
            <w:tcW w:w="2894" w:type="dxa"/>
            <w:tcBorders>
              <w:top w:val="nil"/>
              <w:left w:val="nil"/>
              <w:bottom w:val="nil"/>
              <w:right w:val="nil"/>
            </w:tcBorders>
            <w:shd w:val="clear" w:color="auto" w:fill="auto"/>
            <w:noWrap/>
            <w:vAlign w:val="center"/>
          </w:tcPr>
          <w:p w14:paraId="1AEBBF25">
            <w:pPr>
              <w:widowControl/>
              <w:jc w:val="left"/>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AAK inhibitor</w:t>
            </w:r>
          </w:p>
        </w:tc>
        <w:tc>
          <w:tcPr>
            <w:tcW w:w="1617" w:type="dxa"/>
            <w:tcBorders>
              <w:top w:val="nil"/>
              <w:left w:val="nil"/>
              <w:bottom w:val="nil"/>
              <w:right w:val="nil"/>
            </w:tcBorders>
            <w:shd w:val="clear" w:color="auto" w:fill="auto"/>
            <w:noWrap/>
            <w:vAlign w:val="center"/>
          </w:tcPr>
          <w:p w14:paraId="1A5CB8B1">
            <w:pPr>
              <w:widowControl/>
              <w:jc w:val="left"/>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high</w:t>
            </w:r>
          </w:p>
        </w:tc>
      </w:tr>
      <w:tr w14:paraId="450FE584">
        <w:tblPrEx>
          <w:tblCellMar>
            <w:top w:w="0" w:type="dxa"/>
            <w:left w:w="108" w:type="dxa"/>
            <w:bottom w:w="0" w:type="dxa"/>
            <w:right w:w="108" w:type="dxa"/>
          </w:tblCellMar>
        </w:tblPrEx>
        <w:trPr>
          <w:trHeight w:val="264" w:hRule="atLeast"/>
          <w:jc w:val="center"/>
        </w:trPr>
        <w:tc>
          <w:tcPr>
            <w:tcW w:w="3188" w:type="dxa"/>
            <w:tcBorders>
              <w:top w:val="nil"/>
              <w:left w:val="nil"/>
              <w:bottom w:val="nil"/>
              <w:right w:val="nil"/>
            </w:tcBorders>
            <w:shd w:val="clear" w:color="auto" w:fill="DBE3F4" w:themeFill="accent1" w:themeFillTint="32"/>
            <w:noWrap/>
            <w:vAlign w:val="center"/>
          </w:tcPr>
          <w:p w14:paraId="741F3E1B">
            <w:pPr>
              <w:widowControl/>
              <w:jc w:val="left"/>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AT13148</w:t>
            </w:r>
          </w:p>
        </w:tc>
        <w:tc>
          <w:tcPr>
            <w:tcW w:w="2894" w:type="dxa"/>
            <w:tcBorders>
              <w:top w:val="nil"/>
              <w:left w:val="nil"/>
              <w:bottom w:val="nil"/>
              <w:right w:val="nil"/>
            </w:tcBorders>
            <w:shd w:val="clear" w:color="auto" w:fill="DBE3F4" w:themeFill="accent1" w:themeFillTint="32"/>
            <w:noWrap/>
            <w:vAlign w:val="center"/>
          </w:tcPr>
          <w:p w14:paraId="0F2E4A5D">
            <w:pPr>
              <w:widowControl/>
              <w:jc w:val="left"/>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AGCK inhibitor</w:t>
            </w:r>
          </w:p>
        </w:tc>
        <w:tc>
          <w:tcPr>
            <w:tcW w:w="1617" w:type="dxa"/>
            <w:tcBorders>
              <w:top w:val="nil"/>
              <w:left w:val="nil"/>
              <w:bottom w:val="nil"/>
              <w:right w:val="nil"/>
            </w:tcBorders>
            <w:shd w:val="clear" w:color="auto" w:fill="DBE3F4" w:themeFill="accent1" w:themeFillTint="32"/>
            <w:noWrap/>
            <w:vAlign w:val="center"/>
          </w:tcPr>
          <w:p w14:paraId="7EA9E782">
            <w:pPr>
              <w:widowControl/>
              <w:jc w:val="left"/>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high</w:t>
            </w:r>
          </w:p>
        </w:tc>
      </w:tr>
      <w:tr w14:paraId="64BA73FD">
        <w:tblPrEx>
          <w:tblCellMar>
            <w:top w:w="0" w:type="dxa"/>
            <w:left w:w="108" w:type="dxa"/>
            <w:bottom w:w="0" w:type="dxa"/>
            <w:right w:w="108" w:type="dxa"/>
          </w:tblCellMar>
        </w:tblPrEx>
        <w:trPr>
          <w:trHeight w:val="264" w:hRule="atLeast"/>
          <w:jc w:val="center"/>
        </w:trPr>
        <w:tc>
          <w:tcPr>
            <w:tcW w:w="3188" w:type="dxa"/>
            <w:tcBorders>
              <w:top w:val="nil"/>
              <w:left w:val="nil"/>
              <w:bottom w:val="nil"/>
              <w:right w:val="nil"/>
            </w:tcBorders>
            <w:shd w:val="clear" w:color="auto" w:fill="auto"/>
            <w:noWrap/>
            <w:vAlign w:val="center"/>
          </w:tcPr>
          <w:p w14:paraId="35C6B68A">
            <w:pPr>
              <w:widowControl/>
              <w:jc w:val="left"/>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AZD5991</w:t>
            </w:r>
          </w:p>
        </w:tc>
        <w:tc>
          <w:tcPr>
            <w:tcW w:w="2894" w:type="dxa"/>
            <w:tcBorders>
              <w:top w:val="nil"/>
              <w:left w:val="nil"/>
              <w:bottom w:val="nil"/>
              <w:right w:val="nil"/>
            </w:tcBorders>
            <w:shd w:val="clear" w:color="auto" w:fill="auto"/>
            <w:noWrap/>
            <w:vAlign w:val="center"/>
          </w:tcPr>
          <w:p w14:paraId="2BFAA552">
            <w:pPr>
              <w:widowControl/>
              <w:jc w:val="left"/>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Mcl-1 inhibitor</w:t>
            </w:r>
          </w:p>
        </w:tc>
        <w:tc>
          <w:tcPr>
            <w:tcW w:w="1617" w:type="dxa"/>
            <w:tcBorders>
              <w:top w:val="nil"/>
              <w:left w:val="nil"/>
              <w:bottom w:val="nil"/>
              <w:right w:val="nil"/>
            </w:tcBorders>
            <w:shd w:val="clear" w:color="auto" w:fill="auto"/>
            <w:noWrap/>
            <w:vAlign w:val="center"/>
          </w:tcPr>
          <w:p w14:paraId="1D2800F0">
            <w:pPr>
              <w:widowControl/>
              <w:jc w:val="left"/>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high</w:t>
            </w:r>
          </w:p>
        </w:tc>
      </w:tr>
      <w:tr w14:paraId="37F5EE76">
        <w:tblPrEx>
          <w:tblCellMar>
            <w:top w:w="0" w:type="dxa"/>
            <w:left w:w="108" w:type="dxa"/>
            <w:bottom w:w="0" w:type="dxa"/>
            <w:right w:w="108" w:type="dxa"/>
          </w:tblCellMar>
        </w:tblPrEx>
        <w:trPr>
          <w:trHeight w:val="264" w:hRule="atLeast"/>
          <w:jc w:val="center"/>
        </w:trPr>
        <w:tc>
          <w:tcPr>
            <w:tcW w:w="3188" w:type="dxa"/>
            <w:tcBorders>
              <w:top w:val="nil"/>
              <w:left w:val="nil"/>
              <w:bottom w:val="nil"/>
              <w:right w:val="nil"/>
            </w:tcBorders>
            <w:shd w:val="clear" w:color="auto" w:fill="DBE3F4" w:themeFill="accent1" w:themeFillTint="32"/>
            <w:noWrap/>
            <w:vAlign w:val="center"/>
          </w:tcPr>
          <w:p w14:paraId="4868D3F1">
            <w:pPr>
              <w:widowControl/>
              <w:jc w:val="left"/>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BI-2536</w:t>
            </w:r>
          </w:p>
        </w:tc>
        <w:tc>
          <w:tcPr>
            <w:tcW w:w="2894" w:type="dxa"/>
            <w:tcBorders>
              <w:top w:val="nil"/>
              <w:left w:val="nil"/>
              <w:bottom w:val="nil"/>
              <w:right w:val="nil"/>
            </w:tcBorders>
            <w:shd w:val="clear" w:color="auto" w:fill="DBE3F4" w:themeFill="accent1" w:themeFillTint="32"/>
            <w:noWrap/>
            <w:vAlign w:val="center"/>
          </w:tcPr>
          <w:p w14:paraId="00DC1671">
            <w:pPr>
              <w:widowControl/>
              <w:jc w:val="left"/>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PLK1 inhibitor</w:t>
            </w:r>
          </w:p>
        </w:tc>
        <w:tc>
          <w:tcPr>
            <w:tcW w:w="1617" w:type="dxa"/>
            <w:tcBorders>
              <w:top w:val="nil"/>
              <w:left w:val="nil"/>
              <w:bottom w:val="nil"/>
              <w:right w:val="nil"/>
            </w:tcBorders>
            <w:shd w:val="clear" w:color="auto" w:fill="DBE3F4" w:themeFill="accent1" w:themeFillTint="32"/>
            <w:noWrap/>
            <w:vAlign w:val="center"/>
          </w:tcPr>
          <w:p w14:paraId="0400C3CA">
            <w:pPr>
              <w:widowControl/>
              <w:jc w:val="left"/>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high</w:t>
            </w:r>
          </w:p>
        </w:tc>
      </w:tr>
      <w:tr w14:paraId="3F0E3725">
        <w:tblPrEx>
          <w:tblCellMar>
            <w:top w:w="0" w:type="dxa"/>
            <w:left w:w="108" w:type="dxa"/>
            <w:bottom w:w="0" w:type="dxa"/>
            <w:right w:w="108" w:type="dxa"/>
          </w:tblCellMar>
        </w:tblPrEx>
        <w:trPr>
          <w:trHeight w:val="264" w:hRule="atLeast"/>
          <w:jc w:val="center"/>
        </w:trPr>
        <w:tc>
          <w:tcPr>
            <w:tcW w:w="3188" w:type="dxa"/>
            <w:tcBorders>
              <w:top w:val="nil"/>
              <w:left w:val="nil"/>
              <w:bottom w:val="nil"/>
              <w:right w:val="nil"/>
            </w:tcBorders>
            <w:shd w:val="clear" w:color="auto" w:fill="auto"/>
            <w:noWrap/>
            <w:vAlign w:val="center"/>
          </w:tcPr>
          <w:p w14:paraId="74764A90">
            <w:pPr>
              <w:widowControl/>
              <w:jc w:val="left"/>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Carmustine</w:t>
            </w:r>
          </w:p>
        </w:tc>
        <w:tc>
          <w:tcPr>
            <w:tcW w:w="2894" w:type="dxa"/>
            <w:tcBorders>
              <w:top w:val="nil"/>
              <w:left w:val="nil"/>
              <w:bottom w:val="nil"/>
              <w:right w:val="nil"/>
            </w:tcBorders>
            <w:shd w:val="clear" w:color="auto" w:fill="auto"/>
            <w:noWrap/>
            <w:vAlign w:val="center"/>
          </w:tcPr>
          <w:p w14:paraId="5C53C3B9">
            <w:pPr>
              <w:widowControl/>
              <w:jc w:val="left"/>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alkylator</w:t>
            </w:r>
          </w:p>
        </w:tc>
        <w:tc>
          <w:tcPr>
            <w:tcW w:w="1617" w:type="dxa"/>
            <w:tcBorders>
              <w:top w:val="nil"/>
              <w:left w:val="nil"/>
              <w:bottom w:val="nil"/>
              <w:right w:val="nil"/>
            </w:tcBorders>
            <w:shd w:val="clear" w:color="auto" w:fill="auto"/>
            <w:noWrap/>
            <w:vAlign w:val="center"/>
          </w:tcPr>
          <w:p w14:paraId="040AF111">
            <w:pPr>
              <w:widowControl/>
              <w:jc w:val="left"/>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high</w:t>
            </w:r>
          </w:p>
        </w:tc>
      </w:tr>
      <w:tr w14:paraId="128A8CDD">
        <w:tblPrEx>
          <w:tblCellMar>
            <w:top w:w="0" w:type="dxa"/>
            <w:left w:w="108" w:type="dxa"/>
            <w:bottom w:w="0" w:type="dxa"/>
            <w:right w:w="108" w:type="dxa"/>
          </w:tblCellMar>
        </w:tblPrEx>
        <w:trPr>
          <w:trHeight w:val="264" w:hRule="atLeast"/>
          <w:jc w:val="center"/>
        </w:trPr>
        <w:tc>
          <w:tcPr>
            <w:tcW w:w="3188" w:type="dxa"/>
            <w:tcBorders>
              <w:top w:val="nil"/>
              <w:left w:val="nil"/>
              <w:bottom w:val="nil"/>
              <w:right w:val="nil"/>
            </w:tcBorders>
            <w:shd w:val="clear" w:color="auto" w:fill="DBE3F4" w:themeFill="accent1" w:themeFillTint="32"/>
            <w:noWrap/>
            <w:vAlign w:val="center"/>
          </w:tcPr>
          <w:p w14:paraId="25BD726E">
            <w:pPr>
              <w:widowControl/>
              <w:jc w:val="left"/>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Crizotinib</w:t>
            </w:r>
          </w:p>
        </w:tc>
        <w:tc>
          <w:tcPr>
            <w:tcW w:w="2894" w:type="dxa"/>
            <w:tcBorders>
              <w:top w:val="nil"/>
              <w:left w:val="nil"/>
              <w:bottom w:val="nil"/>
              <w:right w:val="nil"/>
            </w:tcBorders>
            <w:shd w:val="clear" w:color="auto" w:fill="DBE3F4" w:themeFill="accent1" w:themeFillTint="32"/>
            <w:noWrap/>
            <w:vAlign w:val="center"/>
          </w:tcPr>
          <w:p w14:paraId="54F09721">
            <w:pPr>
              <w:widowControl/>
              <w:jc w:val="left"/>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ALK&amp;c-Met inhibitor</w:t>
            </w:r>
          </w:p>
        </w:tc>
        <w:tc>
          <w:tcPr>
            <w:tcW w:w="1617" w:type="dxa"/>
            <w:tcBorders>
              <w:top w:val="nil"/>
              <w:left w:val="nil"/>
              <w:bottom w:val="nil"/>
              <w:right w:val="nil"/>
            </w:tcBorders>
            <w:shd w:val="clear" w:color="auto" w:fill="DBE3F4" w:themeFill="accent1" w:themeFillTint="32"/>
            <w:noWrap/>
            <w:vAlign w:val="center"/>
          </w:tcPr>
          <w:p w14:paraId="2079726E">
            <w:pPr>
              <w:widowControl/>
              <w:jc w:val="left"/>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high</w:t>
            </w:r>
          </w:p>
        </w:tc>
      </w:tr>
      <w:tr w14:paraId="20A83FCE">
        <w:tblPrEx>
          <w:tblCellMar>
            <w:top w:w="0" w:type="dxa"/>
            <w:left w:w="108" w:type="dxa"/>
            <w:bottom w:w="0" w:type="dxa"/>
            <w:right w:w="108" w:type="dxa"/>
          </w:tblCellMar>
        </w:tblPrEx>
        <w:trPr>
          <w:trHeight w:val="264" w:hRule="atLeast"/>
          <w:jc w:val="center"/>
        </w:trPr>
        <w:tc>
          <w:tcPr>
            <w:tcW w:w="3188" w:type="dxa"/>
            <w:tcBorders>
              <w:top w:val="nil"/>
              <w:left w:val="nil"/>
              <w:bottom w:val="nil"/>
              <w:right w:val="nil"/>
            </w:tcBorders>
            <w:shd w:val="clear" w:color="auto" w:fill="auto"/>
            <w:noWrap/>
            <w:vAlign w:val="center"/>
          </w:tcPr>
          <w:p w14:paraId="31AB7D51">
            <w:pPr>
              <w:widowControl/>
              <w:jc w:val="left"/>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Daporinad</w:t>
            </w:r>
          </w:p>
        </w:tc>
        <w:tc>
          <w:tcPr>
            <w:tcW w:w="2894" w:type="dxa"/>
            <w:tcBorders>
              <w:top w:val="nil"/>
              <w:left w:val="nil"/>
              <w:bottom w:val="nil"/>
              <w:right w:val="nil"/>
            </w:tcBorders>
            <w:shd w:val="clear" w:color="auto" w:fill="auto"/>
            <w:noWrap/>
            <w:vAlign w:val="center"/>
          </w:tcPr>
          <w:p w14:paraId="61EC23DE">
            <w:pPr>
              <w:widowControl/>
              <w:jc w:val="left"/>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NMPRTase inhibitor</w:t>
            </w:r>
          </w:p>
        </w:tc>
        <w:tc>
          <w:tcPr>
            <w:tcW w:w="1617" w:type="dxa"/>
            <w:tcBorders>
              <w:top w:val="nil"/>
              <w:left w:val="nil"/>
              <w:bottom w:val="nil"/>
              <w:right w:val="nil"/>
            </w:tcBorders>
            <w:shd w:val="clear" w:color="auto" w:fill="auto"/>
            <w:noWrap/>
            <w:vAlign w:val="center"/>
          </w:tcPr>
          <w:p w14:paraId="1278B0E7">
            <w:pPr>
              <w:widowControl/>
              <w:jc w:val="left"/>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high</w:t>
            </w:r>
          </w:p>
        </w:tc>
      </w:tr>
      <w:tr w14:paraId="1AC0F2D1">
        <w:tblPrEx>
          <w:tblCellMar>
            <w:top w:w="0" w:type="dxa"/>
            <w:left w:w="108" w:type="dxa"/>
            <w:bottom w:w="0" w:type="dxa"/>
            <w:right w:w="108" w:type="dxa"/>
          </w:tblCellMar>
        </w:tblPrEx>
        <w:trPr>
          <w:trHeight w:val="264" w:hRule="atLeast"/>
          <w:jc w:val="center"/>
        </w:trPr>
        <w:tc>
          <w:tcPr>
            <w:tcW w:w="3188" w:type="dxa"/>
            <w:tcBorders>
              <w:top w:val="nil"/>
              <w:left w:val="nil"/>
              <w:bottom w:val="nil"/>
              <w:right w:val="nil"/>
            </w:tcBorders>
            <w:shd w:val="clear" w:color="auto" w:fill="DBE3F4" w:themeFill="accent1" w:themeFillTint="32"/>
            <w:noWrap/>
            <w:vAlign w:val="center"/>
          </w:tcPr>
          <w:p w14:paraId="6781E42F">
            <w:pPr>
              <w:widowControl/>
              <w:jc w:val="left"/>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Entinostat</w:t>
            </w:r>
          </w:p>
        </w:tc>
        <w:tc>
          <w:tcPr>
            <w:tcW w:w="2894" w:type="dxa"/>
            <w:tcBorders>
              <w:top w:val="nil"/>
              <w:left w:val="nil"/>
              <w:bottom w:val="nil"/>
              <w:right w:val="nil"/>
            </w:tcBorders>
            <w:shd w:val="clear" w:color="auto" w:fill="DBE3F4" w:themeFill="accent1" w:themeFillTint="32"/>
            <w:noWrap/>
            <w:vAlign w:val="center"/>
          </w:tcPr>
          <w:p w14:paraId="6E980297">
            <w:pPr>
              <w:widowControl/>
              <w:jc w:val="left"/>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HDAC inhibitor</w:t>
            </w:r>
          </w:p>
        </w:tc>
        <w:tc>
          <w:tcPr>
            <w:tcW w:w="1617" w:type="dxa"/>
            <w:tcBorders>
              <w:top w:val="nil"/>
              <w:left w:val="nil"/>
              <w:bottom w:val="nil"/>
              <w:right w:val="nil"/>
            </w:tcBorders>
            <w:shd w:val="clear" w:color="auto" w:fill="DBE3F4" w:themeFill="accent1" w:themeFillTint="32"/>
            <w:noWrap/>
            <w:vAlign w:val="center"/>
          </w:tcPr>
          <w:p w14:paraId="3B14707D">
            <w:pPr>
              <w:widowControl/>
              <w:jc w:val="left"/>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high</w:t>
            </w:r>
          </w:p>
        </w:tc>
      </w:tr>
      <w:tr w14:paraId="6F9C35D2">
        <w:tblPrEx>
          <w:tblCellMar>
            <w:top w:w="0" w:type="dxa"/>
            <w:left w:w="108" w:type="dxa"/>
            <w:bottom w:w="0" w:type="dxa"/>
            <w:right w:w="108" w:type="dxa"/>
          </w:tblCellMar>
        </w:tblPrEx>
        <w:trPr>
          <w:trHeight w:val="264" w:hRule="atLeast"/>
          <w:jc w:val="center"/>
        </w:trPr>
        <w:tc>
          <w:tcPr>
            <w:tcW w:w="3188" w:type="dxa"/>
            <w:tcBorders>
              <w:top w:val="nil"/>
              <w:left w:val="nil"/>
              <w:bottom w:val="nil"/>
              <w:right w:val="nil"/>
            </w:tcBorders>
            <w:shd w:val="clear" w:color="auto" w:fill="auto"/>
            <w:noWrap/>
            <w:vAlign w:val="center"/>
          </w:tcPr>
          <w:p w14:paraId="547AF080">
            <w:pPr>
              <w:widowControl/>
              <w:jc w:val="left"/>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Gallibiscoquinazole</w:t>
            </w:r>
          </w:p>
        </w:tc>
        <w:tc>
          <w:tcPr>
            <w:tcW w:w="2894" w:type="dxa"/>
            <w:tcBorders>
              <w:top w:val="nil"/>
              <w:left w:val="nil"/>
              <w:bottom w:val="nil"/>
              <w:right w:val="nil"/>
            </w:tcBorders>
            <w:shd w:val="clear" w:color="auto" w:fill="auto"/>
            <w:noWrap/>
            <w:vAlign w:val="center"/>
          </w:tcPr>
          <w:p w14:paraId="564246FA">
            <w:pPr>
              <w:jc w:val="left"/>
              <w:rPr>
                <w:rFonts w:hint="default" w:ascii="Times New Roman" w:hAnsi="Times New Roman" w:eastAsia="宋体" w:cs="Times New Roman"/>
                <w:color w:val="000000"/>
                <w:sz w:val="21"/>
                <w:szCs w:val="21"/>
              </w:rPr>
            </w:pPr>
          </w:p>
        </w:tc>
        <w:tc>
          <w:tcPr>
            <w:tcW w:w="1617" w:type="dxa"/>
            <w:tcBorders>
              <w:top w:val="nil"/>
              <w:left w:val="nil"/>
              <w:bottom w:val="nil"/>
              <w:right w:val="nil"/>
            </w:tcBorders>
            <w:shd w:val="clear" w:color="auto" w:fill="auto"/>
            <w:noWrap/>
            <w:vAlign w:val="center"/>
          </w:tcPr>
          <w:p w14:paraId="662115D6">
            <w:pPr>
              <w:widowControl/>
              <w:jc w:val="left"/>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high</w:t>
            </w:r>
          </w:p>
        </w:tc>
      </w:tr>
      <w:tr w14:paraId="6C4560BD">
        <w:tblPrEx>
          <w:tblCellMar>
            <w:top w:w="0" w:type="dxa"/>
            <w:left w:w="108" w:type="dxa"/>
            <w:bottom w:w="0" w:type="dxa"/>
            <w:right w:w="108" w:type="dxa"/>
          </w:tblCellMar>
        </w:tblPrEx>
        <w:trPr>
          <w:trHeight w:val="264" w:hRule="atLeast"/>
          <w:jc w:val="center"/>
        </w:trPr>
        <w:tc>
          <w:tcPr>
            <w:tcW w:w="3188" w:type="dxa"/>
            <w:tcBorders>
              <w:top w:val="nil"/>
              <w:left w:val="nil"/>
              <w:bottom w:val="nil"/>
              <w:right w:val="nil"/>
            </w:tcBorders>
            <w:shd w:val="clear" w:color="auto" w:fill="DBE3F4" w:themeFill="accent1" w:themeFillTint="32"/>
            <w:noWrap/>
            <w:vAlign w:val="center"/>
          </w:tcPr>
          <w:p w14:paraId="494852B8">
            <w:pPr>
              <w:widowControl/>
              <w:jc w:val="left"/>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GSK2578215A</w:t>
            </w:r>
          </w:p>
        </w:tc>
        <w:tc>
          <w:tcPr>
            <w:tcW w:w="2894" w:type="dxa"/>
            <w:tcBorders>
              <w:top w:val="nil"/>
              <w:left w:val="nil"/>
              <w:bottom w:val="nil"/>
              <w:right w:val="nil"/>
            </w:tcBorders>
            <w:shd w:val="clear" w:color="auto" w:fill="DBE3F4" w:themeFill="accent1" w:themeFillTint="32"/>
            <w:noWrap/>
            <w:vAlign w:val="center"/>
          </w:tcPr>
          <w:p w14:paraId="43F32566">
            <w:pPr>
              <w:widowControl/>
              <w:jc w:val="left"/>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LRRK2 kinase inhibitor</w:t>
            </w:r>
          </w:p>
        </w:tc>
        <w:tc>
          <w:tcPr>
            <w:tcW w:w="1617" w:type="dxa"/>
            <w:tcBorders>
              <w:top w:val="nil"/>
              <w:left w:val="nil"/>
              <w:bottom w:val="nil"/>
              <w:right w:val="nil"/>
            </w:tcBorders>
            <w:shd w:val="clear" w:color="auto" w:fill="DBE3F4" w:themeFill="accent1" w:themeFillTint="32"/>
            <w:noWrap/>
            <w:vAlign w:val="center"/>
          </w:tcPr>
          <w:p w14:paraId="7E74EE32">
            <w:pPr>
              <w:widowControl/>
              <w:jc w:val="left"/>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high</w:t>
            </w:r>
          </w:p>
        </w:tc>
      </w:tr>
      <w:tr w14:paraId="2552C019">
        <w:tblPrEx>
          <w:tblCellMar>
            <w:top w:w="0" w:type="dxa"/>
            <w:left w:w="108" w:type="dxa"/>
            <w:bottom w:w="0" w:type="dxa"/>
            <w:right w:w="108" w:type="dxa"/>
          </w:tblCellMar>
        </w:tblPrEx>
        <w:trPr>
          <w:trHeight w:val="264" w:hRule="atLeast"/>
          <w:jc w:val="center"/>
        </w:trPr>
        <w:tc>
          <w:tcPr>
            <w:tcW w:w="3188" w:type="dxa"/>
            <w:tcBorders>
              <w:top w:val="nil"/>
              <w:left w:val="nil"/>
              <w:bottom w:val="nil"/>
              <w:right w:val="nil"/>
            </w:tcBorders>
            <w:shd w:val="clear" w:color="auto" w:fill="auto"/>
            <w:noWrap/>
            <w:vAlign w:val="center"/>
          </w:tcPr>
          <w:p w14:paraId="25A9F3CB">
            <w:pPr>
              <w:widowControl/>
              <w:jc w:val="left"/>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IGF1R_3801</w:t>
            </w:r>
          </w:p>
        </w:tc>
        <w:tc>
          <w:tcPr>
            <w:tcW w:w="2894" w:type="dxa"/>
            <w:tcBorders>
              <w:top w:val="nil"/>
              <w:left w:val="nil"/>
              <w:bottom w:val="nil"/>
              <w:right w:val="nil"/>
            </w:tcBorders>
            <w:shd w:val="clear" w:color="auto" w:fill="auto"/>
            <w:noWrap/>
            <w:vAlign w:val="center"/>
          </w:tcPr>
          <w:p w14:paraId="19F0463B">
            <w:pPr>
              <w:jc w:val="left"/>
              <w:rPr>
                <w:rFonts w:hint="default" w:ascii="Times New Roman" w:hAnsi="Times New Roman" w:eastAsia="宋体" w:cs="Times New Roman"/>
                <w:color w:val="000000"/>
                <w:sz w:val="21"/>
                <w:szCs w:val="21"/>
              </w:rPr>
            </w:pPr>
          </w:p>
        </w:tc>
        <w:tc>
          <w:tcPr>
            <w:tcW w:w="1617" w:type="dxa"/>
            <w:tcBorders>
              <w:top w:val="nil"/>
              <w:left w:val="nil"/>
              <w:bottom w:val="nil"/>
              <w:right w:val="nil"/>
            </w:tcBorders>
            <w:shd w:val="clear" w:color="auto" w:fill="auto"/>
            <w:noWrap/>
            <w:vAlign w:val="center"/>
          </w:tcPr>
          <w:p w14:paraId="2DBEBBD3">
            <w:pPr>
              <w:widowControl/>
              <w:jc w:val="left"/>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high</w:t>
            </w:r>
          </w:p>
        </w:tc>
      </w:tr>
      <w:tr w14:paraId="6A732B3A">
        <w:tblPrEx>
          <w:tblCellMar>
            <w:top w:w="0" w:type="dxa"/>
            <w:left w:w="108" w:type="dxa"/>
            <w:bottom w:w="0" w:type="dxa"/>
            <w:right w:w="108" w:type="dxa"/>
          </w:tblCellMar>
        </w:tblPrEx>
        <w:trPr>
          <w:trHeight w:val="264" w:hRule="atLeast"/>
          <w:jc w:val="center"/>
        </w:trPr>
        <w:tc>
          <w:tcPr>
            <w:tcW w:w="3188" w:type="dxa"/>
            <w:tcBorders>
              <w:top w:val="nil"/>
              <w:left w:val="nil"/>
              <w:bottom w:val="nil"/>
              <w:right w:val="nil"/>
            </w:tcBorders>
            <w:shd w:val="clear" w:color="auto" w:fill="DBE3F4" w:themeFill="accent1" w:themeFillTint="32"/>
            <w:noWrap/>
            <w:vAlign w:val="center"/>
          </w:tcPr>
          <w:p w14:paraId="4ADECB85">
            <w:pPr>
              <w:widowControl/>
              <w:jc w:val="left"/>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Navitoclax</w:t>
            </w:r>
          </w:p>
        </w:tc>
        <w:tc>
          <w:tcPr>
            <w:tcW w:w="2894" w:type="dxa"/>
            <w:tcBorders>
              <w:top w:val="nil"/>
              <w:left w:val="nil"/>
              <w:bottom w:val="nil"/>
              <w:right w:val="nil"/>
            </w:tcBorders>
            <w:shd w:val="clear" w:color="auto" w:fill="DBE3F4" w:themeFill="accent1" w:themeFillTint="32"/>
            <w:noWrap/>
            <w:vAlign w:val="center"/>
          </w:tcPr>
          <w:p w14:paraId="4F5F4F54">
            <w:pPr>
              <w:widowControl/>
              <w:jc w:val="left"/>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Bcl-2 inhibitor</w:t>
            </w:r>
          </w:p>
        </w:tc>
        <w:tc>
          <w:tcPr>
            <w:tcW w:w="1617" w:type="dxa"/>
            <w:tcBorders>
              <w:top w:val="nil"/>
              <w:left w:val="nil"/>
              <w:bottom w:val="nil"/>
              <w:right w:val="nil"/>
            </w:tcBorders>
            <w:shd w:val="clear" w:color="auto" w:fill="DBE3F4" w:themeFill="accent1" w:themeFillTint="32"/>
            <w:noWrap/>
            <w:vAlign w:val="center"/>
          </w:tcPr>
          <w:p w14:paraId="61AB165C">
            <w:pPr>
              <w:widowControl/>
              <w:jc w:val="left"/>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high</w:t>
            </w:r>
          </w:p>
        </w:tc>
      </w:tr>
      <w:tr w14:paraId="6253F3E8">
        <w:tblPrEx>
          <w:tblCellMar>
            <w:top w:w="0" w:type="dxa"/>
            <w:left w:w="108" w:type="dxa"/>
            <w:bottom w:w="0" w:type="dxa"/>
            <w:right w:w="108" w:type="dxa"/>
          </w:tblCellMar>
        </w:tblPrEx>
        <w:trPr>
          <w:trHeight w:val="264" w:hRule="atLeast"/>
          <w:jc w:val="center"/>
        </w:trPr>
        <w:tc>
          <w:tcPr>
            <w:tcW w:w="3188" w:type="dxa"/>
            <w:tcBorders>
              <w:top w:val="nil"/>
              <w:left w:val="nil"/>
              <w:bottom w:val="nil"/>
              <w:right w:val="nil"/>
            </w:tcBorders>
            <w:shd w:val="clear" w:color="auto" w:fill="auto"/>
            <w:noWrap/>
            <w:vAlign w:val="center"/>
          </w:tcPr>
          <w:p w14:paraId="3E5ED8CC">
            <w:pPr>
              <w:widowControl/>
              <w:jc w:val="left"/>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Nilotinib</w:t>
            </w:r>
          </w:p>
        </w:tc>
        <w:tc>
          <w:tcPr>
            <w:tcW w:w="2894" w:type="dxa"/>
            <w:tcBorders>
              <w:top w:val="nil"/>
              <w:left w:val="nil"/>
              <w:bottom w:val="nil"/>
              <w:right w:val="nil"/>
            </w:tcBorders>
            <w:shd w:val="clear" w:color="auto" w:fill="auto"/>
            <w:noWrap/>
            <w:vAlign w:val="center"/>
          </w:tcPr>
          <w:p w14:paraId="3C1D5AD1">
            <w:pPr>
              <w:widowControl/>
              <w:jc w:val="left"/>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Bcr-Abl</w:t>
            </w:r>
          </w:p>
        </w:tc>
        <w:tc>
          <w:tcPr>
            <w:tcW w:w="1617" w:type="dxa"/>
            <w:tcBorders>
              <w:top w:val="nil"/>
              <w:left w:val="nil"/>
              <w:bottom w:val="nil"/>
              <w:right w:val="nil"/>
            </w:tcBorders>
            <w:shd w:val="clear" w:color="auto" w:fill="auto"/>
            <w:noWrap/>
            <w:vAlign w:val="center"/>
          </w:tcPr>
          <w:p w14:paraId="0C44BB6B">
            <w:pPr>
              <w:widowControl/>
              <w:jc w:val="left"/>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high</w:t>
            </w:r>
          </w:p>
        </w:tc>
      </w:tr>
      <w:tr w14:paraId="43E1C75D">
        <w:tblPrEx>
          <w:tblCellMar>
            <w:top w:w="0" w:type="dxa"/>
            <w:left w:w="108" w:type="dxa"/>
            <w:bottom w:w="0" w:type="dxa"/>
            <w:right w:w="108" w:type="dxa"/>
          </w:tblCellMar>
        </w:tblPrEx>
        <w:trPr>
          <w:trHeight w:val="264" w:hRule="atLeast"/>
          <w:jc w:val="center"/>
        </w:trPr>
        <w:tc>
          <w:tcPr>
            <w:tcW w:w="3188" w:type="dxa"/>
            <w:tcBorders>
              <w:top w:val="nil"/>
              <w:left w:val="nil"/>
              <w:bottom w:val="nil"/>
              <w:right w:val="nil"/>
            </w:tcBorders>
            <w:shd w:val="clear" w:color="auto" w:fill="DBE3F4" w:themeFill="accent1" w:themeFillTint="32"/>
            <w:noWrap/>
            <w:vAlign w:val="center"/>
          </w:tcPr>
          <w:p w14:paraId="5EEAF975">
            <w:pPr>
              <w:widowControl/>
              <w:jc w:val="left"/>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P22077</w:t>
            </w:r>
          </w:p>
        </w:tc>
        <w:tc>
          <w:tcPr>
            <w:tcW w:w="2894" w:type="dxa"/>
            <w:tcBorders>
              <w:top w:val="nil"/>
              <w:left w:val="nil"/>
              <w:bottom w:val="nil"/>
              <w:right w:val="nil"/>
            </w:tcBorders>
            <w:shd w:val="clear" w:color="auto" w:fill="DBE3F4" w:themeFill="accent1" w:themeFillTint="32"/>
            <w:noWrap/>
            <w:vAlign w:val="center"/>
          </w:tcPr>
          <w:p w14:paraId="2E9EB98D">
            <w:pPr>
              <w:widowControl/>
              <w:jc w:val="left"/>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USP7 inhibitor</w:t>
            </w:r>
          </w:p>
        </w:tc>
        <w:tc>
          <w:tcPr>
            <w:tcW w:w="1617" w:type="dxa"/>
            <w:tcBorders>
              <w:top w:val="nil"/>
              <w:left w:val="nil"/>
              <w:bottom w:val="nil"/>
              <w:right w:val="nil"/>
            </w:tcBorders>
            <w:shd w:val="clear" w:color="auto" w:fill="DBE3F4" w:themeFill="accent1" w:themeFillTint="32"/>
            <w:noWrap/>
            <w:vAlign w:val="center"/>
          </w:tcPr>
          <w:p w14:paraId="52ED3FDE">
            <w:pPr>
              <w:widowControl/>
              <w:jc w:val="left"/>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high</w:t>
            </w:r>
          </w:p>
        </w:tc>
      </w:tr>
      <w:tr w14:paraId="4184D02E">
        <w:tblPrEx>
          <w:tblCellMar>
            <w:top w:w="0" w:type="dxa"/>
            <w:left w:w="108" w:type="dxa"/>
            <w:bottom w:w="0" w:type="dxa"/>
            <w:right w:w="108" w:type="dxa"/>
          </w:tblCellMar>
        </w:tblPrEx>
        <w:trPr>
          <w:trHeight w:val="264" w:hRule="atLeast"/>
          <w:jc w:val="center"/>
        </w:trPr>
        <w:tc>
          <w:tcPr>
            <w:tcW w:w="3188" w:type="dxa"/>
            <w:tcBorders>
              <w:top w:val="nil"/>
              <w:left w:val="nil"/>
              <w:bottom w:val="nil"/>
              <w:right w:val="nil"/>
            </w:tcBorders>
            <w:shd w:val="clear" w:color="auto" w:fill="auto"/>
            <w:noWrap/>
            <w:vAlign w:val="center"/>
          </w:tcPr>
          <w:p w14:paraId="70FE1EE5">
            <w:pPr>
              <w:widowControl/>
              <w:jc w:val="left"/>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Sepantronium bromide</w:t>
            </w:r>
          </w:p>
        </w:tc>
        <w:tc>
          <w:tcPr>
            <w:tcW w:w="2894" w:type="dxa"/>
            <w:tcBorders>
              <w:top w:val="nil"/>
              <w:left w:val="nil"/>
              <w:bottom w:val="nil"/>
              <w:right w:val="nil"/>
            </w:tcBorders>
            <w:shd w:val="clear" w:color="auto" w:fill="auto"/>
            <w:noWrap/>
            <w:vAlign w:val="center"/>
          </w:tcPr>
          <w:p w14:paraId="6F83EB9E">
            <w:pPr>
              <w:widowControl/>
              <w:jc w:val="left"/>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HYPERLINK "http://www.baidu.com/link?url=TTaF__CX63ACpjREYgu2Tv5VhU0R0cYttH3ZW2gb4Hl7P2RzMDKm1AoeZ7x-UvWLGbyOLNgR6tZpWkNMUSMRc_&amp;wd=&amp;eqid=c486bcae0002fadd0000000363e390b5" \o "http://www.baidu.com/link?url=TTaF__CX63ACpjREYgu2Tv5VhU0R0cYttH3ZW2gb4Hl7P2RzMDKm1AoeZ7x-UvWLGbyOLNgR6tZpWkNMUSMRc_&amp;wd=&amp;eqid=c486bcae0002fadd0000000363e390b5" </w:instrText>
            </w:r>
            <w:r>
              <w:rPr>
                <w:rFonts w:hint="default" w:ascii="Times New Roman" w:hAnsi="Times New Roman" w:cs="Times New Roman"/>
                <w:sz w:val="21"/>
                <w:szCs w:val="21"/>
              </w:rPr>
              <w:fldChar w:fldCharType="separate"/>
            </w:r>
            <w:r>
              <w:rPr>
                <w:rFonts w:hint="default" w:ascii="Times New Roman" w:hAnsi="Times New Roman" w:eastAsia="宋体" w:cs="Times New Roman"/>
                <w:color w:val="000000"/>
                <w:kern w:val="0"/>
                <w:sz w:val="21"/>
                <w:szCs w:val="21"/>
                <w:lang w:bidi="ar"/>
              </w:rPr>
              <w:t>YM155（survivin）</w:t>
            </w:r>
            <w:r>
              <w:rPr>
                <w:rFonts w:hint="default" w:ascii="Times New Roman" w:hAnsi="Times New Roman" w:eastAsia="宋体" w:cs="Times New Roman"/>
                <w:color w:val="000000"/>
                <w:kern w:val="0"/>
                <w:sz w:val="21"/>
                <w:szCs w:val="21"/>
                <w:lang w:bidi="ar"/>
              </w:rPr>
              <w:fldChar w:fldCharType="end"/>
            </w:r>
          </w:p>
        </w:tc>
        <w:tc>
          <w:tcPr>
            <w:tcW w:w="1617" w:type="dxa"/>
            <w:tcBorders>
              <w:top w:val="nil"/>
              <w:left w:val="nil"/>
              <w:bottom w:val="nil"/>
              <w:right w:val="nil"/>
            </w:tcBorders>
            <w:shd w:val="clear" w:color="auto" w:fill="auto"/>
            <w:noWrap/>
            <w:vAlign w:val="center"/>
          </w:tcPr>
          <w:p w14:paraId="15FCFD1A">
            <w:pPr>
              <w:widowControl/>
              <w:jc w:val="left"/>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high</w:t>
            </w:r>
          </w:p>
        </w:tc>
      </w:tr>
      <w:tr w14:paraId="292DA82C">
        <w:tblPrEx>
          <w:tblCellMar>
            <w:top w:w="0" w:type="dxa"/>
            <w:left w:w="108" w:type="dxa"/>
            <w:bottom w:w="0" w:type="dxa"/>
            <w:right w:w="108" w:type="dxa"/>
          </w:tblCellMar>
        </w:tblPrEx>
        <w:trPr>
          <w:trHeight w:val="264" w:hRule="atLeast"/>
          <w:jc w:val="center"/>
        </w:trPr>
        <w:tc>
          <w:tcPr>
            <w:tcW w:w="3188" w:type="dxa"/>
            <w:tcBorders>
              <w:top w:val="nil"/>
              <w:left w:val="nil"/>
              <w:bottom w:val="nil"/>
              <w:right w:val="nil"/>
            </w:tcBorders>
            <w:shd w:val="clear" w:color="auto" w:fill="DBE3F4" w:themeFill="accent1" w:themeFillTint="32"/>
            <w:noWrap/>
            <w:vAlign w:val="center"/>
          </w:tcPr>
          <w:p w14:paraId="0338A595">
            <w:pPr>
              <w:widowControl/>
              <w:jc w:val="left"/>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Tozasertib</w:t>
            </w:r>
          </w:p>
        </w:tc>
        <w:tc>
          <w:tcPr>
            <w:tcW w:w="2894" w:type="dxa"/>
            <w:tcBorders>
              <w:top w:val="nil"/>
              <w:left w:val="nil"/>
              <w:bottom w:val="nil"/>
              <w:right w:val="nil"/>
            </w:tcBorders>
            <w:shd w:val="clear" w:color="auto" w:fill="DBE3F4" w:themeFill="accent1" w:themeFillTint="32"/>
            <w:noWrap/>
            <w:vAlign w:val="center"/>
          </w:tcPr>
          <w:p w14:paraId="612371FF">
            <w:pPr>
              <w:widowControl/>
              <w:jc w:val="left"/>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Aurora A/B/C</w:t>
            </w:r>
          </w:p>
        </w:tc>
        <w:tc>
          <w:tcPr>
            <w:tcW w:w="1617" w:type="dxa"/>
            <w:tcBorders>
              <w:top w:val="nil"/>
              <w:left w:val="nil"/>
              <w:bottom w:val="nil"/>
              <w:right w:val="nil"/>
            </w:tcBorders>
            <w:shd w:val="clear" w:color="auto" w:fill="DBE3F4" w:themeFill="accent1" w:themeFillTint="32"/>
            <w:noWrap/>
            <w:vAlign w:val="center"/>
          </w:tcPr>
          <w:p w14:paraId="34844CC3">
            <w:pPr>
              <w:widowControl/>
              <w:jc w:val="left"/>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high</w:t>
            </w:r>
          </w:p>
        </w:tc>
      </w:tr>
      <w:tr w14:paraId="612E245F">
        <w:tblPrEx>
          <w:tblCellMar>
            <w:top w:w="0" w:type="dxa"/>
            <w:left w:w="108" w:type="dxa"/>
            <w:bottom w:w="0" w:type="dxa"/>
            <w:right w:w="108" w:type="dxa"/>
          </w:tblCellMar>
        </w:tblPrEx>
        <w:trPr>
          <w:trHeight w:val="264" w:hRule="atLeast"/>
          <w:jc w:val="center"/>
        </w:trPr>
        <w:tc>
          <w:tcPr>
            <w:tcW w:w="3188" w:type="dxa"/>
            <w:tcBorders>
              <w:top w:val="nil"/>
              <w:left w:val="nil"/>
              <w:bottom w:val="nil"/>
              <w:right w:val="nil"/>
            </w:tcBorders>
            <w:shd w:val="clear" w:color="auto" w:fill="auto"/>
            <w:noWrap/>
            <w:vAlign w:val="center"/>
          </w:tcPr>
          <w:p w14:paraId="7E37D3DA">
            <w:pPr>
              <w:widowControl/>
              <w:jc w:val="left"/>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UMI-77</w:t>
            </w:r>
          </w:p>
        </w:tc>
        <w:tc>
          <w:tcPr>
            <w:tcW w:w="2894" w:type="dxa"/>
            <w:tcBorders>
              <w:top w:val="nil"/>
              <w:left w:val="nil"/>
              <w:bottom w:val="nil"/>
              <w:right w:val="nil"/>
            </w:tcBorders>
            <w:shd w:val="clear" w:color="auto" w:fill="auto"/>
            <w:noWrap/>
            <w:vAlign w:val="center"/>
          </w:tcPr>
          <w:p w14:paraId="3B06A969">
            <w:pPr>
              <w:widowControl/>
              <w:jc w:val="left"/>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Mcl-1 inhibitor</w:t>
            </w:r>
          </w:p>
        </w:tc>
        <w:tc>
          <w:tcPr>
            <w:tcW w:w="1617" w:type="dxa"/>
            <w:tcBorders>
              <w:top w:val="nil"/>
              <w:left w:val="nil"/>
              <w:bottom w:val="nil"/>
              <w:right w:val="nil"/>
            </w:tcBorders>
            <w:shd w:val="clear" w:color="auto" w:fill="auto"/>
            <w:noWrap/>
            <w:vAlign w:val="center"/>
          </w:tcPr>
          <w:p w14:paraId="3C72A75B">
            <w:pPr>
              <w:widowControl/>
              <w:jc w:val="left"/>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high</w:t>
            </w:r>
          </w:p>
        </w:tc>
      </w:tr>
      <w:tr w14:paraId="6ABB52E1">
        <w:tblPrEx>
          <w:tblCellMar>
            <w:top w:w="0" w:type="dxa"/>
            <w:left w:w="108" w:type="dxa"/>
            <w:bottom w:w="0" w:type="dxa"/>
            <w:right w:w="108" w:type="dxa"/>
          </w:tblCellMar>
        </w:tblPrEx>
        <w:trPr>
          <w:trHeight w:val="264" w:hRule="atLeast"/>
          <w:jc w:val="center"/>
        </w:trPr>
        <w:tc>
          <w:tcPr>
            <w:tcW w:w="3188" w:type="dxa"/>
            <w:tcBorders>
              <w:top w:val="nil"/>
              <w:left w:val="nil"/>
              <w:bottom w:val="nil"/>
              <w:right w:val="nil"/>
            </w:tcBorders>
            <w:shd w:val="clear" w:color="auto" w:fill="DBE3F4" w:themeFill="accent1" w:themeFillTint="32"/>
            <w:noWrap/>
            <w:vAlign w:val="center"/>
          </w:tcPr>
          <w:p w14:paraId="676876BC">
            <w:pPr>
              <w:widowControl/>
              <w:jc w:val="left"/>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Vorinostat</w:t>
            </w:r>
          </w:p>
        </w:tc>
        <w:tc>
          <w:tcPr>
            <w:tcW w:w="2894" w:type="dxa"/>
            <w:tcBorders>
              <w:top w:val="nil"/>
              <w:left w:val="nil"/>
              <w:bottom w:val="nil"/>
              <w:right w:val="nil"/>
            </w:tcBorders>
            <w:shd w:val="clear" w:color="auto" w:fill="DBE3F4" w:themeFill="accent1" w:themeFillTint="32"/>
            <w:noWrap/>
            <w:vAlign w:val="center"/>
          </w:tcPr>
          <w:p w14:paraId="40C91DAC">
            <w:pPr>
              <w:widowControl/>
              <w:jc w:val="left"/>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HDAC inhibitor</w:t>
            </w:r>
          </w:p>
        </w:tc>
        <w:tc>
          <w:tcPr>
            <w:tcW w:w="1617" w:type="dxa"/>
            <w:tcBorders>
              <w:top w:val="nil"/>
              <w:left w:val="nil"/>
              <w:bottom w:val="nil"/>
              <w:right w:val="nil"/>
            </w:tcBorders>
            <w:shd w:val="clear" w:color="auto" w:fill="DBE3F4" w:themeFill="accent1" w:themeFillTint="32"/>
            <w:noWrap/>
            <w:vAlign w:val="center"/>
          </w:tcPr>
          <w:p w14:paraId="6AC5CCF2">
            <w:pPr>
              <w:widowControl/>
              <w:jc w:val="left"/>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high</w:t>
            </w:r>
          </w:p>
        </w:tc>
      </w:tr>
      <w:tr w14:paraId="5CAC517D">
        <w:tblPrEx>
          <w:tblCellMar>
            <w:top w:w="0" w:type="dxa"/>
            <w:left w:w="108" w:type="dxa"/>
            <w:bottom w:w="0" w:type="dxa"/>
            <w:right w:w="108" w:type="dxa"/>
          </w:tblCellMar>
        </w:tblPrEx>
        <w:trPr>
          <w:trHeight w:val="264" w:hRule="atLeast"/>
          <w:jc w:val="center"/>
        </w:trPr>
        <w:tc>
          <w:tcPr>
            <w:tcW w:w="3188" w:type="dxa"/>
            <w:tcBorders>
              <w:top w:val="nil"/>
              <w:left w:val="nil"/>
              <w:bottom w:val="nil"/>
              <w:right w:val="nil"/>
            </w:tcBorders>
            <w:shd w:val="clear" w:color="auto" w:fill="auto"/>
            <w:noWrap/>
            <w:vAlign w:val="center"/>
          </w:tcPr>
          <w:p w14:paraId="41A5B188">
            <w:pPr>
              <w:widowControl/>
              <w:jc w:val="left"/>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Venetoclax</w:t>
            </w:r>
          </w:p>
        </w:tc>
        <w:tc>
          <w:tcPr>
            <w:tcW w:w="2894" w:type="dxa"/>
            <w:tcBorders>
              <w:top w:val="nil"/>
              <w:left w:val="nil"/>
              <w:bottom w:val="nil"/>
              <w:right w:val="nil"/>
            </w:tcBorders>
            <w:shd w:val="clear" w:color="auto" w:fill="auto"/>
            <w:noWrap/>
            <w:vAlign w:val="center"/>
          </w:tcPr>
          <w:p w14:paraId="6186CB47">
            <w:pPr>
              <w:widowControl/>
              <w:jc w:val="left"/>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Bcl-2 inhibitor</w:t>
            </w:r>
          </w:p>
        </w:tc>
        <w:tc>
          <w:tcPr>
            <w:tcW w:w="1617" w:type="dxa"/>
            <w:tcBorders>
              <w:top w:val="nil"/>
              <w:left w:val="nil"/>
              <w:bottom w:val="nil"/>
              <w:right w:val="nil"/>
            </w:tcBorders>
            <w:shd w:val="clear" w:color="auto" w:fill="auto"/>
            <w:noWrap/>
            <w:vAlign w:val="center"/>
          </w:tcPr>
          <w:p w14:paraId="77C6EB43">
            <w:pPr>
              <w:widowControl/>
              <w:jc w:val="left"/>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high</w:t>
            </w:r>
          </w:p>
        </w:tc>
      </w:tr>
      <w:tr w14:paraId="595F36A2">
        <w:tblPrEx>
          <w:tblCellMar>
            <w:top w:w="0" w:type="dxa"/>
            <w:left w:w="108" w:type="dxa"/>
            <w:bottom w:w="0" w:type="dxa"/>
            <w:right w:w="108" w:type="dxa"/>
          </w:tblCellMar>
        </w:tblPrEx>
        <w:trPr>
          <w:trHeight w:val="264" w:hRule="atLeast"/>
          <w:jc w:val="center"/>
        </w:trPr>
        <w:tc>
          <w:tcPr>
            <w:tcW w:w="3188" w:type="dxa"/>
            <w:tcBorders>
              <w:top w:val="nil"/>
              <w:left w:val="nil"/>
              <w:bottom w:val="nil"/>
              <w:right w:val="nil"/>
            </w:tcBorders>
            <w:shd w:val="clear" w:color="auto" w:fill="DBE3F4" w:themeFill="accent1" w:themeFillTint="32"/>
            <w:noWrap/>
            <w:vAlign w:val="center"/>
          </w:tcPr>
          <w:p w14:paraId="40D5F018">
            <w:pPr>
              <w:widowControl/>
              <w:jc w:val="left"/>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5-Fluorouracil</w:t>
            </w:r>
          </w:p>
        </w:tc>
        <w:tc>
          <w:tcPr>
            <w:tcW w:w="2894" w:type="dxa"/>
            <w:tcBorders>
              <w:top w:val="nil"/>
              <w:left w:val="nil"/>
              <w:bottom w:val="nil"/>
              <w:right w:val="nil"/>
            </w:tcBorders>
            <w:shd w:val="clear" w:color="auto" w:fill="DBE3F4" w:themeFill="accent1" w:themeFillTint="32"/>
            <w:noWrap/>
            <w:vAlign w:val="center"/>
          </w:tcPr>
          <w:p w14:paraId="2AACF863">
            <w:pPr>
              <w:widowControl/>
              <w:jc w:val="left"/>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Antitumor</w:t>
            </w:r>
          </w:p>
        </w:tc>
        <w:tc>
          <w:tcPr>
            <w:tcW w:w="1617" w:type="dxa"/>
            <w:tcBorders>
              <w:top w:val="nil"/>
              <w:left w:val="nil"/>
              <w:bottom w:val="nil"/>
              <w:right w:val="nil"/>
            </w:tcBorders>
            <w:shd w:val="clear" w:color="auto" w:fill="DBE3F4" w:themeFill="accent1" w:themeFillTint="32"/>
            <w:noWrap/>
            <w:vAlign w:val="center"/>
          </w:tcPr>
          <w:p w14:paraId="7B2E653F">
            <w:pPr>
              <w:widowControl/>
              <w:jc w:val="left"/>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low</w:t>
            </w:r>
          </w:p>
        </w:tc>
      </w:tr>
      <w:tr w14:paraId="750788F6">
        <w:tblPrEx>
          <w:tblCellMar>
            <w:top w:w="0" w:type="dxa"/>
            <w:left w:w="108" w:type="dxa"/>
            <w:bottom w:w="0" w:type="dxa"/>
            <w:right w:w="108" w:type="dxa"/>
          </w:tblCellMar>
        </w:tblPrEx>
        <w:trPr>
          <w:trHeight w:val="264" w:hRule="atLeast"/>
          <w:jc w:val="center"/>
        </w:trPr>
        <w:tc>
          <w:tcPr>
            <w:tcW w:w="3188" w:type="dxa"/>
            <w:tcBorders>
              <w:top w:val="nil"/>
              <w:left w:val="nil"/>
              <w:bottom w:val="nil"/>
              <w:right w:val="nil"/>
            </w:tcBorders>
            <w:shd w:val="clear" w:color="auto" w:fill="auto"/>
            <w:noWrap/>
            <w:vAlign w:val="center"/>
          </w:tcPr>
          <w:p w14:paraId="520C23AD">
            <w:pPr>
              <w:widowControl/>
              <w:jc w:val="left"/>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Axitinib</w:t>
            </w:r>
          </w:p>
        </w:tc>
        <w:tc>
          <w:tcPr>
            <w:tcW w:w="2894" w:type="dxa"/>
            <w:tcBorders>
              <w:top w:val="nil"/>
              <w:left w:val="nil"/>
              <w:bottom w:val="nil"/>
              <w:right w:val="nil"/>
            </w:tcBorders>
            <w:shd w:val="clear" w:color="auto" w:fill="auto"/>
            <w:noWrap/>
            <w:vAlign w:val="center"/>
          </w:tcPr>
          <w:p w14:paraId="5A303E51">
            <w:pPr>
              <w:widowControl/>
              <w:jc w:val="left"/>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VEGFR 1-3 inhibitor</w:t>
            </w:r>
          </w:p>
        </w:tc>
        <w:tc>
          <w:tcPr>
            <w:tcW w:w="1617" w:type="dxa"/>
            <w:tcBorders>
              <w:top w:val="nil"/>
              <w:left w:val="nil"/>
              <w:bottom w:val="nil"/>
              <w:right w:val="nil"/>
            </w:tcBorders>
            <w:shd w:val="clear" w:color="auto" w:fill="auto"/>
            <w:noWrap/>
            <w:vAlign w:val="center"/>
          </w:tcPr>
          <w:p w14:paraId="00BFA2C9">
            <w:pPr>
              <w:widowControl/>
              <w:jc w:val="left"/>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low</w:t>
            </w:r>
          </w:p>
        </w:tc>
      </w:tr>
      <w:tr w14:paraId="5D0B0F33">
        <w:tblPrEx>
          <w:tblCellMar>
            <w:top w:w="0" w:type="dxa"/>
            <w:left w:w="108" w:type="dxa"/>
            <w:bottom w:w="0" w:type="dxa"/>
            <w:right w:w="108" w:type="dxa"/>
          </w:tblCellMar>
        </w:tblPrEx>
        <w:trPr>
          <w:trHeight w:val="264" w:hRule="atLeast"/>
          <w:jc w:val="center"/>
        </w:trPr>
        <w:tc>
          <w:tcPr>
            <w:tcW w:w="3188" w:type="dxa"/>
            <w:tcBorders>
              <w:top w:val="nil"/>
              <w:left w:val="nil"/>
              <w:bottom w:val="nil"/>
              <w:right w:val="nil"/>
            </w:tcBorders>
            <w:shd w:val="clear" w:color="auto" w:fill="DBE3F4" w:themeFill="accent1" w:themeFillTint="32"/>
            <w:noWrap/>
            <w:vAlign w:val="center"/>
          </w:tcPr>
          <w:p w14:paraId="44925383">
            <w:pPr>
              <w:widowControl/>
              <w:jc w:val="left"/>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AZD8186</w:t>
            </w:r>
          </w:p>
        </w:tc>
        <w:tc>
          <w:tcPr>
            <w:tcW w:w="2894" w:type="dxa"/>
            <w:tcBorders>
              <w:top w:val="nil"/>
              <w:left w:val="nil"/>
              <w:bottom w:val="nil"/>
              <w:right w:val="nil"/>
            </w:tcBorders>
            <w:shd w:val="clear" w:color="auto" w:fill="DBE3F4" w:themeFill="accent1" w:themeFillTint="32"/>
            <w:noWrap/>
            <w:vAlign w:val="center"/>
          </w:tcPr>
          <w:p w14:paraId="5C2790B2">
            <w:pPr>
              <w:widowControl/>
              <w:jc w:val="left"/>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PI3K inhibitor</w:t>
            </w:r>
          </w:p>
        </w:tc>
        <w:tc>
          <w:tcPr>
            <w:tcW w:w="1617" w:type="dxa"/>
            <w:tcBorders>
              <w:top w:val="nil"/>
              <w:left w:val="nil"/>
              <w:bottom w:val="nil"/>
              <w:right w:val="nil"/>
            </w:tcBorders>
            <w:shd w:val="clear" w:color="auto" w:fill="DBE3F4" w:themeFill="accent1" w:themeFillTint="32"/>
            <w:noWrap/>
            <w:vAlign w:val="center"/>
          </w:tcPr>
          <w:p w14:paraId="04342DE5">
            <w:pPr>
              <w:widowControl/>
              <w:jc w:val="left"/>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low</w:t>
            </w:r>
          </w:p>
        </w:tc>
      </w:tr>
      <w:tr w14:paraId="0FE3E159">
        <w:tblPrEx>
          <w:tblCellMar>
            <w:top w:w="0" w:type="dxa"/>
            <w:left w:w="108" w:type="dxa"/>
            <w:bottom w:w="0" w:type="dxa"/>
            <w:right w:w="108" w:type="dxa"/>
          </w:tblCellMar>
        </w:tblPrEx>
        <w:trPr>
          <w:trHeight w:val="264" w:hRule="atLeast"/>
          <w:jc w:val="center"/>
        </w:trPr>
        <w:tc>
          <w:tcPr>
            <w:tcW w:w="3188" w:type="dxa"/>
            <w:tcBorders>
              <w:top w:val="nil"/>
              <w:left w:val="nil"/>
              <w:bottom w:val="nil"/>
              <w:right w:val="nil"/>
            </w:tcBorders>
            <w:shd w:val="clear" w:color="auto" w:fill="auto"/>
            <w:noWrap/>
            <w:vAlign w:val="center"/>
          </w:tcPr>
          <w:p w14:paraId="413135FA">
            <w:pPr>
              <w:widowControl/>
              <w:jc w:val="left"/>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Dactolisib</w:t>
            </w:r>
          </w:p>
        </w:tc>
        <w:tc>
          <w:tcPr>
            <w:tcW w:w="2894" w:type="dxa"/>
            <w:tcBorders>
              <w:top w:val="nil"/>
              <w:left w:val="nil"/>
              <w:bottom w:val="nil"/>
              <w:right w:val="nil"/>
            </w:tcBorders>
            <w:shd w:val="clear" w:color="auto" w:fill="auto"/>
            <w:noWrap/>
            <w:vAlign w:val="center"/>
          </w:tcPr>
          <w:p w14:paraId="73676E95">
            <w:pPr>
              <w:widowControl/>
              <w:jc w:val="left"/>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PI3K inhibitor</w:t>
            </w:r>
          </w:p>
        </w:tc>
        <w:tc>
          <w:tcPr>
            <w:tcW w:w="1617" w:type="dxa"/>
            <w:tcBorders>
              <w:top w:val="nil"/>
              <w:left w:val="nil"/>
              <w:bottom w:val="nil"/>
              <w:right w:val="nil"/>
            </w:tcBorders>
            <w:shd w:val="clear" w:color="auto" w:fill="auto"/>
            <w:noWrap/>
            <w:vAlign w:val="center"/>
          </w:tcPr>
          <w:p w14:paraId="164DE7E7">
            <w:pPr>
              <w:widowControl/>
              <w:jc w:val="left"/>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low</w:t>
            </w:r>
          </w:p>
        </w:tc>
      </w:tr>
      <w:tr w14:paraId="1BF7E67C">
        <w:tblPrEx>
          <w:tblCellMar>
            <w:top w:w="0" w:type="dxa"/>
            <w:left w:w="108" w:type="dxa"/>
            <w:bottom w:w="0" w:type="dxa"/>
            <w:right w:w="108" w:type="dxa"/>
          </w:tblCellMar>
        </w:tblPrEx>
        <w:trPr>
          <w:trHeight w:val="264" w:hRule="atLeast"/>
          <w:jc w:val="center"/>
        </w:trPr>
        <w:tc>
          <w:tcPr>
            <w:tcW w:w="3188" w:type="dxa"/>
            <w:tcBorders>
              <w:top w:val="nil"/>
              <w:left w:val="nil"/>
              <w:bottom w:val="nil"/>
              <w:right w:val="nil"/>
            </w:tcBorders>
            <w:shd w:val="clear" w:color="auto" w:fill="DBE3F4" w:themeFill="accent1" w:themeFillTint="32"/>
            <w:noWrap/>
            <w:vAlign w:val="center"/>
          </w:tcPr>
          <w:p w14:paraId="5ED3E3ED">
            <w:pPr>
              <w:widowControl/>
              <w:jc w:val="left"/>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GNE-317</w:t>
            </w:r>
          </w:p>
        </w:tc>
        <w:tc>
          <w:tcPr>
            <w:tcW w:w="2894" w:type="dxa"/>
            <w:tcBorders>
              <w:top w:val="nil"/>
              <w:left w:val="nil"/>
              <w:bottom w:val="nil"/>
              <w:right w:val="nil"/>
            </w:tcBorders>
            <w:shd w:val="clear" w:color="auto" w:fill="DBE3F4" w:themeFill="accent1" w:themeFillTint="32"/>
            <w:noWrap/>
            <w:vAlign w:val="center"/>
          </w:tcPr>
          <w:p w14:paraId="2A1F2A2D">
            <w:pPr>
              <w:widowControl/>
              <w:jc w:val="left"/>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PI3K inhibitor</w:t>
            </w:r>
          </w:p>
        </w:tc>
        <w:tc>
          <w:tcPr>
            <w:tcW w:w="1617" w:type="dxa"/>
            <w:tcBorders>
              <w:top w:val="nil"/>
              <w:left w:val="nil"/>
              <w:bottom w:val="nil"/>
              <w:right w:val="nil"/>
            </w:tcBorders>
            <w:shd w:val="clear" w:color="auto" w:fill="DBE3F4" w:themeFill="accent1" w:themeFillTint="32"/>
            <w:noWrap/>
            <w:vAlign w:val="center"/>
          </w:tcPr>
          <w:p w14:paraId="74CCF924">
            <w:pPr>
              <w:widowControl/>
              <w:jc w:val="left"/>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low</w:t>
            </w:r>
          </w:p>
        </w:tc>
      </w:tr>
      <w:tr w14:paraId="038144E5">
        <w:tblPrEx>
          <w:tblCellMar>
            <w:top w:w="0" w:type="dxa"/>
            <w:left w:w="108" w:type="dxa"/>
            <w:bottom w:w="0" w:type="dxa"/>
            <w:right w:w="108" w:type="dxa"/>
          </w:tblCellMar>
        </w:tblPrEx>
        <w:trPr>
          <w:trHeight w:val="264" w:hRule="atLeast"/>
          <w:jc w:val="center"/>
        </w:trPr>
        <w:tc>
          <w:tcPr>
            <w:tcW w:w="3188" w:type="dxa"/>
            <w:tcBorders>
              <w:top w:val="nil"/>
              <w:left w:val="nil"/>
              <w:bottom w:val="nil"/>
              <w:right w:val="nil"/>
            </w:tcBorders>
            <w:shd w:val="clear" w:color="auto" w:fill="auto"/>
            <w:noWrap/>
            <w:vAlign w:val="center"/>
          </w:tcPr>
          <w:p w14:paraId="2C2F240F">
            <w:pPr>
              <w:widowControl/>
              <w:jc w:val="left"/>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KRAS (G12C) Inhibitor-12</w:t>
            </w:r>
          </w:p>
        </w:tc>
        <w:tc>
          <w:tcPr>
            <w:tcW w:w="2894" w:type="dxa"/>
            <w:tcBorders>
              <w:top w:val="nil"/>
              <w:left w:val="nil"/>
              <w:bottom w:val="nil"/>
              <w:right w:val="nil"/>
            </w:tcBorders>
            <w:shd w:val="clear" w:color="auto" w:fill="auto"/>
            <w:noWrap/>
            <w:vAlign w:val="center"/>
          </w:tcPr>
          <w:p w14:paraId="70B012CE">
            <w:pPr>
              <w:widowControl/>
              <w:jc w:val="left"/>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KRAS G12C inhibitor</w:t>
            </w:r>
          </w:p>
        </w:tc>
        <w:tc>
          <w:tcPr>
            <w:tcW w:w="1617" w:type="dxa"/>
            <w:tcBorders>
              <w:top w:val="nil"/>
              <w:left w:val="nil"/>
              <w:bottom w:val="nil"/>
              <w:right w:val="nil"/>
            </w:tcBorders>
            <w:shd w:val="clear" w:color="auto" w:fill="auto"/>
            <w:noWrap/>
            <w:vAlign w:val="center"/>
          </w:tcPr>
          <w:p w14:paraId="35395434">
            <w:pPr>
              <w:widowControl/>
              <w:jc w:val="left"/>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low</w:t>
            </w:r>
          </w:p>
        </w:tc>
      </w:tr>
      <w:tr w14:paraId="612DF698">
        <w:tblPrEx>
          <w:tblCellMar>
            <w:top w:w="0" w:type="dxa"/>
            <w:left w:w="108" w:type="dxa"/>
            <w:bottom w:w="0" w:type="dxa"/>
            <w:right w:w="108" w:type="dxa"/>
          </w:tblCellMar>
        </w:tblPrEx>
        <w:trPr>
          <w:trHeight w:val="264" w:hRule="atLeast"/>
          <w:jc w:val="center"/>
        </w:trPr>
        <w:tc>
          <w:tcPr>
            <w:tcW w:w="3188" w:type="dxa"/>
            <w:tcBorders>
              <w:top w:val="nil"/>
              <w:left w:val="nil"/>
              <w:bottom w:val="nil"/>
              <w:right w:val="nil"/>
            </w:tcBorders>
            <w:shd w:val="clear" w:color="auto" w:fill="DBE3F4" w:themeFill="accent1" w:themeFillTint="32"/>
            <w:noWrap/>
            <w:vAlign w:val="center"/>
          </w:tcPr>
          <w:p w14:paraId="03CA4439">
            <w:pPr>
              <w:widowControl/>
              <w:jc w:val="left"/>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PF-4708671</w:t>
            </w:r>
          </w:p>
        </w:tc>
        <w:tc>
          <w:tcPr>
            <w:tcW w:w="2894" w:type="dxa"/>
            <w:tcBorders>
              <w:top w:val="nil"/>
              <w:left w:val="nil"/>
              <w:bottom w:val="nil"/>
              <w:right w:val="nil"/>
            </w:tcBorders>
            <w:shd w:val="clear" w:color="auto" w:fill="DBE3F4" w:themeFill="accent1" w:themeFillTint="32"/>
            <w:noWrap/>
            <w:vAlign w:val="center"/>
          </w:tcPr>
          <w:p w14:paraId="7DB3EFA6">
            <w:pPr>
              <w:widowControl/>
              <w:jc w:val="left"/>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S6K1 inhibitor</w:t>
            </w:r>
          </w:p>
        </w:tc>
        <w:tc>
          <w:tcPr>
            <w:tcW w:w="1617" w:type="dxa"/>
            <w:tcBorders>
              <w:top w:val="nil"/>
              <w:left w:val="nil"/>
              <w:bottom w:val="nil"/>
              <w:right w:val="nil"/>
            </w:tcBorders>
            <w:shd w:val="clear" w:color="auto" w:fill="DBE3F4" w:themeFill="accent1" w:themeFillTint="32"/>
            <w:noWrap/>
            <w:vAlign w:val="center"/>
          </w:tcPr>
          <w:p w14:paraId="51BC7C68">
            <w:pPr>
              <w:widowControl/>
              <w:jc w:val="left"/>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low</w:t>
            </w:r>
          </w:p>
        </w:tc>
      </w:tr>
      <w:tr w14:paraId="6774F407">
        <w:tblPrEx>
          <w:tblCellMar>
            <w:top w:w="0" w:type="dxa"/>
            <w:left w:w="108" w:type="dxa"/>
            <w:bottom w:w="0" w:type="dxa"/>
            <w:right w:w="108" w:type="dxa"/>
          </w:tblCellMar>
        </w:tblPrEx>
        <w:trPr>
          <w:trHeight w:val="264" w:hRule="atLeast"/>
          <w:jc w:val="center"/>
        </w:trPr>
        <w:tc>
          <w:tcPr>
            <w:tcW w:w="3188" w:type="dxa"/>
            <w:tcBorders>
              <w:top w:val="nil"/>
              <w:left w:val="nil"/>
              <w:bottom w:val="nil"/>
              <w:right w:val="nil"/>
            </w:tcBorders>
            <w:shd w:val="clear" w:color="auto" w:fill="auto"/>
            <w:noWrap/>
            <w:vAlign w:val="center"/>
          </w:tcPr>
          <w:p w14:paraId="4AF038F9">
            <w:pPr>
              <w:widowControl/>
              <w:jc w:val="left"/>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Pictilisib</w:t>
            </w:r>
          </w:p>
        </w:tc>
        <w:tc>
          <w:tcPr>
            <w:tcW w:w="2894" w:type="dxa"/>
            <w:tcBorders>
              <w:top w:val="nil"/>
              <w:left w:val="nil"/>
              <w:bottom w:val="nil"/>
              <w:right w:val="nil"/>
            </w:tcBorders>
            <w:shd w:val="clear" w:color="auto" w:fill="auto"/>
            <w:noWrap/>
            <w:vAlign w:val="center"/>
          </w:tcPr>
          <w:p w14:paraId="36BB6FFC">
            <w:pPr>
              <w:widowControl/>
              <w:jc w:val="left"/>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PI3K inhibitor</w:t>
            </w:r>
          </w:p>
        </w:tc>
        <w:tc>
          <w:tcPr>
            <w:tcW w:w="1617" w:type="dxa"/>
            <w:tcBorders>
              <w:top w:val="nil"/>
              <w:left w:val="nil"/>
              <w:bottom w:val="nil"/>
              <w:right w:val="nil"/>
            </w:tcBorders>
            <w:shd w:val="clear" w:color="auto" w:fill="auto"/>
            <w:noWrap/>
            <w:vAlign w:val="center"/>
          </w:tcPr>
          <w:p w14:paraId="1056FFA1">
            <w:pPr>
              <w:widowControl/>
              <w:jc w:val="left"/>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low</w:t>
            </w:r>
          </w:p>
        </w:tc>
      </w:tr>
      <w:tr w14:paraId="7DA3878C">
        <w:tblPrEx>
          <w:tblCellMar>
            <w:top w:w="0" w:type="dxa"/>
            <w:left w:w="108" w:type="dxa"/>
            <w:bottom w:w="0" w:type="dxa"/>
            <w:right w:w="108" w:type="dxa"/>
          </w:tblCellMar>
        </w:tblPrEx>
        <w:trPr>
          <w:trHeight w:val="264" w:hRule="atLeast"/>
          <w:jc w:val="center"/>
        </w:trPr>
        <w:tc>
          <w:tcPr>
            <w:tcW w:w="3188" w:type="dxa"/>
            <w:tcBorders>
              <w:top w:val="nil"/>
              <w:left w:val="nil"/>
              <w:bottom w:val="nil"/>
              <w:right w:val="nil"/>
            </w:tcBorders>
            <w:shd w:val="clear" w:color="auto" w:fill="DBE3F4" w:themeFill="accent1" w:themeFillTint="32"/>
            <w:noWrap/>
            <w:vAlign w:val="center"/>
          </w:tcPr>
          <w:p w14:paraId="7925D3AC">
            <w:pPr>
              <w:widowControl/>
              <w:jc w:val="left"/>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Ribociclib</w:t>
            </w:r>
          </w:p>
        </w:tc>
        <w:tc>
          <w:tcPr>
            <w:tcW w:w="2894" w:type="dxa"/>
            <w:tcBorders>
              <w:top w:val="nil"/>
              <w:left w:val="nil"/>
              <w:bottom w:val="nil"/>
              <w:right w:val="nil"/>
            </w:tcBorders>
            <w:shd w:val="clear" w:color="auto" w:fill="DBE3F4" w:themeFill="accent1" w:themeFillTint="32"/>
            <w:noWrap/>
            <w:vAlign w:val="center"/>
          </w:tcPr>
          <w:p w14:paraId="1C03FC48">
            <w:pPr>
              <w:widowControl/>
              <w:jc w:val="left"/>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CDK4/6 inhibitor</w:t>
            </w:r>
          </w:p>
        </w:tc>
        <w:tc>
          <w:tcPr>
            <w:tcW w:w="1617" w:type="dxa"/>
            <w:tcBorders>
              <w:top w:val="nil"/>
              <w:left w:val="nil"/>
              <w:bottom w:val="nil"/>
              <w:right w:val="nil"/>
            </w:tcBorders>
            <w:shd w:val="clear" w:color="auto" w:fill="DBE3F4" w:themeFill="accent1" w:themeFillTint="32"/>
            <w:noWrap/>
            <w:vAlign w:val="center"/>
          </w:tcPr>
          <w:p w14:paraId="309F452F">
            <w:pPr>
              <w:widowControl/>
              <w:jc w:val="left"/>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low</w:t>
            </w:r>
          </w:p>
        </w:tc>
      </w:tr>
      <w:tr w14:paraId="2C4EE263">
        <w:tblPrEx>
          <w:tblCellMar>
            <w:top w:w="0" w:type="dxa"/>
            <w:left w:w="108" w:type="dxa"/>
            <w:bottom w:w="0" w:type="dxa"/>
            <w:right w:w="108" w:type="dxa"/>
          </w:tblCellMar>
        </w:tblPrEx>
        <w:trPr>
          <w:trHeight w:val="312" w:hRule="atLeast"/>
          <w:jc w:val="center"/>
        </w:trPr>
        <w:tc>
          <w:tcPr>
            <w:tcW w:w="3188" w:type="dxa"/>
            <w:tcBorders>
              <w:top w:val="nil"/>
              <w:left w:val="nil"/>
              <w:bottom w:val="single" w:color="000000" w:sz="8" w:space="0"/>
              <w:right w:val="nil"/>
            </w:tcBorders>
            <w:shd w:val="clear" w:color="auto" w:fill="auto"/>
            <w:noWrap/>
            <w:vAlign w:val="center"/>
          </w:tcPr>
          <w:p w14:paraId="72281D7F">
            <w:pPr>
              <w:widowControl/>
              <w:jc w:val="left"/>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Taselisib</w:t>
            </w:r>
          </w:p>
        </w:tc>
        <w:tc>
          <w:tcPr>
            <w:tcW w:w="2894" w:type="dxa"/>
            <w:tcBorders>
              <w:top w:val="nil"/>
              <w:left w:val="nil"/>
              <w:bottom w:val="single" w:color="000000" w:sz="8" w:space="0"/>
              <w:right w:val="nil"/>
            </w:tcBorders>
            <w:shd w:val="clear" w:color="auto" w:fill="auto"/>
            <w:noWrap/>
            <w:vAlign w:val="center"/>
          </w:tcPr>
          <w:p w14:paraId="511F3A31">
            <w:pPr>
              <w:widowControl/>
              <w:jc w:val="left"/>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PI3K inhibitor</w:t>
            </w:r>
          </w:p>
        </w:tc>
        <w:tc>
          <w:tcPr>
            <w:tcW w:w="1617" w:type="dxa"/>
            <w:tcBorders>
              <w:top w:val="nil"/>
              <w:left w:val="nil"/>
              <w:bottom w:val="single" w:color="000000" w:sz="8" w:space="0"/>
              <w:right w:val="nil"/>
            </w:tcBorders>
            <w:shd w:val="clear" w:color="auto" w:fill="auto"/>
            <w:noWrap/>
            <w:vAlign w:val="center"/>
          </w:tcPr>
          <w:p w14:paraId="0F60B9BD">
            <w:pPr>
              <w:widowControl/>
              <w:jc w:val="left"/>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low</w:t>
            </w:r>
          </w:p>
        </w:tc>
      </w:tr>
    </w:tbl>
    <w:p w14:paraId="3F3146D7">
      <w:pPr>
        <w:jc w:val="left"/>
        <w:rPr>
          <w:rFonts w:hint="eastAsia" w:eastAsiaTheme="minorEastAsia"/>
          <w:lang w:eastAsia="zh-CN"/>
        </w:rPr>
      </w:pPr>
      <w:r>
        <mc:AlternateContent>
          <mc:Choice Requires="wps">
            <w:drawing>
              <wp:anchor distT="0" distB="0" distL="114300" distR="114300" simplePos="0" relativeHeight="251659264" behindDoc="0" locked="0" layoutInCell="1" allowOverlap="1">
                <wp:simplePos x="0" y="0"/>
                <wp:positionH relativeFrom="column">
                  <wp:posOffset>1435735</wp:posOffset>
                </wp:positionH>
                <wp:positionV relativeFrom="paragraph">
                  <wp:posOffset>1024255</wp:posOffset>
                </wp:positionV>
                <wp:extent cx="1591945" cy="548640"/>
                <wp:effectExtent l="0" t="0" r="0" b="0"/>
                <wp:wrapNone/>
                <wp:docPr id="11" name="文本框 3"/>
                <wp:cNvGraphicFramePr/>
                <a:graphic xmlns:a="http://schemas.openxmlformats.org/drawingml/2006/main">
                  <a:graphicData uri="http://schemas.microsoft.com/office/word/2010/wordprocessingShape">
                    <wps:wsp>
                      <wps:cNvSpPr txBox="1"/>
                      <wps:spPr>
                        <a:xfrm>
                          <a:off x="0" y="0"/>
                          <a:ext cx="1591945" cy="548640"/>
                        </a:xfrm>
                        <a:prstGeom prst="rect">
                          <a:avLst/>
                        </a:prstGeom>
                        <a:noFill/>
                      </wps:spPr>
                      <wps:txbx>
                        <w:txbxContent>
                          <w:p w14:paraId="56568BB2">
                            <w:pPr>
                              <w:pStyle w:val="2"/>
                              <w:kinsoku/>
                              <w:ind w:left="0"/>
                              <w:jc w:val="center"/>
                            </w:pPr>
                          </w:p>
                        </w:txbxContent>
                      </wps:txbx>
                      <wps:bodyPr wrap="square" rtlCol="0">
                        <a:noAutofit/>
                      </wps:bodyPr>
                    </wps:wsp>
                  </a:graphicData>
                </a:graphic>
              </wp:anchor>
            </w:drawing>
          </mc:Choice>
          <mc:Fallback>
            <w:pict>
              <v:shape id="文本框 3" o:spid="_x0000_s1026" o:spt="202" type="#_x0000_t202" style="position:absolute;left:0pt;margin-left:113.05pt;margin-top:80.65pt;height:43.2pt;width:125.35pt;z-index:251659264;mso-width-relative:page;mso-height-relative:page;" filled="f" stroked="f" coordsize="21600,21600" o:gfxdata="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LlG4dvXAAAACwEAAA8AAAAAAAAAAQAgAAAAIgAAAGRycy9kb3ducmV2LnhtbFBLAQIU&#10;ABQAAAAIAIdO4kCe1oj/uwEAAF4DAAAOAAAAAAAAAAEAIAAAACYBAABkcnMvZTJvRG9jLnhtbFBL&#10;BQYAAAAABgAGAFkBAABTBQAAAAA=&#10;">
                <v:fill on="f" focussize="0,0"/>
                <v:stroke on="f"/>
                <v:imagedata o:title=""/>
                <o:lock v:ext="edit" aspectratio="f"/>
                <v:textbox>
                  <w:txbxContent>
                    <w:p w14:paraId="56568BB2">
                      <w:pPr>
                        <w:pStyle w:val="2"/>
                        <w:kinsoku/>
                        <w:ind w:left="0"/>
                        <w:jc w:val="center"/>
                      </w:pP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7168515</wp:posOffset>
                </wp:positionH>
                <wp:positionV relativeFrom="paragraph">
                  <wp:posOffset>3624580</wp:posOffset>
                </wp:positionV>
                <wp:extent cx="0" cy="410845"/>
                <wp:effectExtent l="53975" t="0" r="60325" b="8255"/>
                <wp:wrapNone/>
                <wp:docPr id="47" name="直接箭头连接符 46"/>
                <wp:cNvGraphicFramePr/>
                <a:graphic xmlns:a="http://schemas.openxmlformats.org/drawingml/2006/main">
                  <a:graphicData uri="http://schemas.microsoft.com/office/word/2010/wordprocessingShape">
                    <wps:wsp>
                      <wps:cNvCnPr/>
                      <wps:spPr>
                        <a:xfrm>
                          <a:off x="0" y="0"/>
                          <a:ext cx="0" cy="410845"/>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直接箭头连接符 46" o:spid="_x0000_s1026" o:spt="32" type="#_x0000_t32" style="position:absolute;left:0pt;margin-left:564.45pt;margin-top:285.4pt;height:32.35pt;width:0pt;z-index:251660288;mso-width-relative:page;mso-height-relative:page;" filled="f" stroked="t" coordsize="21600,21600" o:gfxdata="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gLZShtgAAAANAQAADwAAAAAAAAABACAAAAAiAAAAZHJz&#10;L2Rvd25yZXYueG1sUEsBAhQAFAAAAAgAh07iQCanrQkEAgAA4AMAAA4AAAAAAAAAAQAgAAAAJwEA&#10;AGRycy9lMm9Eb2MueG1sUEsFBgAAAAAGAAYAWQEAAJ0FAAAAAA==&#10;">
                <v:fill on="f" focussize="0,0"/>
                <v:stroke weight="1.5pt" color="#000000 [3213]" miterlimit="8" joinstyle="miter" endarrow="open"/>
                <v:imagedata o:title=""/>
                <o:lock v:ext="edit" aspectratio="f"/>
              </v:shape>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8058785</wp:posOffset>
                </wp:positionH>
                <wp:positionV relativeFrom="paragraph">
                  <wp:posOffset>3632200</wp:posOffset>
                </wp:positionV>
                <wp:extent cx="0" cy="410845"/>
                <wp:effectExtent l="53975" t="0" r="60325" b="8255"/>
                <wp:wrapNone/>
                <wp:docPr id="48" name="直接箭头连接符 47"/>
                <wp:cNvGraphicFramePr/>
                <a:graphic xmlns:a="http://schemas.openxmlformats.org/drawingml/2006/main">
                  <a:graphicData uri="http://schemas.microsoft.com/office/word/2010/wordprocessingShape">
                    <wps:wsp>
                      <wps:cNvCnPr/>
                      <wps:spPr>
                        <a:xfrm>
                          <a:off x="0" y="0"/>
                          <a:ext cx="0" cy="410845"/>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直接箭头连接符 47" o:spid="_x0000_s1026" o:spt="32" type="#_x0000_t32" style="position:absolute;left:0pt;margin-left:634.55pt;margin-top:286pt;height:32.35pt;width:0pt;z-index:251661312;mso-width-relative:page;mso-height-relative:page;" filled="f" stroked="t" coordsize="21600,21600" o:gfxdata="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LtXU82AAAAA0BAAAPAAAAAAAAAAEAIAAAACIAAABkcnMv&#10;ZG93bnJldi54bWxQSwECFAAUAAAACACHTuJAjApFIAMCAADgAwAADgAAAAAAAAABACAAAAAnAQAA&#10;ZHJzL2Uyb0RvYy54bWxQSwUGAAAAAAYABgBZAQAAnAUAAAAA&#10;">
                <v:fill on="f" focussize="0,0"/>
                <v:stroke weight="1.5pt" color="#000000 [3213]" miterlimit="8" joinstyle="miter" endarrow="open"/>
                <v:imagedata o:title=""/>
                <o:lock v:ext="edit" aspectratio="f"/>
              </v:shape>
            </w:pict>
          </mc:Fallback>
        </mc:AlternateContent>
      </w:r>
      <w:r>
        <mc:AlternateContent>
          <mc:Choice Requires="wps">
            <w:drawing>
              <wp:anchor distT="0" distB="0" distL="114300" distR="114300" simplePos="0" relativeHeight="251662336" behindDoc="0" locked="0" layoutInCell="1" allowOverlap="1">
                <wp:simplePos x="0" y="0"/>
                <wp:positionH relativeFrom="column">
                  <wp:posOffset>6247765</wp:posOffset>
                </wp:positionH>
                <wp:positionV relativeFrom="paragraph">
                  <wp:posOffset>5354320</wp:posOffset>
                </wp:positionV>
                <wp:extent cx="1811020" cy="460375"/>
                <wp:effectExtent l="0" t="0" r="0" b="0"/>
                <wp:wrapNone/>
                <wp:docPr id="58" name="文本框 57"/>
                <wp:cNvGraphicFramePr/>
                <a:graphic xmlns:a="http://schemas.openxmlformats.org/drawingml/2006/main">
                  <a:graphicData uri="http://schemas.microsoft.com/office/word/2010/wordprocessingShape">
                    <wps:wsp>
                      <wps:cNvSpPr txBox="1"/>
                      <wps:spPr>
                        <a:xfrm>
                          <a:off x="0" y="0"/>
                          <a:ext cx="1811020" cy="460375"/>
                        </a:xfrm>
                        <a:prstGeom prst="rect">
                          <a:avLst/>
                        </a:prstGeom>
                        <a:noFill/>
                      </wps:spPr>
                      <wps:txbx>
                        <w:txbxContent>
                          <w:p w14:paraId="7ED6AE2D">
                            <w:pPr>
                              <w:pStyle w:val="2"/>
                              <w:kinsoku/>
                              <w:ind w:left="0"/>
                              <w:jc w:val="center"/>
                            </w:pPr>
                            <w:r>
                              <w:rPr>
                                <w:rFonts w:asciiTheme="minorAscii" w:hAnsiTheme="minorBidi" w:eastAsiaTheme="minorEastAsia"/>
                                <w:color w:val="000000" w:themeColor="text1"/>
                                <w:kern w:val="24"/>
                                <w:sz w:val="24"/>
                                <w:szCs w:val="24"/>
                                <w14:textFill>
                                  <w14:solidFill>
                                    <w14:schemeClr w14:val="tx1"/>
                                  </w14:solidFill>
                                </w14:textFill>
                              </w:rPr>
                              <w:t>ELN risk stratification</w:t>
                            </w:r>
                          </w:p>
                          <w:p w14:paraId="1EF80E9E">
                            <w:pPr>
                              <w:pStyle w:val="2"/>
                              <w:kinsoku/>
                              <w:ind w:left="0"/>
                              <w:jc w:val="center"/>
                            </w:pPr>
                            <w:r>
                              <w:rPr>
                                <w:rFonts w:asciiTheme="minorAscii" w:hAnsiTheme="minorBidi" w:eastAsiaTheme="minorEastAsia"/>
                                <w:color w:val="000000" w:themeColor="text1"/>
                                <w:kern w:val="24"/>
                                <w:sz w:val="24"/>
                                <w:szCs w:val="24"/>
                                <w14:textFill>
                                  <w14:solidFill>
                                    <w14:schemeClr w14:val="tx1"/>
                                  </w14:solidFill>
                                </w14:textFill>
                              </w:rPr>
                              <w:t>n=265</w:t>
                            </w:r>
                          </w:p>
                        </w:txbxContent>
                      </wps:txbx>
                      <wps:bodyPr wrap="square" rtlCol="0" anchor="t">
                        <a:spAutoFit/>
                      </wps:bodyPr>
                    </wps:wsp>
                  </a:graphicData>
                </a:graphic>
              </wp:anchor>
            </w:drawing>
          </mc:Choice>
          <mc:Fallback>
            <w:pict>
              <v:shape id="文本框 57" o:spid="_x0000_s1026" o:spt="202" type="#_x0000_t202" style="position:absolute;left:0pt;margin-left:491.95pt;margin-top:421.6pt;height:36.25pt;width:142.6pt;z-index:251662336;mso-width-relative:page;mso-height-relative:page;" filled="f" stroked="f" coordsize="21600,21600" o:gfxdata="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wQku7toAAAAMAQAADwAAAAAAAAABACAAAAAiAAAAZHJzL2Rvd25yZXYu&#10;eG1sUEsBAhQAFAAAAAgAh07iQKMtnKDAAQAAagMAAA4AAAAAAAAAAQAgAAAAKQEAAGRycy9lMm9E&#10;b2MueG1sUEsFBgAAAAAGAAYAWQEAAFsFAAAAAA==&#10;">
                <v:fill on="f" focussize="0,0"/>
                <v:stroke on="f"/>
                <v:imagedata o:title=""/>
                <o:lock v:ext="edit" aspectratio="f"/>
                <v:textbox style="mso-fit-shape-to-text:t;">
                  <w:txbxContent>
                    <w:p w14:paraId="7ED6AE2D">
                      <w:pPr>
                        <w:pStyle w:val="2"/>
                        <w:kinsoku/>
                        <w:ind w:left="0"/>
                        <w:jc w:val="center"/>
                      </w:pPr>
                      <w:r>
                        <w:rPr>
                          <w:rFonts w:asciiTheme="minorAscii" w:hAnsiTheme="minorBidi" w:eastAsiaTheme="minorEastAsia"/>
                          <w:color w:val="000000" w:themeColor="text1"/>
                          <w:kern w:val="24"/>
                          <w:sz w:val="24"/>
                          <w:szCs w:val="24"/>
                          <w14:textFill>
                            <w14:solidFill>
                              <w14:schemeClr w14:val="tx1"/>
                            </w14:solidFill>
                          </w14:textFill>
                        </w:rPr>
                        <w:t>ELN risk stratification</w:t>
                      </w:r>
                    </w:p>
                    <w:p w14:paraId="1EF80E9E">
                      <w:pPr>
                        <w:pStyle w:val="2"/>
                        <w:kinsoku/>
                        <w:ind w:left="0"/>
                        <w:jc w:val="center"/>
                      </w:pPr>
                      <w:r>
                        <w:rPr>
                          <w:rFonts w:asciiTheme="minorAscii" w:hAnsiTheme="minorBidi" w:eastAsiaTheme="minorEastAsia"/>
                          <w:color w:val="000000" w:themeColor="text1"/>
                          <w:kern w:val="24"/>
                          <w:sz w:val="24"/>
                          <w:szCs w:val="24"/>
                          <w14:textFill>
                            <w14:solidFill>
                              <w14:schemeClr w14:val="tx1"/>
                            </w14:solidFill>
                          </w14:textFill>
                        </w:rPr>
                        <w:t>n=265</w:t>
                      </w:r>
                    </w:p>
                  </w:txbxContent>
                </v:textbox>
              </v:shape>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7197090</wp:posOffset>
                </wp:positionH>
                <wp:positionV relativeFrom="paragraph">
                  <wp:posOffset>6112510</wp:posOffset>
                </wp:positionV>
                <wp:extent cx="1270" cy="370205"/>
                <wp:effectExtent l="52705" t="0" r="60325" b="10795"/>
                <wp:wrapNone/>
                <wp:docPr id="60" name="直接箭头连接符 59"/>
                <wp:cNvGraphicFramePr/>
                <a:graphic xmlns:a="http://schemas.openxmlformats.org/drawingml/2006/main">
                  <a:graphicData uri="http://schemas.microsoft.com/office/word/2010/wordprocessingShape">
                    <wps:wsp>
                      <wps:cNvCnPr/>
                      <wps:spPr>
                        <a:xfrm>
                          <a:off x="0" y="0"/>
                          <a:ext cx="1270" cy="370205"/>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直接箭头连接符 59" o:spid="_x0000_s1026" o:spt="32" type="#_x0000_t32" style="position:absolute;left:0pt;margin-left:566.7pt;margin-top:481.3pt;height:29.15pt;width:0.1pt;z-index:251663360;mso-width-relative:page;mso-height-relative:page;" filled="f" stroked="t" coordsize="21600,21600" o:gfxdata="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vwlectkAAAAOAQAADwAAAAAAAAABACAAAAAiAAAA&#10;ZHJzL2Rvd25yZXYueG1sUEsBAhQAFAAAAAgAh07iQDdLEDUGAgAA4wMAAA4AAAAAAAAAAQAgAAAA&#10;KAEAAGRycy9lMm9Eb2MueG1sUEsFBgAAAAAGAAYAWQEAAKAFAAAAAA==&#10;">
                <v:fill on="f" focussize="0,0"/>
                <v:stroke weight="1.5pt" color="#000000 [3213]" miterlimit="8" joinstyle="miter" endarrow="open"/>
                <v:imagedata o:title=""/>
                <o:lock v:ext="edit" aspectratio="f"/>
              </v:shape>
            </w:pict>
          </mc:Fallback>
        </mc:AlternateContent>
      </w:r>
      <w:r>
        <mc:AlternateContent>
          <mc:Choice Requires="wps">
            <w:drawing>
              <wp:anchor distT="0" distB="0" distL="114300" distR="114300" simplePos="0" relativeHeight="251664384" behindDoc="0" locked="0" layoutInCell="1" allowOverlap="1">
                <wp:simplePos x="0" y="0"/>
                <wp:positionH relativeFrom="column">
                  <wp:posOffset>8030845</wp:posOffset>
                </wp:positionH>
                <wp:positionV relativeFrom="paragraph">
                  <wp:posOffset>6112510</wp:posOffset>
                </wp:positionV>
                <wp:extent cx="0" cy="410845"/>
                <wp:effectExtent l="53975" t="0" r="60325" b="8255"/>
                <wp:wrapNone/>
                <wp:docPr id="61" name="直接箭头连接符 60"/>
                <wp:cNvGraphicFramePr/>
                <a:graphic xmlns:a="http://schemas.openxmlformats.org/drawingml/2006/main">
                  <a:graphicData uri="http://schemas.microsoft.com/office/word/2010/wordprocessingShape">
                    <wps:wsp>
                      <wps:cNvCnPr/>
                      <wps:spPr>
                        <a:xfrm>
                          <a:off x="0" y="0"/>
                          <a:ext cx="0" cy="410845"/>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直接箭头连接符 60" o:spid="_x0000_s1026" o:spt="32" type="#_x0000_t32" style="position:absolute;left:0pt;margin-left:632.35pt;margin-top:481.3pt;height:32.35pt;width:0pt;z-index:251664384;mso-width-relative:page;mso-height-relative:page;" filled="f" stroked="t" coordsize="21600,21600" o:gfxdata="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PMVoeTZAAAADgEAAA8AAAAAAAAAAQAgAAAAIgAAAGRycy9k&#10;b3ducmV2LnhtbFBLAQIUABQAAAAIAIdO4kBo0kuNAQIAAOADAAAOAAAAAAAAAAEAIAAAACgBAABk&#10;cnMvZTJvRG9jLnhtbFBLBQYAAAAABgAGAFkBAACbBQAAAAA=&#10;">
                <v:fill on="f" focussize="0,0"/>
                <v:stroke weight="1.5pt" color="#000000 [3213]" miterlimit="8" joinstyle="miter" endarrow="open"/>
                <v:imagedata o:title=""/>
                <o:lock v:ext="edit" aspectratio="f"/>
              </v:shape>
            </w:pict>
          </mc:Fallback>
        </mc:AlternateContent>
      </w:r>
      <w:r>
        <mc:AlternateContent>
          <mc:Choice Requires="wps">
            <w:drawing>
              <wp:anchor distT="0" distB="0" distL="114300" distR="114300" simplePos="0" relativeHeight="251665408" behindDoc="0" locked="0" layoutInCell="1" allowOverlap="1">
                <wp:simplePos x="0" y="0"/>
                <wp:positionH relativeFrom="column">
                  <wp:posOffset>7161530</wp:posOffset>
                </wp:positionH>
                <wp:positionV relativeFrom="paragraph">
                  <wp:posOffset>3336925</wp:posOffset>
                </wp:positionV>
                <wp:extent cx="6985" cy="314960"/>
                <wp:effectExtent l="9525" t="0" r="21590" b="8890"/>
                <wp:wrapNone/>
                <wp:docPr id="76" name="直接连接符 75"/>
                <wp:cNvGraphicFramePr/>
                <a:graphic xmlns:a="http://schemas.openxmlformats.org/drawingml/2006/main">
                  <a:graphicData uri="http://schemas.microsoft.com/office/word/2010/wordprocessingShape">
                    <wps:wsp>
                      <wps:cNvCnPr/>
                      <wps:spPr>
                        <a:xfrm>
                          <a:off x="0" y="0"/>
                          <a:ext cx="6985" cy="31496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接连接符 75" o:spid="_x0000_s1026" o:spt="20" style="position:absolute;left:0pt;margin-left:563.9pt;margin-top:262.75pt;height:24.8pt;width:0.55pt;z-index:251665408;mso-width-relative:page;mso-height-relative:page;" filled="f" stroked="t" coordsize="21600,21600" o:gfxdata="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EmTN83AAAAA0BAAAPAAAAAAAAAAEAIAAAACIAAABkcnMvZG93bnJldi54bWxQSwECFAAUAAAA&#10;CACHTuJAjSUmIuoBAAC2AwAADgAAAAAAAAABACAAAAArAQAAZHJzL2Uyb0RvYy54bWxQSwUGAAAA&#10;AAYABgBZAQAAhwUAAAAA&#10;">
                <v:fill on="f" focussize="0,0"/>
                <v:stroke weight="1.5pt" color="#000000 [3213]" miterlimit="8" joinstyle="miter"/>
                <v:imagedata o:title=""/>
                <o:lock v:ext="edit" aspectratio="f"/>
              </v:lin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6788150</wp:posOffset>
                </wp:positionH>
                <wp:positionV relativeFrom="paragraph">
                  <wp:posOffset>4025900</wp:posOffset>
                </wp:positionV>
                <wp:extent cx="1060450" cy="275590"/>
                <wp:effectExtent l="0" t="0" r="0" b="0"/>
                <wp:wrapNone/>
                <wp:docPr id="80" name="文本框 79"/>
                <wp:cNvGraphicFramePr/>
                <a:graphic xmlns:a="http://schemas.openxmlformats.org/drawingml/2006/main">
                  <a:graphicData uri="http://schemas.microsoft.com/office/word/2010/wordprocessingShape">
                    <wps:wsp>
                      <wps:cNvSpPr txBox="1"/>
                      <wps:spPr>
                        <a:xfrm>
                          <a:off x="0" y="0"/>
                          <a:ext cx="1060450" cy="275590"/>
                        </a:xfrm>
                        <a:prstGeom prst="rect">
                          <a:avLst/>
                        </a:prstGeom>
                        <a:noFill/>
                      </wps:spPr>
                      <wps:txbx>
                        <w:txbxContent>
                          <w:p w14:paraId="5A5C438D">
                            <w:pPr>
                              <w:pStyle w:val="2"/>
                              <w:kinsoku/>
                              <w:ind w:left="0"/>
                              <w:jc w:val="left"/>
                            </w:pPr>
                            <w:r>
                              <w:rPr>
                                <w:rFonts w:asciiTheme="minorAscii" w:hAnsiTheme="minorBidi" w:eastAsiaTheme="minorEastAsia"/>
                                <w:color w:val="000000" w:themeColor="text1"/>
                                <w:kern w:val="24"/>
                                <w:sz w:val="24"/>
                                <w:szCs w:val="24"/>
                                <w14:textFill>
                                  <w14:solidFill>
                                    <w14:schemeClr w14:val="tx1"/>
                                  </w14:solidFill>
                                </w14:textFill>
                              </w:rPr>
                              <w:t>Intermediate</w:t>
                            </w:r>
                          </w:p>
                        </w:txbxContent>
                      </wps:txbx>
                      <wps:bodyPr wrap="square" rtlCol="0">
                        <a:spAutoFit/>
                      </wps:bodyPr>
                    </wps:wsp>
                  </a:graphicData>
                </a:graphic>
              </wp:anchor>
            </w:drawing>
          </mc:Choice>
          <mc:Fallback>
            <w:pict>
              <v:shape id="文本框 79" o:spid="_x0000_s1026" o:spt="202" type="#_x0000_t202" style="position:absolute;left:0pt;margin-left:534.5pt;margin-top:317pt;height:21.7pt;width:83.5pt;z-index:251666432;mso-width-relative:page;mso-height-relative:page;" filled="f" stroked="f" coordsize="21600,21600" o:gfxdata="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K9uO/jXAAAADQEAAA8AAAAAAAAAAQAgAAAAIgAAAGRycy9kb3ducmV2LnhtbFBLAQIU&#10;ABQAAAAIAIdO4kAty8n+uwEAAF8DAAAOAAAAAAAAAAEAIAAAACYBAABkcnMvZTJvRG9jLnhtbFBL&#10;BQYAAAAABgAGAFkBAABTBQAAAAA=&#10;">
                <v:fill on="f" focussize="0,0"/>
                <v:stroke on="f"/>
                <v:imagedata o:title=""/>
                <o:lock v:ext="edit" aspectratio="f"/>
                <v:textbox style="mso-fit-shape-to-text:t;">
                  <w:txbxContent>
                    <w:p w14:paraId="5A5C438D">
                      <w:pPr>
                        <w:pStyle w:val="2"/>
                        <w:kinsoku/>
                        <w:ind w:left="0"/>
                        <w:jc w:val="left"/>
                      </w:pPr>
                      <w:r>
                        <w:rPr>
                          <w:rFonts w:asciiTheme="minorAscii" w:hAnsiTheme="minorBidi" w:eastAsiaTheme="minorEastAsia"/>
                          <w:color w:val="000000" w:themeColor="text1"/>
                          <w:kern w:val="24"/>
                          <w:sz w:val="24"/>
                          <w:szCs w:val="24"/>
                          <w14:textFill>
                            <w14:solidFill>
                              <w14:schemeClr w14:val="tx1"/>
                            </w14:solidFill>
                          </w14:textFill>
                        </w:rPr>
                        <w:t>Intermediate</w:t>
                      </w:r>
                    </w:p>
                  </w:txbxContent>
                </v:textbox>
              </v:shape>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7712710</wp:posOffset>
                </wp:positionH>
                <wp:positionV relativeFrom="paragraph">
                  <wp:posOffset>4025900</wp:posOffset>
                </wp:positionV>
                <wp:extent cx="808990" cy="275590"/>
                <wp:effectExtent l="0" t="0" r="0" b="0"/>
                <wp:wrapNone/>
                <wp:docPr id="81" name="文本框 80"/>
                <wp:cNvGraphicFramePr/>
                <a:graphic xmlns:a="http://schemas.openxmlformats.org/drawingml/2006/main">
                  <a:graphicData uri="http://schemas.microsoft.com/office/word/2010/wordprocessingShape">
                    <wps:wsp>
                      <wps:cNvSpPr txBox="1"/>
                      <wps:spPr>
                        <a:xfrm>
                          <a:off x="0" y="0"/>
                          <a:ext cx="808990" cy="275590"/>
                        </a:xfrm>
                        <a:prstGeom prst="rect">
                          <a:avLst/>
                        </a:prstGeom>
                        <a:noFill/>
                      </wps:spPr>
                      <wps:txbx>
                        <w:txbxContent>
                          <w:p w14:paraId="77D048A3">
                            <w:pPr>
                              <w:pStyle w:val="2"/>
                              <w:kinsoku/>
                              <w:ind w:left="0"/>
                              <w:jc w:val="left"/>
                            </w:pPr>
                            <w:r>
                              <w:rPr>
                                <w:rFonts w:asciiTheme="minorAscii" w:hAnsiTheme="minorBidi" w:eastAsiaTheme="minorEastAsia"/>
                                <w:color w:val="000000" w:themeColor="text1"/>
                                <w:kern w:val="24"/>
                                <w:sz w:val="24"/>
                                <w:szCs w:val="24"/>
                                <w14:textFill>
                                  <w14:solidFill>
                                    <w14:schemeClr w14:val="tx1"/>
                                  </w14:solidFill>
                                </w14:textFill>
                              </w:rPr>
                              <w:t>Adverse</w:t>
                            </w:r>
                          </w:p>
                        </w:txbxContent>
                      </wps:txbx>
                      <wps:bodyPr wrap="square" rtlCol="0">
                        <a:spAutoFit/>
                      </wps:bodyPr>
                    </wps:wsp>
                  </a:graphicData>
                </a:graphic>
              </wp:anchor>
            </w:drawing>
          </mc:Choice>
          <mc:Fallback>
            <w:pict>
              <v:shape id="文本框 80" o:spid="_x0000_s1026" o:spt="202" type="#_x0000_t202" style="position:absolute;left:0pt;margin-left:607.3pt;margin-top:317pt;height:21.7pt;width:63.7pt;z-index:251667456;mso-width-relative:page;mso-height-relative:page;" filled="f" stroked="f" coordsize="21600,21600" o:gfxdata="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N27BozZAAAADQEAAA8AAAAAAAAAAQAgAAAAIgAAAGRycy9kb3ducmV2LnhtbFBLAQIU&#10;ABQAAAAIAIdO4kAQ1LXvuQEAAF4DAAAOAAAAAAAAAAEAIAAAACgBAABkcnMvZTJvRG9jLnhtbFBL&#10;BQYAAAAABgAGAFkBAABTBQAAAAA=&#10;">
                <v:fill on="f" focussize="0,0"/>
                <v:stroke on="f"/>
                <v:imagedata o:title=""/>
                <o:lock v:ext="edit" aspectratio="f"/>
                <v:textbox style="mso-fit-shape-to-text:t;">
                  <w:txbxContent>
                    <w:p w14:paraId="77D048A3">
                      <w:pPr>
                        <w:pStyle w:val="2"/>
                        <w:kinsoku/>
                        <w:ind w:left="0"/>
                        <w:jc w:val="left"/>
                      </w:pPr>
                      <w:r>
                        <w:rPr>
                          <w:rFonts w:asciiTheme="minorAscii" w:hAnsiTheme="minorBidi" w:eastAsiaTheme="minorEastAsia"/>
                          <w:color w:val="000000" w:themeColor="text1"/>
                          <w:kern w:val="24"/>
                          <w:sz w:val="24"/>
                          <w:szCs w:val="24"/>
                          <w14:textFill>
                            <w14:solidFill>
                              <w14:schemeClr w14:val="tx1"/>
                            </w14:solidFill>
                          </w14:textFill>
                        </w:rPr>
                        <w:t>Adverse</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6788150</wp:posOffset>
                </wp:positionH>
                <wp:positionV relativeFrom="paragraph">
                  <wp:posOffset>6485255</wp:posOffset>
                </wp:positionV>
                <wp:extent cx="1213485" cy="275590"/>
                <wp:effectExtent l="0" t="0" r="0" b="0"/>
                <wp:wrapNone/>
                <wp:docPr id="88" name="文本框 87"/>
                <wp:cNvGraphicFramePr/>
                <a:graphic xmlns:a="http://schemas.openxmlformats.org/drawingml/2006/main">
                  <a:graphicData uri="http://schemas.microsoft.com/office/word/2010/wordprocessingShape">
                    <wps:wsp>
                      <wps:cNvSpPr txBox="1"/>
                      <wps:spPr>
                        <a:xfrm>
                          <a:off x="0" y="0"/>
                          <a:ext cx="1213485" cy="275590"/>
                        </a:xfrm>
                        <a:prstGeom prst="rect">
                          <a:avLst/>
                        </a:prstGeom>
                        <a:noFill/>
                      </wps:spPr>
                      <wps:txbx>
                        <w:txbxContent>
                          <w:p w14:paraId="1973DC01">
                            <w:pPr>
                              <w:pStyle w:val="2"/>
                              <w:kinsoku/>
                              <w:ind w:left="0"/>
                              <w:jc w:val="left"/>
                            </w:pPr>
                            <w:r>
                              <w:rPr>
                                <w:rFonts w:asciiTheme="minorAscii" w:hAnsiTheme="minorBidi" w:eastAsiaTheme="minorEastAsia"/>
                                <w:color w:val="000000" w:themeColor="text1"/>
                                <w:kern w:val="24"/>
                                <w:sz w:val="24"/>
                                <w:szCs w:val="24"/>
                                <w14:textFill>
                                  <w14:solidFill>
                                    <w14:schemeClr w14:val="tx1"/>
                                  </w14:solidFill>
                                </w14:textFill>
                              </w:rPr>
                              <w:t>Intermediate</w:t>
                            </w:r>
                          </w:p>
                        </w:txbxContent>
                      </wps:txbx>
                      <wps:bodyPr wrap="square" rtlCol="0">
                        <a:spAutoFit/>
                      </wps:bodyPr>
                    </wps:wsp>
                  </a:graphicData>
                </a:graphic>
              </wp:anchor>
            </w:drawing>
          </mc:Choice>
          <mc:Fallback>
            <w:pict>
              <v:shape id="文本框 87" o:spid="_x0000_s1026" o:spt="202" type="#_x0000_t202" style="position:absolute;left:0pt;margin-left:534.5pt;margin-top:510.65pt;height:21.7pt;width:95.55pt;z-index:251668480;mso-width-relative:page;mso-height-relative:page;" filled="f" stroked="f" coordsize="21600,21600" o:gfxdata="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KcaKknYAAAADwEAAA8AAAAAAAAAAQAgAAAAIgAAAGRycy9kb3ducmV2LnhtbFBL&#10;AQIUABQAAAAIAIdO4kD+KD4UvQEAAF8DAAAOAAAAAAAAAAEAIAAAACcBAABkcnMvZTJvRG9jLnht&#10;bFBLBQYAAAAABgAGAFkBAABWBQAAAAA=&#10;">
                <v:fill on="f" focussize="0,0"/>
                <v:stroke on="f"/>
                <v:imagedata o:title=""/>
                <o:lock v:ext="edit" aspectratio="f"/>
                <v:textbox style="mso-fit-shape-to-text:t;">
                  <w:txbxContent>
                    <w:p w14:paraId="1973DC01">
                      <w:pPr>
                        <w:pStyle w:val="2"/>
                        <w:kinsoku/>
                        <w:ind w:left="0"/>
                        <w:jc w:val="left"/>
                      </w:pPr>
                      <w:r>
                        <w:rPr>
                          <w:rFonts w:asciiTheme="minorAscii" w:hAnsiTheme="minorBidi" w:eastAsiaTheme="minorEastAsia"/>
                          <w:color w:val="000000" w:themeColor="text1"/>
                          <w:kern w:val="24"/>
                          <w:sz w:val="24"/>
                          <w:szCs w:val="24"/>
                          <w14:textFill>
                            <w14:solidFill>
                              <w14:schemeClr w14:val="tx1"/>
                            </w14:solidFill>
                          </w14:textFill>
                        </w:rPr>
                        <w:t>Intermediate</w:t>
                      </w:r>
                    </w:p>
                  </w:txbxContent>
                </v:textbox>
              </v:shape>
            </w:pict>
          </mc:Fallback>
        </mc:AlternateContent>
      </w:r>
      <w:r>
        <mc:AlternateContent>
          <mc:Choice Requires="wps">
            <w:drawing>
              <wp:anchor distT="0" distB="0" distL="114300" distR="114300" simplePos="0" relativeHeight="251669504" behindDoc="0" locked="0" layoutInCell="1" allowOverlap="1">
                <wp:simplePos x="0" y="0"/>
                <wp:positionH relativeFrom="column">
                  <wp:posOffset>7712710</wp:posOffset>
                </wp:positionH>
                <wp:positionV relativeFrom="paragraph">
                  <wp:posOffset>6485255</wp:posOffset>
                </wp:positionV>
                <wp:extent cx="808990" cy="275590"/>
                <wp:effectExtent l="0" t="0" r="0" b="0"/>
                <wp:wrapNone/>
                <wp:docPr id="89" name="文本框 88"/>
                <wp:cNvGraphicFramePr/>
                <a:graphic xmlns:a="http://schemas.openxmlformats.org/drawingml/2006/main">
                  <a:graphicData uri="http://schemas.microsoft.com/office/word/2010/wordprocessingShape">
                    <wps:wsp>
                      <wps:cNvSpPr txBox="1"/>
                      <wps:spPr>
                        <a:xfrm>
                          <a:off x="0" y="0"/>
                          <a:ext cx="808990" cy="275590"/>
                        </a:xfrm>
                        <a:prstGeom prst="rect">
                          <a:avLst/>
                        </a:prstGeom>
                        <a:noFill/>
                      </wps:spPr>
                      <wps:txbx>
                        <w:txbxContent>
                          <w:p w14:paraId="17D52C31">
                            <w:pPr>
                              <w:pStyle w:val="2"/>
                              <w:kinsoku/>
                              <w:ind w:left="0"/>
                              <w:jc w:val="left"/>
                            </w:pPr>
                            <w:r>
                              <w:rPr>
                                <w:rFonts w:asciiTheme="minorAscii" w:hAnsiTheme="minorBidi" w:eastAsiaTheme="minorEastAsia"/>
                                <w:color w:val="000000" w:themeColor="text1"/>
                                <w:kern w:val="24"/>
                                <w:sz w:val="24"/>
                                <w:szCs w:val="24"/>
                                <w14:textFill>
                                  <w14:solidFill>
                                    <w14:schemeClr w14:val="tx1"/>
                                  </w14:solidFill>
                                </w14:textFill>
                              </w:rPr>
                              <w:t>Adverse</w:t>
                            </w:r>
                          </w:p>
                        </w:txbxContent>
                      </wps:txbx>
                      <wps:bodyPr wrap="square" rtlCol="0">
                        <a:spAutoFit/>
                      </wps:bodyPr>
                    </wps:wsp>
                  </a:graphicData>
                </a:graphic>
              </wp:anchor>
            </w:drawing>
          </mc:Choice>
          <mc:Fallback>
            <w:pict>
              <v:shape id="文本框 88" o:spid="_x0000_s1026" o:spt="202" type="#_x0000_t202" style="position:absolute;left:0pt;margin-left:607.3pt;margin-top:510.65pt;height:21.7pt;width:63.7pt;z-index:251669504;mso-width-relative:page;mso-height-relative:page;" filled="f" stroked="f" coordsize="21600,21600" o:gfxdata="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Ku5seDZAAAADwEAAA8AAAAAAAAAAQAgAAAAIgAAAGRycy9kb3ducmV2LnhtbFBLAQIU&#10;ABQAAAAIAIdO4kBskVQBuQEAAF4DAAAOAAAAAAAAAAEAIAAAACgBAABkcnMvZTJvRG9jLnhtbFBL&#10;BQYAAAAABgAGAFkBAABTBQAAAAA=&#10;">
                <v:fill on="f" focussize="0,0"/>
                <v:stroke on="f"/>
                <v:imagedata o:title=""/>
                <o:lock v:ext="edit" aspectratio="f"/>
                <v:textbox style="mso-fit-shape-to-text:t;">
                  <w:txbxContent>
                    <w:p w14:paraId="17D52C31">
                      <w:pPr>
                        <w:pStyle w:val="2"/>
                        <w:kinsoku/>
                        <w:ind w:left="0"/>
                        <w:jc w:val="left"/>
                      </w:pPr>
                      <w:r>
                        <w:rPr>
                          <w:rFonts w:asciiTheme="minorAscii" w:hAnsiTheme="minorBidi" w:eastAsiaTheme="minorEastAsia"/>
                          <w:color w:val="000000" w:themeColor="text1"/>
                          <w:kern w:val="24"/>
                          <w:sz w:val="24"/>
                          <w:szCs w:val="24"/>
                          <w14:textFill>
                            <w14:solidFill>
                              <w14:schemeClr w14:val="tx1"/>
                            </w14:solidFill>
                          </w14:textFill>
                        </w:rPr>
                        <w:t>Adverse</w:t>
                      </w:r>
                    </w:p>
                  </w:txbxContent>
                </v:textbox>
              </v:shape>
            </w:pict>
          </mc:Fallback>
        </mc:AlternateContent>
      </w:r>
      <w:r>
        <mc:AlternateContent>
          <mc:Choice Requires="wps">
            <w:drawing>
              <wp:anchor distT="0" distB="0" distL="114300" distR="114300" simplePos="0" relativeHeight="251670528" behindDoc="0" locked="0" layoutInCell="1" allowOverlap="1">
                <wp:simplePos x="0" y="0"/>
                <wp:positionH relativeFrom="column">
                  <wp:posOffset>7195185</wp:posOffset>
                </wp:positionH>
                <wp:positionV relativeFrom="paragraph">
                  <wp:posOffset>5836285</wp:posOffset>
                </wp:positionV>
                <wp:extent cx="1905" cy="329565"/>
                <wp:effectExtent l="9525" t="0" r="26670" b="13335"/>
                <wp:wrapNone/>
                <wp:docPr id="91" name="直接连接符 90"/>
                <wp:cNvGraphicFramePr/>
                <a:graphic xmlns:a="http://schemas.openxmlformats.org/drawingml/2006/main">
                  <a:graphicData uri="http://schemas.microsoft.com/office/word/2010/wordprocessingShape">
                    <wps:wsp>
                      <wps:cNvCnPr/>
                      <wps:spPr>
                        <a:xfrm flipH="1">
                          <a:off x="0" y="0"/>
                          <a:ext cx="1905" cy="32956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接连接符 90" o:spid="_x0000_s1026" o:spt="20" style="position:absolute;left:0pt;flip:x;margin-left:566.55pt;margin-top:459.55pt;height:25.95pt;width:0.15pt;z-index:251670528;mso-width-relative:page;mso-height-relative:page;" filled="f" stroked="t" coordsize="21600,21600" o:gfxdata="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P&#10;7n7E1wAAAA0BAAAPAAAAAAAAAAEAIAAAACIAAABkcnMvZG93bnJldi54bWxQSwECFAAUAAAACACH&#10;TuJAcXd8q+wBAADAAwAADgAAAAAAAAABACAAAAAmAQAAZHJzL2Uyb0RvYy54bWxQSwUGAAAAAAYA&#10;BgBZAQAAhAUAAAAA&#10;">
                <v:fill on="f" focussize="0,0"/>
                <v:stroke weight="1.5pt" color="#000000 [3213]" miterlimit="8" joinstyle="miter"/>
                <v:imagedata o:title=""/>
                <o:lock v:ext="edit" aspectratio="f"/>
              </v:line>
            </w:pict>
          </mc:Fallback>
        </mc:AlternateContent>
      </w:r>
    </w:p>
    <w:p w14:paraId="0CB02062">
      <w:pPr>
        <w:widowControl/>
        <w:jc w:val="left"/>
        <w:rPr>
          <w:rFonts w:hint="eastAsia" w:ascii="Times-Roman" w:hAnsi="Times-Roman" w:eastAsia="Times-Roman" w:cs="Times-Roman"/>
          <w:color w:val="000000"/>
          <w:kern w:val="0"/>
          <w:sz w:val="22"/>
          <w:szCs w:val="22"/>
          <w:lang w:bidi="ar"/>
        </w:rPr>
      </w:pPr>
    </w:p>
    <w:p w14:paraId="3FA9A89D">
      <w:pPr>
        <w:widowControl/>
        <w:jc w:val="left"/>
        <w:rPr>
          <w:rFonts w:hint="eastAsia" w:ascii="Times-Roman" w:hAnsi="Times-Roman" w:eastAsia="Times-Roman" w:cs="Times-Roman"/>
          <w:color w:val="000000"/>
          <w:kern w:val="0"/>
          <w:sz w:val="22"/>
          <w:szCs w:val="22"/>
          <w:lang w:bidi="ar"/>
        </w:rPr>
      </w:pPr>
      <w:r>
        <w:drawing>
          <wp:inline distT="0" distB="0" distL="114300" distR="114300">
            <wp:extent cx="5272405" cy="4271645"/>
            <wp:effectExtent l="0" t="0" r="4445" b="14605"/>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4"/>
                    <a:stretch>
                      <a:fillRect/>
                    </a:stretch>
                  </pic:blipFill>
                  <pic:spPr>
                    <a:xfrm>
                      <a:off x="0" y="0"/>
                      <a:ext cx="5272405" cy="4271645"/>
                    </a:xfrm>
                    <a:prstGeom prst="rect">
                      <a:avLst/>
                    </a:prstGeom>
                    <a:noFill/>
                    <a:ln>
                      <a:noFill/>
                    </a:ln>
                  </pic:spPr>
                </pic:pic>
              </a:graphicData>
            </a:graphic>
          </wp:inline>
        </w:drawing>
      </w:r>
    </w:p>
    <w:p w14:paraId="7F26F182">
      <w:pPr>
        <w:widowControl/>
        <w:jc w:val="left"/>
        <w:rPr>
          <w:rFonts w:hint="default" w:eastAsia="宋体"/>
          <w:lang w:val="en-US" w:eastAsia="zh-CN"/>
        </w:rPr>
      </w:pPr>
      <w:r>
        <w:rPr>
          <w:rFonts w:hint="eastAsia" w:ascii="Times-Roman" w:hAnsi="Times-Roman" w:eastAsia="Times-Roman" w:cs="Times-Roman"/>
          <w:color w:val="000000"/>
          <w:kern w:val="0"/>
          <w:sz w:val="22"/>
          <w:szCs w:val="22"/>
          <w:lang w:bidi="ar"/>
        </w:rPr>
        <w:t>F</w:t>
      </w:r>
      <w:r>
        <w:rPr>
          <w:rFonts w:hint="eastAsia" w:ascii="Times-Roman" w:hAnsi="Times-Roman" w:eastAsia="宋体" w:cs="Times-Roman"/>
          <w:color w:val="000000"/>
          <w:kern w:val="0"/>
          <w:sz w:val="22"/>
          <w:szCs w:val="22"/>
          <w:lang w:val="en-US" w:eastAsia="zh-CN" w:bidi="ar"/>
        </w:rPr>
        <w:t>igure</w:t>
      </w:r>
      <w:r>
        <w:rPr>
          <w:rFonts w:hint="eastAsia" w:ascii="Times-Roman" w:hAnsi="Times-Roman" w:eastAsia="Times-Roman" w:cs="Times-Roman"/>
          <w:color w:val="000000"/>
          <w:kern w:val="0"/>
          <w:sz w:val="22"/>
          <w:szCs w:val="22"/>
          <w:lang w:bidi="ar"/>
        </w:rPr>
        <w:t xml:space="preserve"> </w:t>
      </w:r>
      <w:r>
        <w:rPr>
          <w:rFonts w:hint="eastAsia" w:ascii="Times-Roman" w:hAnsi="Times-Roman" w:eastAsia="Times-Roman" w:cs="Times-Roman"/>
          <w:color w:val="000000"/>
          <w:kern w:val="0"/>
          <w:sz w:val="22"/>
          <w:szCs w:val="22"/>
          <w:lang w:val="en-US" w:eastAsia="zh-CN" w:bidi="ar"/>
        </w:rPr>
        <w:t>S</w:t>
      </w:r>
      <w:r>
        <w:rPr>
          <w:rFonts w:hint="eastAsia" w:ascii="Times-Roman" w:hAnsi="Times-Roman" w:eastAsia="Times-Roman" w:cs="Times-Roman"/>
          <w:color w:val="000000"/>
          <w:kern w:val="0"/>
          <w:sz w:val="22"/>
          <w:szCs w:val="22"/>
          <w:lang w:bidi="ar"/>
        </w:rPr>
        <w:t xml:space="preserve">1| </w:t>
      </w:r>
      <w:bookmarkStart w:id="7" w:name="OLE_LINK3"/>
      <w:r>
        <w:rPr>
          <w:rFonts w:ascii="Times-Roman" w:hAnsi="Times-Roman" w:eastAsia="Times-Roman" w:cs="Times-Roman"/>
          <w:color w:val="000000"/>
          <w:kern w:val="0"/>
          <w:sz w:val="22"/>
          <w:szCs w:val="22"/>
          <w:lang w:bidi="ar"/>
        </w:rPr>
        <w:t>Study algorithm</w:t>
      </w:r>
      <w:r>
        <w:rPr>
          <w:rFonts w:hint="eastAsia" w:ascii="Times-Roman" w:hAnsi="Times-Roman" w:eastAsia="Times-Roman" w:cs="Times-Roman"/>
          <w:color w:val="000000"/>
          <w:kern w:val="0"/>
          <w:sz w:val="22"/>
          <w:szCs w:val="22"/>
          <w:lang w:bidi="ar"/>
        </w:rPr>
        <w:t>. There are four cohorts: TCGA-LAML cohort, GSE37642 cohort, Beat AML2.0 cohort and TARGET cohort. On the left is the discovery cohort (TCGA-AML)</w:t>
      </w:r>
      <w:r>
        <w:rPr>
          <w:rFonts w:hint="eastAsia" w:ascii="Times-Roman" w:hAnsi="Times-Roman" w:eastAsia="宋体" w:cs="Times-Roman"/>
          <w:color w:val="000000"/>
          <w:kern w:val="0"/>
          <w:sz w:val="22"/>
          <w:szCs w:val="22"/>
          <w:lang w:val="en-US" w:eastAsia="zh-CN" w:bidi="ar"/>
        </w:rPr>
        <w:t xml:space="preserve">. </w:t>
      </w:r>
      <w:r>
        <w:rPr>
          <w:rFonts w:hint="eastAsia" w:ascii="Times-Roman" w:hAnsi="Times-Roman" w:eastAsia="Times-Roman" w:cs="Times-Roman"/>
          <w:color w:val="000000"/>
          <w:kern w:val="0"/>
          <w:sz w:val="22"/>
          <w:szCs w:val="22"/>
          <w:lang w:bidi="ar"/>
        </w:rPr>
        <w:t>On the right, there are three validation cohorts: GSE37642 cohort, Beat AML2.0 and TARGET, totally enrolled 1</w:t>
      </w:r>
      <w:r>
        <w:rPr>
          <w:rFonts w:hint="eastAsia" w:ascii="Times-Roman" w:hAnsi="Times-Roman" w:eastAsia="宋体" w:cs="Times-Roman"/>
          <w:color w:val="000000"/>
          <w:kern w:val="0"/>
          <w:sz w:val="22"/>
          <w:szCs w:val="22"/>
          <w:lang w:val="en-US" w:eastAsia="zh-CN" w:bidi="ar"/>
        </w:rPr>
        <w:t>,537</w:t>
      </w:r>
      <w:r>
        <w:rPr>
          <w:rFonts w:hint="eastAsia" w:ascii="Times-Roman" w:hAnsi="Times-Roman" w:eastAsia="Times-Roman" w:cs="Times-Roman"/>
          <w:color w:val="000000"/>
          <w:kern w:val="0"/>
          <w:sz w:val="22"/>
          <w:szCs w:val="22"/>
          <w:lang w:bidi="ar"/>
        </w:rPr>
        <w:t xml:space="preserve"> AMLpatients</w:t>
      </w:r>
      <w:bookmarkEnd w:id="7"/>
    </w:p>
    <w:p w14:paraId="1C867A18">
      <w:pPr>
        <w:rPr>
          <w:rFonts w:hint="eastAsia" w:eastAsiaTheme="minorEastAsia"/>
          <w:lang w:eastAsia="zh-CN"/>
        </w:rPr>
      </w:pPr>
      <w:r>
        <w:rPr>
          <w:rFonts w:hint="eastAsia" w:eastAsiaTheme="minorEastAsia"/>
          <w:lang w:eastAsia="zh-CN"/>
        </w:rPr>
        <w:drawing>
          <wp:inline distT="0" distB="0" distL="114300" distR="114300">
            <wp:extent cx="5269230" cy="6073140"/>
            <wp:effectExtent l="0" t="0" r="7620" b="3810"/>
            <wp:docPr id="1" name="图片 1" descr="Fig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igure 2"/>
                    <pic:cNvPicPr>
                      <a:picLocks noChangeAspect="1"/>
                    </pic:cNvPicPr>
                  </pic:nvPicPr>
                  <pic:blipFill>
                    <a:blip r:embed="rId5"/>
                    <a:stretch>
                      <a:fillRect/>
                    </a:stretch>
                  </pic:blipFill>
                  <pic:spPr>
                    <a:xfrm>
                      <a:off x="0" y="0"/>
                      <a:ext cx="5269230" cy="6073140"/>
                    </a:xfrm>
                    <a:prstGeom prst="rect">
                      <a:avLst/>
                    </a:prstGeom>
                  </pic:spPr>
                </pic:pic>
              </a:graphicData>
            </a:graphic>
          </wp:inline>
        </w:drawing>
      </w:r>
    </w:p>
    <w:p w14:paraId="1499DCBF">
      <w:pPr>
        <w:keepNext w:val="0"/>
        <w:keepLines w:val="0"/>
        <w:pageBreakBefore w:val="0"/>
        <w:widowControl/>
        <w:kinsoku/>
        <w:wordWrap/>
        <w:overflowPunct/>
        <w:topLinePunct w:val="0"/>
        <w:autoSpaceDE/>
        <w:autoSpaceDN/>
        <w:bidi w:val="0"/>
        <w:adjustRightInd/>
        <w:snapToGrid/>
        <w:spacing w:line="240" w:lineRule="auto"/>
        <w:jc w:val="both"/>
        <w:textAlignment w:val="auto"/>
        <w:rPr>
          <w:rFonts w:ascii="Times New Roman" w:hAnsi="Times New Roman" w:cs="Times New Roman"/>
          <w:sz w:val="24"/>
          <w:szCs w:val="24"/>
        </w:rPr>
      </w:pPr>
      <w:r>
        <w:rPr>
          <w:rFonts w:ascii="Times New Roman" w:hAnsi="Times New Roman" w:cs="Times New Roman"/>
          <w:sz w:val="24"/>
          <w:szCs w:val="24"/>
        </w:rPr>
        <w:t>F</w:t>
      </w:r>
      <w:r>
        <w:rPr>
          <w:rFonts w:hint="eastAsia" w:ascii="Times New Roman" w:hAnsi="Times New Roman" w:cs="Times New Roman"/>
          <w:sz w:val="24"/>
          <w:szCs w:val="24"/>
          <w:lang w:val="en-US" w:eastAsia="zh-CN"/>
        </w:rPr>
        <w:t>igure</w:t>
      </w:r>
      <w:r>
        <w:rPr>
          <w:rFonts w:ascii="Times New Roman" w:hAnsi="Times New Roman" w:cs="Times New Roman"/>
          <w:sz w:val="24"/>
          <w:szCs w:val="24"/>
        </w:rPr>
        <w:t xml:space="preserve"> </w:t>
      </w:r>
      <w:r>
        <w:rPr>
          <w:rFonts w:hint="eastAsia" w:ascii="Times New Roman" w:hAnsi="Times New Roman" w:cs="Times New Roman"/>
          <w:sz w:val="24"/>
          <w:szCs w:val="24"/>
          <w:lang w:val="en-US" w:eastAsia="zh-CN"/>
        </w:rPr>
        <w:t>S</w:t>
      </w:r>
      <w:r>
        <w:rPr>
          <w:rFonts w:ascii="Times New Roman" w:hAnsi="Times New Roman" w:cs="Times New Roman"/>
          <w:sz w:val="24"/>
          <w:szCs w:val="24"/>
        </w:rPr>
        <w:t>2</w:t>
      </w:r>
      <w:r>
        <w:rPr>
          <w:rFonts w:hint="eastAsia" w:ascii="Times New Roman" w:hAnsi="Times New Roman" w:cs="Times New Roman"/>
          <w:sz w:val="24"/>
          <w:szCs w:val="24"/>
        </w:rPr>
        <w:t xml:space="preserve">| </w:t>
      </w:r>
      <w:r>
        <w:rPr>
          <w:rFonts w:ascii="Times New Roman" w:hAnsi="Times New Roman" w:cs="Times New Roman"/>
          <w:sz w:val="24"/>
          <w:szCs w:val="24"/>
        </w:rPr>
        <w:t>Construction of an ICD risk score model for patients with acute myeloid leukemia. (A) (B) Principal Component Analysis（PCA） plot before and after batch effect of TCGA, GEO, TARGET, and Beat AML databases. (C) Univariate Cox analysis to assess the prognostic value of ICD-related genes. (D)(E) Five genes linked to OS were identified in the TCGA-LAML cohort by Lasso Cox regression analysis.</w:t>
      </w:r>
    </w:p>
    <w:p w14:paraId="4E72D903">
      <w:pPr>
        <w:rPr>
          <w:rFonts w:hint="eastAsia" w:eastAsiaTheme="minorEastAsia"/>
          <w:lang w:eastAsia="zh-CN"/>
        </w:rPr>
      </w:pPr>
    </w:p>
    <w:p w14:paraId="13745E5A">
      <w:pPr>
        <w:rPr>
          <w:rFonts w:hint="eastAsia" w:eastAsiaTheme="minorEastAsia"/>
          <w:lang w:eastAsia="zh-CN"/>
        </w:rPr>
      </w:pPr>
      <w:r>
        <w:rPr>
          <w:rFonts w:hint="eastAsia" w:eastAsiaTheme="minorEastAsia"/>
          <w:lang w:eastAsia="zh-CN"/>
        </w:rPr>
        <w:drawing>
          <wp:inline distT="0" distB="0" distL="114300" distR="114300">
            <wp:extent cx="5269865" cy="6222365"/>
            <wp:effectExtent l="0" t="0" r="6985" b="6985"/>
            <wp:docPr id="3" name="图片 3" descr="figs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figs3-1"/>
                    <pic:cNvPicPr>
                      <a:picLocks noChangeAspect="1"/>
                    </pic:cNvPicPr>
                  </pic:nvPicPr>
                  <pic:blipFill>
                    <a:blip r:embed="rId6"/>
                    <a:stretch>
                      <a:fillRect/>
                    </a:stretch>
                  </pic:blipFill>
                  <pic:spPr>
                    <a:xfrm>
                      <a:off x="0" y="0"/>
                      <a:ext cx="5269865" cy="6222365"/>
                    </a:xfrm>
                    <a:prstGeom prst="rect">
                      <a:avLst/>
                    </a:prstGeom>
                  </pic:spPr>
                </pic:pic>
              </a:graphicData>
            </a:graphic>
          </wp:inline>
        </w:drawing>
      </w:r>
    </w:p>
    <w:p w14:paraId="636109F5">
      <w:pPr>
        <w:widowControl/>
        <w:spacing w:line="360" w:lineRule="auto"/>
        <w:jc w:val="left"/>
        <w:rPr>
          <w:rFonts w:hint="default" w:ascii="Times New Roman" w:hAnsi="Times New Roman" w:cs="Times New Roman"/>
          <w:sz w:val="21"/>
          <w:szCs w:val="21"/>
        </w:rPr>
      </w:pPr>
      <w:r>
        <w:rPr>
          <w:rFonts w:hint="default" w:ascii="Times New Roman" w:hAnsi="Times New Roman" w:cs="Times New Roman"/>
          <w:sz w:val="21"/>
          <w:szCs w:val="21"/>
        </w:rPr>
        <w:t>F</w:t>
      </w:r>
      <w:r>
        <w:rPr>
          <w:rFonts w:hint="eastAsia" w:ascii="Times New Roman" w:hAnsi="Times New Roman" w:cs="Times New Roman"/>
          <w:sz w:val="21"/>
          <w:szCs w:val="21"/>
          <w:lang w:val="en-US" w:eastAsia="zh-CN"/>
        </w:rPr>
        <w:t>igure</w:t>
      </w:r>
      <w:r>
        <w:rPr>
          <w:rFonts w:hint="default" w:ascii="Times New Roman" w:hAnsi="Times New Roman" w:cs="Times New Roman"/>
          <w:sz w:val="21"/>
          <w:szCs w:val="21"/>
        </w:rPr>
        <w:t xml:space="preserve"> S</w:t>
      </w:r>
      <w:r>
        <w:rPr>
          <w:rFonts w:hint="eastAsia" w:ascii="Times New Roman" w:hAnsi="Times New Roman" w:cs="Times New Roman"/>
          <w:sz w:val="21"/>
          <w:szCs w:val="21"/>
          <w:lang w:val="en-US" w:eastAsia="zh-CN"/>
        </w:rPr>
        <w:t>3</w:t>
      </w:r>
      <w:r>
        <w:rPr>
          <w:rFonts w:hint="default" w:ascii="Times New Roman" w:hAnsi="Times New Roman" w:cs="Times New Roman"/>
          <w:sz w:val="21"/>
          <w:szCs w:val="21"/>
        </w:rPr>
        <w:t xml:space="preserve">| Validating the ICD risk signature. </w:t>
      </w:r>
      <w:r>
        <w:rPr>
          <w:rFonts w:ascii="Times New Roman" w:hAnsi="Times New Roman" w:cs="Times New Roman"/>
          <w:sz w:val="21"/>
          <w:szCs w:val="21"/>
        </w:rPr>
        <w:t>Validating the ICD risk signature. (A</w:t>
      </w:r>
      <w:r>
        <w:rPr>
          <w:rFonts w:hint="eastAsia" w:ascii="Times New Roman" w:hAnsi="Times New Roman" w:cs="Times New Roman"/>
          <w:sz w:val="21"/>
          <w:szCs w:val="21"/>
          <w:lang w:val="en-US" w:eastAsia="zh-CN"/>
        </w:rPr>
        <w:t>, B</w:t>
      </w:r>
      <w:r>
        <w:rPr>
          <w:rFonts w:ascii="Times New Roman" w:hAnsi="Times New Roman" w:cs="Times New Roman"/>
          <w:sz w:val="21"/>
          <w:szCs w:val="21"/>
        </w:rPr>
        <w:t xml:space="preserve">) Overall survival, </w:t>
      </w:r>
      <w:r>
        <w:rPr>
          <w:rFonts w:hint="eastAsia" w:ascii="Times New Roman" w:hAnsi="Times New Roman" w:cs="Times New Roman"/>
          <w:sz w:val="21"/>
          <w:szCs w:val="21"/>
          <w:lang w:val="en-US" w:eastAsia="zh-CN"/>
        </w:rPr>
        <w:t>(C, D)</w:t>
      </w:r>
      <w:r>
        <w:rPr>
          <w:rFonts w:ascii="Times New Roman" w:hAnsi="Times New Roman" w:cs="Times New Roman"/>
          <w:sz w:val="21"/>
          <w:szCs w:val="21"/>
        </w:rPr>
        <w:t xml:space="preserve">risk scores distribution, </w:t>
      </w:r>
      <w:r>
        <w:rPr>
          <w:rFonts w:hint="eastAsia" w:ascii="Times New Roman" w:hAnsi="Times New Roman" w:cs="Times New Roman"/>
          <w:sz w:val="21"/>
          <w:szCs w:val="21"/>
          <w:lang w:val="en-US" w:eastAsia="zh-CN"/>
        </w:rPr>
        <w:t>(E, F)</w:t>
      </w:r>
      <w:r>
        <w:rPr>
          <w:rFonts w:ascii="Times New Roman" w:hAnsi="Times New Roman" w:cs="Times New Roman"/>
          <w:sz w:val="21"/>
          <w:szCs w:val="21"/>
        </w:rPr>
        <w:t xml:space="preserve">survival status of each patient, and </w:t>
      </w:r>
      <w:r>
        <w:rPr>
          <w:rFonts w:hint="eastAsia" w:ascii="Times New Roman" w:hAnsi="Times New Roman" w:cs="Times New Roman"/>
          <w:sz w:val="21"/>
          <w:szCs w:val="21"/>
          <w:lang w:val="en-US" w:eastAsia="zh-CN"/>
        </w:rPr>
        <w:t>(G, H)</w:t>
      </w:r>
      <w:r>
        <w:rPr>
          <w:rFonts w:ascii="Times New Roman" w:hAnsi="Times New Roman" w:cs="Times New Roman"/>
          <w:sz w:val="21"/>
          <w:szCs w:val="21"/>
        </w:rPr>
        <w:t xml:space="preserve">heatmaps of ICD risk signature in </w:t>
      </w:r>
      <w:r>
        <w:rPr>
          <w:rFonts w:hint="eastAsia" w:ascii="Times New Roman" w:hAnsi="Times New Roman" w:cs="Times New Roman"/>
          <w:sz w:val="21"/>
          <w:szCs w:val="21"/>
          <w:lang w:val="en-US" w:eastAsia="zh-CN"/>
        </w:rPr>
        <w:t>Beat AML2.0</w:t>
      </w:r>
      <w:r>
        <w:rPr>
          <w:rFonts w:ascii="Times New Roman" w:hAnsi="Times New Roman" w:cs="Times New Roman"/>
          <w:sz w:val="21"/>
          <w:szCs w:val="21"/>
        </w:rPr>
        <w:t xml:space="preserve"> cohort</w:t>
      </w:r>
      <w:r>
        <w:rPr>
          <w:rFonts w:hint="eastAsia" w:ascii="Times New Roman" w:hAnsi="Times New Roman" w:cs="Times New Roman"/>
          <w:sz w:val="21"/>
          <w:szCs w:val="21"/>
          <w:lang w:val="en-US" w:eastAsia="zh-CN"/>
        </w:rPr>
        <w:t xml:space="preserve"> and</w:t>
      </w:r>
      <w:r>
        <w:rPr>
          <w:rFonts w:ascii="Times New Roman" w:hAnsi="Times New Roman" w:cs="Times New Roman"/>
          <w:sz w:val="21"/>
          <w:szCs w:val="21"/>
        </w:rPr>
        <w:t xml:space="preserve"> </w:t>
      </w:r>
      <w:r>
        <w:rPr>
          <w:rFonts w:hint="eastAsia" w:ascii="Times New Roman" w:hAnsi="Times New Roman" w:cs="Times New Roman"/>
          <w:sz w:val="21"/>
          <w:szCs w:val="21"/>
          <w:lang w:val="en-US" w:eastAsia="zh-CN"/>
        </w:rPr>
        <w:t>TARGET cohort</w:t>
      </w:r>
      <w:r>
        <w:rPr>
          <w:rFonts w:ascii="Times New Roman" w:hAnsi="Times New Roman" w:cs="Times New Roman"/>
          <w:sz w:val="21"/>
          <w:szCs w:val="21"/>
        </w:rPr>
        <w:t>.</w:t>
      </w:r>
    </w:p>
    <w:p w14:paraId="00936BCB">
      <w:pPr>
        <w:widowControl/>
        <w:spacing w:line="360" w:lineRule="auto"/>
        <w:jc w:val="left"/>
        <w:rPr>
          <w:rFonts w:hint="default" w:ascii="Times New Roman" w:hAnsi="Times New Roman" w:cs="Times New Roman"/>
          <w:sz w:val="21"/>
          <w:szCs w:val="21"/>
        </w:rPr>
      </w:pPr>
    </w:p>
    <w:p w14:paraId="5BE5C9FF">
      <w:pPr>
        <w:widowControl/>
        <w:spacing w:line="360" w:lineRule="auto"/>
        <w:jc w:val="left"/>
        <w:rPr>
          <w:rFonts w:hint="default" w:ascii="Times New Roman" w:hAnsi="Times New Roman" w:cs="Times New Roman"/>
          <w:sz w:val="21"/>
          <w:szCs w:val="21"/>
        </w:rPr>
      </w:pPr>
    </w:p>
    <w:p w14:paraId="17FDC07D">
      <w:pPr>
        <w:widowControl/>
        <w:spacing w:line="360" w:lineRule="auto"/>
        <w:jc w:val="left"/>
        <w:rPr>
          <w:rFonts w:hint="default" w:ascii="Times New Roman" w:hAnsi="Times New Roman" w:cs="Times New Roman"/>
          <w:sz w:val="21"/>
          <w:szCs w:val="21"/>
        </w:rPr>
      </w:pPr>
    </w:p>
    <w:p w14:paraId="0F70B2CA">
      <w:pPr>
        <w:widowControl/>
        <w:spacing w:line="360" w:lineRule="auto"/>
        <w:jc w:val="left"/>
        <w:rPr>
          <w:rFonts w:hint="default" w:ascii="Times New Roman" w:hAnsi="Times New Roman" w:cs="Times New Roman"/>
          <w:sz w:val="21"/>
          <w:szCs w:val="21"/>
        </w:rPr>
      </w:pPr>
    </w:p>
    <w:p w14:paraId="0326E136">
      <w:pPr>
        <w:widowControl/>
        <w:spacing w:line="360" w:lineRule="auto"/>
        <w:jc w:val="left"/>
        <w:rPr>
          <w:rFonts w:hint="default" w:ascii="Times New Roman" w:hAnsi="Times New Roman" w:eastAsia="微软雅黑" w:cs="Times New Roman"/>
          <w:color w:val="000000" w:themeColor="text1"/>
          <w:kern w:val="0"/>
          <w:szCs w:val="21"/>
          <w:lang w:bidi="ar"/>
          <w14:textFill>
            <w14:solidFill>
              <w14:schemeClr w14:val="tx1"/>
            </w14:solidFill>
          </w14:textFill>
        </w:rPr>
      </w:pPr>
    </w:p>
    <w:p w14:paraId="0FFF49CD">
      <w:pPr>
        <w:widowControl/>
        <w:spacing w:line="360" w:lineRule="auto"/>
        <w:jc w:val="left"/>
        <w:rPr>
          <w:rFonts w:hint="default" w:ascii="Times New Roman" w:hAnsi="Times New Roman" w:eastAsia="微软雅黑" w:cs="Times New Roman"/>
          <w:color w:val="000000" w:themeColor="text1"/>
          <w:kern w:val="0"/>
          <w:sz w:val="21"/>
          <w:szCs w:val="21"/>
          <w:lang w:bidi="ar"/>
          <w14:textFill>
            <w14:solidFill>
              <w14:schemeClr w14:val="tx1"/>
            </w14:solidFill>
          </w14:textFill>
        </w:rPr>
      </w:pPr>
    </w:p>
    <w:p w14:paraId="3C59DD73">
      <w:r>
        <w:drawing>
          <wp:inline distT="0" distB="0" distL="114300" distR="114300">
            <wp:extent cx="5268595" cy="3699510"/>
            <wp:effectExtent l="0" t="0" r="8255" b="15240"/>
            <wp:docPr id="2" name="图片 2" descr="fig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igs2"/>
                    <pic:cNvPicPr>
                      <a:picLocks noChangeAspect="1"/>
                    </pic:cNvPicPr>
                  </pic:nvPicPr>
                  <pic:blipFill>
                    <a:blip r:embed="rId7"/>
                    <a:stretch>
                      <a:fillRect/>
                    </a:stretch>
                  </pic:blipFill>
                  <pic:spPr>
                    <a:xfrm>
                      <a:off x="0" y="0"/>
                      <a:ext cx="5268595" cy="3699510"/>
                    </a:xfrm>
                    <a:prstGeom prst="rect">
                      <a:avLst/>
                    </a:prstGeom>
                  </pic:spPr>
                </pic:pic>
              </a:graphicData>
            </a:graphic>
          </wp:inline>
        </w:drawing>
      </w:r>
    </w:p>
    <w:p w14:paraId="4F3009A9">
      <w:pPr>
        <w:rPr>
          <w:rFonts w:hint="eastAsia"/>
        </w:rPr>
      </w:pPr>
      <w:r>
        <w:rPr>
          <w:rFonts w:hint="default" w:ascii="Times New Roman" w:hAnsi="Times New Roman" w:cs="Times New Roman"/>
        </w:rPr>
        <w:t>F</w:t>
      </w:r>
      <w:r>
        <w:rPr>
          <w:rFonts w:hint="eastAsia" w:ascii="Times New Roman" w:hAnsi="Times New Roman" w:cs="Times New Roman"/>
          <w:lang w:val="en-US" w:eastAsia="zh-CN"/>
        </w:rPr>
        <w:t>igure</w:t>
      </w:r>
      <w:r>
        <w:rPr>
          <w:rFonts w:hint="default" w:ascii="Times New Roman" w:hAnsi="Times New Roman" w:cs="Times New Roman"/>
        </w:rPr>
        <w:t xml:space="preserve"> S</w:t>
      </w:r>
      <w:r>
        <w:rPr>
          <w:rFonts w:hint="eastAsia" w:ascii="Times New Roman" w:hAnsi="Times New Roman" w:cs="Times New Roman"/>
          <w:lang w:val="en-US" w:eastAsia="zh-CN"/>
        </w:rPr>
        <w:t>4</w:t>
      </w:r>
      <w:r>
        <w:rPr>
          <w:rFonts w:hint="default" w:ascii="Times New Roman" w:hAnsi="Times New Roman" w:cs="Times New Roman"/>
        </w:rPr>
        <w:t>| Somatic mutation analysis of TCGA-LAML patients.</w:t>
      </w:r>
      <w:r>
        <w:rPr>
          <w:rFonts w:hint="eastAsia"/>
        </w:rPr>
        <w:t xml:space="preserve"> </w:t>
      </w:r>
    </w:p>
    <w:p w14:paraId="38995CFD">
      <w:pPr>
        <w:rPr>
          <w:rFonts w:hint="eastAsia"/>
        </w:rPr>
      </w:pPr>
    </w:p>
    <w:p w14:paraId="5328FFF0"/>
    <w:p w14:paraId="4340956F">
      <w:pPr>
        <w:tabs>
          <w:tab w:val="left" w:pos="5428"/>
        </w:tabs>
        <w:jc w:val="left"/>
        <w:rPr>
          <w:rFonts w:ascii="Calibri" w:hAnsi="Calibri" w:cs="Calibri"/>
          <w:sz w:val="18"/>
          <w:szCs w:val="18"/>
        </w:rPr>
      </w:pPr>
    </w:p>
    <w:p w14:paraId="3791CD8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imes-Roman">
    <w:altName w:val="Times New Roman"/>
    <w:panose1 w:val="00000000000000000000"/>
    <w:charset w:val="00"/>
    <w:family w:val="auto"/>
    <w:pitch w:val="default"/>
    <w:sig w:usb0="00000000" w:usb1="00000000" w:usb2="00000000" w:usb3="00000000" w:csb0="00000000" w:csb1="00000000"/>
  </w:font>
  <w:font w:name="微软雅黑">
    <w:panose1 w:val="020B0503020204020204"/>
    <w:charset w:val="86"/>
    <w:family w:val="swiss"/>
    <w:pitch w:val="default"/>
    <w:sig w:usb0="80000287" w:usb1="2ACF3C50" w:usb2="00000016" w:usb3="00000000" w:csb0="0004001F" w:csb1="00000000"/>
  </w:font>
  <w:font w:name="MS UI Gothic">
    <w:panose1 w:val="020B0600070205080204"/>
    <w:charset w:val="80"/>
    <w:family w:val="auto"/>
    <w:pitch w:val="default"/>
    <w:sig w:usb0="E00002FF" w:usb1="6AC7FDFB" w:usb2="08000012" w:usb3="00000000" w:csb0="4002009F" w:csb1="DFD70000"/>
  </w:font>
  <w:font w:name="MingLiU-ExtB">
    <w:panose1 w:val="02020500000000000000"/>
    <w:charset w:val="88"/>
    <w:family w:val="auto"/>
    <w:pitch w:val="default"/>
    <w:sig w:usb0="8000002F" w:usb1="02000008" w:usb2="00000000" w:usb3="00000000" w:csb0="00100001" w:csb1="00000000"/>
  </w:font>
  <w:font w:name="等线 Light">
    <w:panose1 w:val="02010600030101010101"/>
    <w:charset w:val="86"/>
    <w:family w:val="auto"/>
    <w:pitch w:val="default"/>
    <w:sig w:usb0="A00002BF" w:usb1="38CF7CFA" w:usb2="00000016" w:usb3="00000000" w:csb0="0004000F" w:csb1="00000000"/>
  </w:font>
  <w:font w:name="华文宋体">
    <w:panose1 w:val="02010600040101010101"/>
    <w:charset w:val="86"/>
    <w:family w:val="auto"/>
    <w:pitch w:val="default"/>
    <w:sig w:usb0="00000287" w:usb1="080F0000" w:usb2="00000000" w:usb3="00000000" w:csb0="0004009F" w:csb1="DFD70000"/>
  </w:font>
  <w:font w:name="Malgun Gothic">
    <w:panose1 w:val="020B0503020000020004"/>
    <w:charset w:val="81"/>
    <w:family w:val="auto"/>
    <w:pitch w:val="default"/>
    <w:sig w:usb0="9000002F" w:usb1="29D77CFB" w:usb2="00000012" w:usb3="00000000" w:csb0="00080001" w:csb1="00000000"/>
  </w:font>
  <w:font w:name="楷体">
    <w:panose1 w:val="02010609060101010101"/>
    <w:charset w:val="86"/>
    <w:family w:val="auto"/>
    <w:pitch w:val="default"/>
    <w:sig w:usb0="800002BF" w:usb1="38CF7CFA" w:usb2="00000016" w:usb3="00000000" w:csb0="00040001" w:csb1="00000000"/>
  </w:font>
  <w:font w:name="汉仪中黑简">
    <w:panose1 w:val="02010600000101010101"/>
    <w:charset w:val="86"/>
    <w:family w:val="auto"/>
    <w:pitch w:val="default"/>
    <w:sig w:usb0="00000001" w:usb1="080E0800" w:usb2="00000002" w:usb3="00000000" w:csb0="00040000"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EF87E48"/>
    <w:multiLevelType w:val="multilevel"/>
    <w:tmpl w:val="3EF87E48"/>
    <w:lvl w:ilvl="0" w:tentative="0">
      <w:start w:val="1"/>
      <w:numFmt w:val="decimal"/>
      <w:lvlText w:val="%1."/>
      <w:lvlJc w:val="left"/>
      <w:pPr>
        <w:ind w:left="360" w:hanging="360"/>
      </w:pPr>
      <w:rPr>
        <w:rFonts w:hint="default"/>
        <w:b w:val="0"/>
        <w:bC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77D0852"/>
    <w:rsid w:val="67B97E09"/>
    <w:rsid w:val="777D0852"/>
    <w:rsid w:val="7EE555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rPr>
      <w:sz w:val="24"/>
    </w:rPr>
  </w:style>
  <w:style w:type="paragraph" w:styleId="5">
    <w:name w:val="List Paragraph"/>
    <w:basedOn w:val="1"/>
    <w:autoRedefine/>
    <w:qFormat/>
    <w:uiPriority w:val="34"/>
    <w:pPr>
      <w:widowControl w:val="0"/>
      <w:spacing w:line="240" w:lineRule="auto"/>
      <w:ind w:firstLine="420"/>
      <w:jc w:val="both"/>
    </w:pPr>
    <w:rPr>
      <w:rFonts w:asciiTheme="minorHAnsi" w:hAnsiTheme="minorHAnsi" w:eastAsiaTheme="minorEastAsia" w:cstheme="minorBidi"/>
      <w:sz w:val="21"/>
      <w:szCs w:val="22"/>
      <w:lang w:val="en-GB"/>
    </w:rPr>
  </w:style>
  <w:style w:type="character" w:customStyle="1" w:styleId="6">
    <w:name w:val="font01"/>
    <w:basedOn w:val="4"/>
    <w:autoRedefine/>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4.tiff"/><Relationship Id="rId6" Type="http://schemas.openxmlformats.org/officeDocument/2006/relationships/image" Target="media/image3.tiff"/><Relationship Id="rId5" Type="http://schemas.openxmlformats.org/officeDocument/2006/relationships/image" Target="media/image2.tiff"/><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633</Words>
  <Characters>3826</Characters>
  <Lines>0</Lines>
  <Paragraphs>0</Paragraphs>
  <TotalTime>9</TotalTime>
  <ScaleCrop>false</ScaleCrop>
  <LinksUpToDate>false</LinksUpToDate>
  <CharactersWithSpaces>4239</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2025-01-10T15:56:00Z</dcterms:created>
  <dc:creator>funny</dc:creator>
  <cp:lastModifiedBy>funny</cp:lastModifiedBy>
  <dcterms:modified xsi:type="dcterms:W3CDTF">2025-01-19T15:31:49Z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2FC6869D77F24B62BA2A1869410B0245_11</vt:lpwstr>
  </property>
  <property fmtid="{D5CDD505-2E9C-101B-9397-08002B2CF9AE}" pid="4" name="KSOTemplateDocerSaveRecord">
    <vt:lpwstr>eyJoZGlkIjoiZTcyNTgwYzU2NjRiNmVmOTQ2MWE2YjI3NzdmNTc1ZTkiLCJ1c2VySWQiOiIzMDEyMDgwMTAifQ==</vt:lpwstr>
  </property>
</Properties>
</file>