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uppressLineNumbers/>
        <w:spacing w:before="240" w:after="120"/>
        <w:jc w:val="center"/>
        <w:rPr>
          <w:rFonts w:ascii="Times New Roman" w:hAnsi="Times New Roman" w:eastAsia="Calibri" w:cs="Times New Roman"/>
          <w:i/>
          <w:kern w:val="0"/>
          <w:sz w:val="32"/>
          <w:szCs w:val="32"/>
          <w:lang w:eastAsia="en-US"/>
        </w:rPr>
      </w:pPr>
      <w:r>
        <w:rPr>
          <w:rFonts w:ascii="Times New Roman" w:hAnsi="Times New Roman" w:eastAsia="Calibri" w:cs="Times New Roman"/>
          <w:b/>
          <w:i/>
          <w:kern w:val="0"/>
          <w:sz w:val="32"/>
          <w:szCs w:val="32"/>
          <w:lang w:eastAsia="en-US"/>
        </w:rPr>
        <w:t>Supplementary Material</w:t>
      </w:r>
    </w:p>
    <w:p>
      <w:pPr>
        <w:pStyle w:val="6"/>
        <w:widowControl/>
        <w:numPr>
          <w:ilvl w:val="0"/>
          <w:numId w:val="1"/>
        </w:numPr>
        <w:tabs>
          <w:tab w:val="left" w:pos="567"/>
        </w:tabs>
        <w:spacing w:before="240" w:after="240"/>
        <w:ind w:left="567" w:hanging="567" w:firstLineChars="0"/>
        <w:jc w:val="left"/>
        <w:outlineLvl w:val="0"/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  <w:lang w:val="en-US" w:eastAsia="zh-CN"/>
        </w:rPr>
        <w:t>Table</w:t>
      </w: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 w:eastAsia="黑体" w:cs="Times New Roman"/>
          <w:b w:val="0"/>
          <w:bCs w:val="0"/>
          <w:sz w:val="20"/>
          <w:szCs w:val="20"/>
        </w:rPr>
      </w:pPr>
      <w:r>
        <w:rPr>
          <w:rFonts w:hint="eastAsia" w:ascii="Times New Roman" w:hAnsi="Times New Roman" w:eastAsia="黑体" w:cs="Times New Roman"/>
          <w:b w:val="0"/>
          <w:bCs w:val="0"/>
          <w:sz w:val="20"/>
          <w:szCs w:val="20"/>
        </w:rPr>
        <w:t>Table 1 Primer sequences used in qRT-RCR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677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745" w:type="dxa"/>
            <w:tcBorders>
              <w:top w:val="single" w:color="auto" w:sz="1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Primer </w:t>
            </w:r>
          </w:p>
        </w:tc>
        <w:tc>
          <w:tcPr>
            <w:tcW w:w="6777" w:type="dxa"/>
            <w:tcBorders>
              <w:top w:val="single" w:color="auto" w:sz="1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Sequence (5'-3')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745" w:type="dxa"/>
            <w:vMerge w:val="restart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U6</w:t>
            </w:r>
          </w:p>
        </w:tc>
        <w:tc>
          <w:tcPr>
            <w:tcW w:w="6777" w:type="dxa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Forward-CTCGCTTCGGCAGCACA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745" w:type="dxa"/>
            <w:vMerge w:val="continue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Reverse-AACGCTTCACGAATTTGCGT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45" w:type="dxa"/>
            <w:vMerge w:val="restart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miR-7</w:t>
            </w:r>
          </w:p>
        </w:tc>
        <w:tc>
          <w:tcPr>
            <w:tcW w:w="6777" w:type="dxa"/>
            <w:tcBorders>
              <w:top w:val="single" w:color="auto" w:sz="2" w:space="0"/>
              <w:left w:val="nil"/>
              <w:right w:val="nil"/>
            </w:tcBorders>
            <w:vAlign w:val="center"/>
          </w:tcPr>
          <w:p>
            <w:pPr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Forward-CGC GCT GGA AGA CTA GTG 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745" w:type="dxa"/>
            <w:vMerge w:val="continue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Reverse-GTG CAG GGT CCG AGG 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45" w:type="dxa"/>
            <w:vMerge w:val="restart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18S</w:t>
            </w:r>
          </w:p>
        </w:tc>
        <w:tc>
          <w:tcPr>
            <w:tcW w:w="6777" w:type="dxa"/>
            <w:tcBorders>
              <w:top w:val="single" w:color="auto" w:sz="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Forward-GTAACCCGTTGAACCCCATT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745" w:type="dxa"/>
            <w:vMerge w:val="continue"/>
            <w:tcBorders>
              <w:top w:val="single" w:color="auto" w:sz="2" w:space="0"/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Reverse-CCATCCAATCGGTAGTAGCG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745" w:type="dxa"/>
            <w:vMerge w:val="restart"/>
            <w:tcBorders>
              <w:top w:val="single" w:color="auto" w:sz="2" w:space="0"/>
              <w:left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scaffold</w:t>
            </w:r>
          </w:p>
        </w:tc>
        <w:tc>
          <w:tcPr>
            <w:tcW w:w="67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Forward-ACGTAGCTCAGTTGGTTAGAGCAG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745" w:type="dxa"/>
            <w:vMerge w:val="continue"/>
            <w:tcBorders>
              <w:left w:val="nil"/>
              <w:bottom w:val="single" w:color="auto" w:sz="2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Reverse- GTGGCTACGACGGGATTCGA</w:t>
            </w:r>
          </w:p>
        </w:tc>
      </w:tr>
    </w:tbl>
    <w:p>
      <w:pP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  <w:br w:type="page"/>
      </w:r>
    </w:p>
    <w:p>
      <w:pPr>
        <w:pStyle w:val="6"/>
        <w:widowControl/>
        <w:numPr>
          <w:ilvl w:val="0"/>
          <w:numId w:val="1"/>
        </w:numPr>
        <w:tabs>
          <w:tab w:val="left" w:pos="567"/>
        </w:tabs>
        <w:spacing w:before="240" w:after="240"/>
        <w:ind w:left="567" w:hanging="567" w:firstLineChars="0"/>
        <w:jc w:val="left"/>
        <w:outlineLvl w:val="0"/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</w:pPr>
      <w:bookmarkStart w:id="4" w:name="_GoBack"/>
      <w:bookmarkEnd w:id="4"/>
      <w: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  <w:t>Supplementary F</w:t>
      </w:r>
      <w:r>
        <w:rPr>
          <w:rFonts w:hint="eastAsia" w:ascii="Times New Roman" w:hAnsi="Times New Roman" w:eastAsia="Cambria" w:cs="Times New Roman"/>
          <w:b/>
          <w:kern w:val="0"/>
          <w:sz w:val="24"/>
          <w:szCs w:val="24"/>
          <w:lang w:eastAsia="en-US"/>
        </w:rPr>
        <w:t>igure</w:t>
      </w:r>
      <w: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  <w:t xml:space="preserve"> </w:t>
      </w:r>
    </w:p>
    <w:p>
      <w:pPr>
        <w:pStyle w:val="6"/>
        <w:widowControl/>
        <w:spacing w:before="240" w:after="240"/>
        <w:ind w:firstLine="0" w:firstLineChars="0"/>
        <w:jc w:val="center"/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  <w:drawing>
          <wp:inline distT="0" distB="0" distL="0" distR="0">
            <wp:extent cx="5257165" cy="4319905"/>
            <wp:effectExtent l="0" t="0" r="635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440" cy="43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widowControl/>
        <w:spacing w:before="120" w:after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Figure S1.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  <w:bookmarkStart w:id="0" w:name="OLE_LINK4"/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Bio-engineered miR-7 was produced using novel hybrid tRNA scaffold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(A)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The CentroidFold online tool was used to predict the secondary structure of miR-7; </w:t>
      </w:r>
      <w:bookmarkEnd w:id="0"/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(B)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The expression of </w:t>
      </w:r>
      <w:bookmarkStart w:id="1" w:name="_Hlk92915533"/>
      <w:r>
        <w:rPr>
          <w:rFonts w:ascii="Times New Roman" w:hAnsi="Times New Roman" w:eastAsia="黑体" w:cs="Times New Roman"/>
          <w:color w:val="000000"/>
          <w:sz w:val="24"/>
          <w:szCs w:val="24"/>
        </w:rPr>
        <w:t>bio-engineered miR-7</w:t>
      </w:r>
      <w:bookmarkEnd w:id="1"/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was detected by PAGE; 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(C)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Bio-engineered miR-7 was purified by FPLC chromatography; 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(D)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The purity of bio-engineered miR-7 was evaluated by PAGE; 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(E)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>q</w:t>
      </w:r>
      <w:r>
        <w:rPr>
          <w:rFonts w:ascii="Times New Roman" w:hAnsi="Times New Roman" w:eastAsia="黑体" w:cs="Times New Roman"/>
          <w:color w:val="000000"/>
          <w:kern w:val="0"/>
          <w:sz w:val="24"/>
          <w:szCs w:val="24"/>
        </w:rPr>
        <w:t xml:space="preserve">RT-PCR was employed to detect the expression of </w:t>
      </w:r>
      <w:r>
        <w:rPr>
          <w:rFonts w:ascii="Times New Roman" w:hAnsi="Times New Roman" w:cs="Times New Roman"/>
          <w:color w:val="000000"/>
          <w:sz w:val="24"/>
          <w:szCs w:val="24"/>
        </w:rPr>
        <w:t>bio-engineered miR-7 and tRNA scaffold</w:t>
      </w:r>
      <w:r>
        <w:rPr>
          <w:rFonts w:ascii="Times New Roman" w:hAnsi="Times New Roman" w:eastAsia="黑体" w:cs="Times New Roman"/>
          <w:color w:val="000000"/>
          <w:kern w:val="0"/>
          <w:sz w:val="24"/>
          <w:szCs w:val="24"/>
        </w:rPr>
        <w:t xml:space="preserve"> in NSCLC cell lines 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(A549 cells, H441 cells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a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>nd H1299 cells</w:t>
      </w:r>
      <w:r>
        <w:rPr>
          <w:rFonts w:ascii="Times New Roman" w:hAnsi="Times New Roman" w:eastAsia="黑体" w:cs="Times New Roman"/>
          <w:color w:val="000000"/>
          <w:sz w:val="24"/>
          <w:szCs w:val="24"/>
          <w:lang w:bidi="ar"/>
        </w:rPr>
        <w:t>)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  <w:lang w:bidi="ar"/>
        </w:rPr>
        <w:t>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  <w:bookmarkStart w:id="2" w:name="_Hlk93345758"/>
      <w:r>
        <w:rPr>
          <w:rFonts w:ascii="Times New Roman" w:hAnsi="Times New Roman" w:eastAsia="黑体" w:cs="Times New Roman"/>
          <w:color w:val="000000"/>
          <w:kern w:val="0"/>
          <w:sz w:val="24"/>
          <w:szCs w:val="24"/>
        </w:rPr>
        <w:t xml:space="preserve">Data were represented as mean ± SD. Significances were determined using student’s t-test between two groups. </w:t>
      </w:r>
      <w:r>
        <w:rPr>
          <w:rFonts w:ascii="Times New Roman" w:hAnsi="Times New Roman" w:eastAsia="黑体" w:cs="Times New Roman"/>
          <w:i/>
          <w:iCs/>
          <w:color w:val="000000"/>
          <w:kern w:val="0"/>
          <w:sz w:val="24"/>
          <w:szCs w:val="24"/>
        </w:rPr>
        <w:t>P</w:t>
      </w:r>
      <w:r>
        <w:rPr>
          <w:rFonts w:ascii="Times New Roman" w:hAnsi="Times New Roman" w:eastAsia="黑体" w:cs="Times New Roman"/>
          <w:color w:val="000000"/>
          <w:kern w:val="0"/>
          <w:sz w:val="24"/>
          <w:szCs w:val="24"/>
        </w:rPr>
        <w:t xml:space="preserve"> value less than 0.05 was considered significant in all cases (</w:t>
      </w:r>
      <w:r>
        <w:rPr>
          <w:rFonts w:ascii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&lt;0.001).</w:t>
      </w:r>
      <w:bookmarkEnd w:id="2"/>
    </w:p>
    <w:p>
      <w:pPr>
        <w:widowControl/>
        <w:spacing w:before="120" w:after="240"/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  <w:drawing>
          <wp:inline distT="0" distB="0" distL="114300" distR="114300">
            <wp:extent cx="4953635" cy="2106930"/>
            <wp:effectExtent l="0" t="0" r="18415" b="7620"/>
            <wp:docPr id="4" name="图片 4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63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240" w:after="240"/>
        <w:ind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  <w:highlight w:val="none"/>
        </w:rPr>
        <w:t>Figure S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  <w:highlight w:val="none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  <w:t>Representative images of the lung luminance signals of nude mice detecting by Caliper IVIS Lumina II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  <w:t>.</w:t>
      </w:r>
    </w:p>
    <w:p>
      <w:pPr>
        <w:pStyle w:val="6"/>
        <w:widowControl/>
        <w:spacing w:before="240" w:after="240"/>
        <w:ind w:firstLine="0" w:firstLineChars="0"/>
        <w:jc w:val="left"/>
        <w:rPr>
          <w:rFonts w:ascii="Times New Roman" w:hAnsi="Times New Roman" w:eastAsia="Cambria" w:cs="Times New Roman"/>
          <w:b/>
          <w:kern w:val="0"/>
          <w:sz w:val="24"/>
          <w:szCs w:val="24"/>
          <w:lang w:eastAsia="en-US"/>
        </w:rPr>
      </w:pPr>
      <w:r>
        <w:drawing>
          <wp:inline distT="0" distB="0" distL="0" distR="0">
            <wp:extent cx="4791710" cy="3482340"/>
            <wp:effectExtent l="0" t="0" r="889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240" w:after="240"/>
        <w:ind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D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ownstream targets and signal pathways of miR-7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 were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predicted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 by b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ioinformatics.</w:t>
      </w:r>
    </w:p>
    <w:p>
      <w:pPr>
        <w:pStyle w:val="6"/>
        <w:widowControl/>
        <w:spacing w:before="240" w:after="240"/>
        <w:ind w:firstLine="0" w:firstLineChars="0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drawing>
          <wp:inline distT="0" distB="0" distL="114300" distR="114300">
            <wp:extent cx="5273675" cy="2560955"/>
            <wp:effectExtent l="0" t="0" r="3175" b="10795"/>
            <wp:docPr id="6" name="图片 6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before="120" w:after="240"/>
        <w:rPr>
          <w:rFonts w:ascii="Times New Roman" w:hAnsi="Times New Roman" w:eastAsia="黑体" w:cs="Times New Roman"/>
          <w:color w:val="000000"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. </w:t>
      </w:r>
      <w:bookmarkStart w:id="3" w:name="_Hlk104221724"/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The expression of Akt1, Akt2, Akt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, and p53 in the NSCLC cells</w:t>
      </w:r>
      <w:bookmarkEnd w:id="3"/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The expression of Akt1, Akt2, Akt3, and p53 was assessed by qPCR in the NSCLC cells.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Data were represented as mean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±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SD. Significances were determined using student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>’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s t-test between two groups. 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 value less than 0.05 was considered significant in all cases (*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＜0.05, ***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&lt; 0.001).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</w:p>
    <w:p>
      <w:pPr>
        <w:widowControl/>
        <w:spacing w:before="120" w:after="240"/>
        <w:jc w:val="center"/>
        <w:rPr>
          <w:rFonts w:ascii="Times New Roman" w:hAnsi="Times New Roman" w:eastAsia="黑体" w:cs="Times New Roman"/>
          <w:color w:val="000000"/>
          <w:sz w:val="24"/>
          <w:szCs w:val="24"/>
        </w:rPr>
      </w:pPr>
      <w:r>
        <w:drawing>
          <wp:inline distT="0" distB="0" distL="0" distR="0">
            <wp:extent cx="4911725" cy="3585845"/>
            <wp:effectExtent l="0" t="0" r="3175" b="0"/>
            <wp:docPr id="489826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2639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9"/>
                    <a:stretch>
                      <a:fillRect/>
                    </a:stretch>
                  </pic:blipFill>
                  <pic:spPr>
                    <a:xfrm>
                      <a:off x="0" y="0"/>
                      <a:ext cx="491200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20" w:after="240"/>
        <w:rPr>
          <w:rFonts w:ascii="Times New Roman" w:hAnsi="Times New Roman" w:eastAsia="黑体" w:cs="Times New Roman"/>
          <w:color w:val="000000"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</w:rPr>
        <w:t>Western blot analysis of protein expression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Data were represented as mean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±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SD. Significances were determined using student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>’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s t-test between two groups. 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 value less than 0.05 was considered significant in all cases (*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＜0.05, **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&lt; 0.01).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</w:p>
    <w:p>
      <w:pPr>
        <w:widowControl/>
        <w:spacing w:before="120" w:after="240"/>
        <w:jc w:val="center"/>
        <w:rPr>
          <w:rFonts w:ascii="Times New Roman" w:hAnsi="Times New Roman" w:eastAsia="黑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drawing>
          <wp:inline distT="0" distB="0" distL="114300" distR="114300">
            <wp:extent cx="4522470" cy="2601595"/>
            <wp:effectExtent l="0" t="0" r="11430" b="8255"/>
            <wp:docPr id="2" name="图片 2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247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before="120" w:after="240"/>
        <w:rPr>
          <w:rFonts w:ascii="Times New Roman" w:hAnsi="Times New Roman" w:eastAsia="黑体" w:cs="Times New Roman"/>
          <w:color w:val="000000"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黑体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</w:rPr>
        <w:t>The cell viability of NSCLC after exposure to bio-engineered miR-7 and Akt3 overexpression plasmids as detected by CCK8 kit</w:t>
      </w:r>
      <w:r>
        <w:rPr>
          <w:rFonts w:hint="eastAsia" w:ascii="Times New Roman" w:hAnsi="Times New Roman" w:eastAsia="黑体" w:cs="Times New Roman"/>
          <w:b/>
          <w:bCs/>
          <w:color w:val="000000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Data were represented as mean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± 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SD. Significances were determined using student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>’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s t-test between two groups. 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 xml:space="preserve"> value less than 0.05 was considered significant in all cases (**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＜0.01, ***</w:t>
      </w:r>
      <w:r>
        <w:rPr>
          <w:rFonts w:hint="eastAsia" w:ascii="Times New Roman" w:hAnsi="Times New Roman" w:eastAsia="黑体" w:cs="Times New Roman"/>
          <w:i/>
          <w:iCs/>
          <w:color w:val="000000"/>
          <w:sz w:val="24"/>
          <w:szCs w:val="24"/>
        </w:rPr>
        <w:t>P</w:t>
      </w:r>
      <w:r>
        <w:rPr>
          <w:rFonts w:hint="eastAsia" w:ascii="Times New Roman" w:hAnsi="Times New Roman" w:eastAsia="黑体" w:cs="Times New Roman"/>
          <w:color w:val="000000"/>
          <w:sz w:val="24"/>
          <w:szCs w:val="24"/>
        </w:rPr>
        <w:t>&lt; 0.001).</w:t>
      </w:r>
      <w:r>
        <w:rPr>
          <w:rFonts w:ascii="Times New Roman" w:hAnsi="Times New Roman" w:eastAsia="黑体" w:cs="Times New Roman"/>
          <w:color w:val="000000"/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C0093"/>
    <w:multiLevelType w:val="multilevel"/>
    <w:tmpl w:val="004C0093"/>
    <w:lvl w:ilvl="0" w:tentative="0">
      <w:start w:val="1"/>
      <w:numFmt w:val="decimal"/>
      <w:lvlText w:val="%1 "/>
      <w:lvlJc w:val="left"/>
      <w:pPr>
        <w:ind w:left="16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2Y2M2ODc2NTM3ZGExMjIwMzk3MTg5YWI0MGU5MWEifQ=="/>
  </w:docVars>
  <w:rsids>
    <w:rsidRoot w:val="002D0243"/>
    <w:rsid w:val="000101BE"/>
    <w:rsid w:val="00011DBC"/>
    <w:rsid w:val="00025789"/>
    <w:rsid w:val="001A4EC0"/>
    <w:rsid w:val="00200B67"/>
    <w:rsid w:val="002B6E83"/>
    <w:rsid w:val="002D0243"/>
    <w:rsid w:val="0032479A"/>
    <w:rsid w:val="003573CA"/>
    <w:rsid w:val="0038790D"/>
    <w:rsid w:val="004161CD"/>
    <w:rsid w:val="00481EF0"/>
    <w:rsid w:val="004A2A30"/>
    <w:rsid w:val="004E3F37"/>
    <w:rsid w:val="004F00C1"/>
    <w:rsid w:val="0052077B"/>
    <w:rsid w:val="00736445"/>
    <w:rsid w:val="0074385A"/>
    <w:rsid w:val="007A1664"/>
    <w:rsid w:val="007D4EB0"/>
    <w:rsid w:val="00804BBE"/>
    <w:rsid w:val="008424D6"/>
    <w:rsid w:val="009E4143"/>
    <w:rsid w:val="00AC2252"/>
    <w:rsid w:val="00B43E08"/>
    <w:rsid w:val="00B54BB7"/>
    <w:rsid w:val="00BC0396"/>
    <w:rsid w:val="00BD28F9"/>
    <w:rsid w:val="00BF6C80"/>
    <w:rsid w:val="00C179A0"/>
    <w:rsid w:val="00C86E05"/>
    <w:rsid w:val="00CF7DA9"/>
    <w:rsid w:val="00D06076"/>
    <w:rsid w:val="00DB7C55"/>
    <w:rsid w:val="00FC23D8"/>
    <w:rsid w:val="00FF023F"/>
    <w:rsid w:val="01EA70AC"/>
    <w:rsid w:val="09EA03CF"/>
    <w:rsid w:val="14C6649B"/>
    <w:rsid w:val="15D815E8"/>
    <w:rsid w:val="24925629"/>
    <w:rsid w:val="27C16351"/>
    <w:rsid w:val="39D50E87"/>
    <w:rsid w:val="3C483609"/>
    <w:rsid w:val="4A362930"/>
    <w:rsid w:val="53852DC9"/>
    <w:rsid w:val="64B25800"/>
    <w:rsid w:val="66BA0236"/>
    <w:rsid w:val="671233FA"/>
    <w:rsid w:val="6CFF2F1C"/>
    <w:rsid w:val="778A70F6"/>
    <w:rsid w:val="7AE41C3A"/>
    <w:rsid w:val="7FA5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296</Words>
  <Characters>1594</Characters>
  <Lines>12</Lines>
  <Paragraphs>3</Paragraphs>
  <TotalTime>0</TotalTime>
  <ScaleCrop>false</ScaleCrop>
  <LinksUpToDate>false</LinksUpToDate>
  <CharactersWithSpaces>1880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2022-05-20T06:51:00Z</dcterms:created>
  <dc:creator>whisper</dc:creator>
  <cp:lastModifiedBy>蔡素娜</cp:lastModifiedBy>
  <dcterms:modified xsi:type="dcterms:W3CDTF">2024-07-10T13:25:59Z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B2988A1AB29D41B8B98B64ADB9738A44_13</vt:lpwstr>
  </property>
</Properties>
</file>