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56363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eastAsia="zh-CN"/>
        </w:rPr>
      </w:pPr>
    </w:p>
    <w:p w14:paraId="6325CA4B">
      <w:pPr>
        <w:spacing w:line="480" w:lineRule="auto"/>
        <w:jc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4574540" cy="4929505"/>
            <wp:effectExtent l="0" t="0" r="16510" b="4445"/>
            <wp:docPr id="3" name="图片 3" descr="P4HA2图(New)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4HA2图(New)_08"/>
                    <pic:cNvPicPr>
                      <a:picLocks noChangeAspect="1"/>
                    </pic:cNvPicPr>
                  </pic:nvPicPr>
                  <pic:blipFill>
                    <a:blip r:embed="rId4"/>
                    <a:srcRect t="10359" b="29026"/>
                    <a:stretch>
                      <a:fillRect/>
                    </a:stretch>
                  </pic:blipFill>
                  <pic:spPr>
                    <a:xfrm>
                      <a:off x="0" y="0"/>
                      <a:ext cx="457454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E5655">
      <w:pPr>
        <w:spacing w:line="480" w:lineRule="auto"/>
        <w:jc w:val="left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Cambria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</w:rPr>
        <w:t>Supplementary Figure 1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 A</w:t>
      </w:r>
      <w:bookmarkStart w:id="0" w:name="OLE_LINK10"/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The relative P4HA2 mRNA level in BHP10-3</w:t>
      </w:r>
      <w:bookmarkEnd w:id="0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and TPC-1 cell lines after P4HA2 overexpression.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B.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The relative P4HA2 mRNA level in BHP10-3 and TPC-1 cell lines after P4HA2 knockdown.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C.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A volcano plot of DEGs between control and P4HA2 overexpressing BHP10-3 cell lines from RNA sequencing is shown.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bookmarkStart w:id="3" w:name="_GoBack"/>
      <w:bookmarkEnd w:id="3"/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D.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The relative P4HA2 and </w:t>
      </w:r>
      <w:r>
        <w:rPr>
          <w:rFonts w:ascii="Times New Roman" w:hAnsi="Times New Roman" w:eastAsia="宋体" w:cs="Times New Roman"/>
          <w:b w:val="0"/>
          <w:bCs w:val="0"/>
          <w:szCs w:val="21"/>
        </w:rPr>
        <w:t>IκBα</w:t>
      </w:r>
      <w:r>
        <w:rPr>
          <w:rFonts w:hint="eastAsia" w:ascii="Times New Roman" w:hAnsi="Times New Roman" w:eastAsia="宋体" w:cs="Times New Roman"/>
          <w:b w:val="0"/>
          <w:bCs w:val="0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mRNA level in BHP10-3 cell lines.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E.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The qPCR analyse of the mRNA levels of NF-</w:t>
      </w:r>
      <w:r>
        <w:rPr>
          <w:rFonts w:ascii="Times New Roman" w:hAnsi="Times New Roman" w:eastAsia="宋体" w:cs="Times New Roman"/>
          <w:b w:val="0"/>
          <w:bCs w:val="0"/>
          <w:szCs w:val="21"/>
        </w:rPr>
        <w:t>κ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B target genes.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F.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HA-UB plasmids with or without Flag-P4HA2 were transfected in BHP10-3 cells. Anti-</w:t>
      </w:r>
      <w:r>
        <w:rPr>
          <w:rFonts w:ascii="Times New Roman" w:hAnsi="Times New Roman" w:eastAsia="宋体" w:cs="Times New Roman"/>
          <w:b w:val="0"/>
          <w:bCs w:val="0"/>
          <w:szCs w:val="21"/>
        </w:rPr>
        <w:t>IκBα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beads were used to immunoprecipitate </w:t>
      </w:r>
      <w:r>
        <w:rPr>
          <w:rFonts w:ascii="Times New Roman" w:hAnsi="Times New Roman" w:eastAsia="宋体" w:cs="Times New Roman"/>
          <w:b w:val="0"/>
          <w:bCs w:val="0"/>
          <w:szCs w:val="21"/>
        </w:rPr>
        <w:t>IκBα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, then the Ub levels were detected by HA antibody.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G.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The cytotoxicity of the Bay 11-7082 was detected by CCK8 assay.</w:t>
      </w:r>
    </w:p>
    <w:p w14:paraId="14CA2486">
      <w:pPr>
        <w:spacing w:line="480" w:lineRule="auto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</w:p>
    <w:p w14:paraId="77FE349D">
      <w:pPr>
        <w:spacing w:line="480" w:lineRule="auto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5266690" cy="5033010"/>
            <wp:effectExtent l="0" t="0" r="6350" b="11430"/>
            <wp:docPr id="2" name="图片 2" descr="Supplementary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99CE5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  <w:bookmarkStart w:id="1" w:name="OLE_LINK1"/>
      <w:r>
        <w:rPr>
          <w:rFonts w:hint="default" w:ascii="Times New Roman" w:hAnsi="Times New Roman" w:eastAsia="Cambria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2 A-B.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After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P4HA2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overexpression,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BHP10-3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212121"/>
          <w:szCs w:val="21"/>
          <w:shd w:val="clear" w:color="auto" w:fill="FFFFFF"/>
          <w:lang w:val="en-US" w:eastAsia="zh-CN"/>
        </w:rPr>
        <w:t>(A)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TPC-1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212121"/>
          <w:szCs w:val="21"/>
          <w:shd w:val="clear" w:color="auto" w:fill="FFFFFF"/>
          <w:lang w:val="en-US" w:eastAsia="zh-CN"/>
        </w:rPr>
        <w:t>(B)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cell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lines were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treated with BAY 11-7082 (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212121"/>
          <w:szCs w:val="21"/>
          <w:shd w:val="clear" w:color="auto" w:fill="FFFFFF"/>
        </w:rPr>
        <w:t>μM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)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>, and c</w:t>
      </w:r>
      <w:r>
        <w:rPr>
          <w:rFonts w:ascii="Times New Roman" w:hAnsi="Times New Roman" w:eastAsia="宋体" w:cs="Times New Roman"/>
          <w:color w:val="212121"/>
          <w:szCs w:val="21"/>
          <w:shd w:val="clear" w:color="auto" w:fill="FFFFFF"/>
        </w:rPr>
        <w:t>ell proliferation w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ere</w:t>
      </w:r>
      <w:r>
        <w:rPr>
          <w:rFonts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detected using EdU assays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. Three replicate wells were set up for each sample. </w:t>
      </w:r>
      <w:r>
        <w:rPr>
          <w:rFonts w:ascii="Times New Roman" w:hAnsi="Times New Roman" w:eastAsia="宋体" w:cs="Times New Roman"/>
          <w:b/>
          <w:bCs/>
          <w:color w:val="212121"/>
          <w:szCs w:val="21"/>
          <w:shd w:val="clear" w:color="auto" w:fill="FFFFFF"/>
        </w:rPr>
        <w:t>C</w:t>
      </w:r>
      <w:r>
        <w:rPr>
          <w:rFonts w:hint="eastAsia" w:ascii="Times New Roman" w:hAnsi="Times New Roman" w:eastAsia="宋体" w:cs="Times New Roman"/>
          <w:b/>
          <w:bCs/>
          <w:color w:val="212121"/>
          <w:szCs w:val="21"/>
          <w:shd w:val="clear" w:color="auto" w:fill="FFFFFF"/>
          <w:lang w:val="en-US" w:eastAsia="zh-CN"/>
        </w:rPr>
        <w:t>.</w:t>
      </w:r>
      <w:r>
        <w:rPr>
          <w:rFonts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After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P4HA2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overexpression,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BHP10-3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TPC-1 cell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 lines were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treated with BAY 11-7082 (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212121"/>
          <w:szCs w:val="21"/>
          <w:shd w:val="clear" w:color="auto" w:fill="FFFFFF"/>
        </w:rPr>
        <w:t>μM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>)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wound healing assays were used to detect the migration ability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 xml:space="preserve">. Three replicate wells were set up for each sample. </w:t>
      </w:r>
      <w:r>
        <w:rPr>
          <w:rFonts w:hint="eastAsia" w:ascii="Times New Roman" w:hAnsi="Times New Roman" w:eastAsia="宋体" w:cs="Times New Roman"/>
          <w:b/>
          <w:bCs/>
          <w:color w:val="212121"/>
          <w:szCs w:val="21"/>
          <w:shd w:val="clear" w:color="auto" w:fill="FFFFFF"/>
          <w:lang w:val="en-US" w:eastAsia="zh-CN"/>
        </w:rPr>
        <w:t xml:space="preserve">D.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The protein level of P4HA2, 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  <w:lang w:val="en-US" w:eastAsia="zh-CN"/>
        </w:rPr>
        <w:t>p65, pp65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color w:val="212121"/>
          <w:szCs w:val="21"/>
          <w:shd w:val="clear" w:color="auto" w:fill="FFFFFF"/>
        </w:rPr>
        <w:t xml:space="preserve"> and </w:t>
      </w:r>
      <w:r>
        <w:rPr>
          <w:rFonts w:ascii="Times New Roman" w:hAnsi="Times New Roman" w:eastAsia="宋体" w:cs="Times New Roman"/>
          <w:szCs w:val="21"/>
        </w:rPr>
        <w:t>IκBα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in </w:t>
      </w:r>
      <w:r>
        <w:rPr>
          <w:rFonts w:hint="default" w:ascii="Times New Roman" w:hAnsi="Times New Roman" w:eastAsia="Cambria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</w:rPr>
        <w:t>subcutaneous tumor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>s of different groups were detected by western blot analysis.</w:t>
      </w:r>
    </w:p>
    <w:p w14:paraId="70EDFBBF">
      <w:pPr>
        <w:pStyle w:val="4"/>
        <w:rPr>
          <w:rFonts w:hint="eastAsia"/>
          <w:lang w:val="en-US" w:eastAsia="zh-CN"/>
        </w:rPr>
      </w:pPr>
    </w:p>
    <w:p w14:paraId="08AD8AA0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  <w:bookmarkStart w:id="2" w:name="OLE_LINK2"/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Supplementary Table 1 The primers designed for RT-qPCR.</w:t>
      </w:r>
    </w:p>
    <w:bookmarkEnd w:id="2"/>
    <w:tbl>
      <w:tblPr>
        <w:tblStyle w:val="7"/>
        <w:tblW w:w="829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1"/>
        <w:gridCol w:w="5169"/>
      </w:tblGrid>
      <w:tr w14:paraId="2F0011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auto"/>
            <w:noWrap/>
          </w:tcPr>
          <w:p w14:paraId="68F30301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Primers</w:t>
            </w:r>
          </w:p>
        </w:tc>
        <w:tc>
          <w:tcPr>
            <w:tcW w:w="516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auto"/>
            <w:noWrap/>
          </w:tcPr>
          <w:p w14:paraId="16CB23F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equence（5'-3')</w:t>
            </w:r>
          </w:p>
        </w:tc>
      </w:tr>
      <w:tr w14:paraId="19B915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641E2F5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β-actin(h)-F</w:t>
            </w:r>
          </w:p>
        </w:tc>
        <w:tc>
          <w:tcPr>
            <w:tcW w:w="5169" w:type="dxa"/>
            <w:shd w:val="clear" w:color="auto" w:fill="auto"/>
            <w:noWrap/>
          </w:tcPr>
          <w:p w14:paraId="60ACF37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AGTTGCGTTACACCCTTTC</w:t>
            </w:r>
          </w:p>
        </w:tc>
      </w:tr>
      <w:tr w14:paraId="2062CE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3BF7166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β-actin(h)-R</w:t>
            </w:r>
          </w:p>
        </w:tc>
        <w:tc>
          <w:tcPr>
            <w:tcW w:w="5169" w:type="dxa"/>
            <w:shd w:val="clear" w:color="auto" w:fill="auto"/>
            <w:noWrap/>
          </w:tcPr>
          <w:p w14:paraId="5396911F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CCTTCACCGTTCCAGTTT</w:t>
            </w:r>
          </w:p>
        </w:tc>
      </w:tr>
      <w:tr w14:paraId="70D117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71D3C83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P4HA2(h)-F</w:t>
            </w:r>
          </w:p>
        </w:tc>
        <w:tc>
          <w:tcPr>
            <w:tcW w:w="5169" w:type="dxa"/>
            <w:shd w:val="clear" w:color="auto" w:fill="auto"/>
            <w:noWrap/>
          </w:tcPr>
          <w:p w14:paraId="546090D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CAAACTGGTGAAGCGGCTAAA</w:t>
            </w:r>
          </w:p>
        </w:tc>
      </w:tr>
      <w:tr w14:paraId="6AC925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6D1C06B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P4HA2(h)-R</w:t>
            </w:r>
          </w:p>
        </w:tc>
        <w:tc>
          <w:tcPr>
            <w:tcW w:w="5169" w:type="dxa"/>
            <w:shd w:val="clear" w:color="auto" w:fill="auto"/>
            <w:noWrap/>
          </w:tcPr>
          <w:p w14:paraId="23BE715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GCACAGAGAGGTTGGCGATA</w:t>
            </w:r>
          </w:p>
        </w:tc>
      </w:tr>
      <w:tr w14:paraId="283CE4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6195D04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Vimentin(h)-F</w:t>
            </w:r>
          </w:p>
        </w:tc>
        <w:tc>
          <w:tcPr>
            <w:tcW w:w="5169" w:type="dxa"/>
            <w:shd w:val="clear" w:color="auto" w:fill="auto"/>
            <w:noWrap/>
          </w:tcPr>
          <w:p w14:paraId="5D46AAE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AGTCCACTGAGTACCGGAGAC</w:t>
            </w:r>
          </w:p>
        </w:tc>
      </w:tr>
      <w:tr w14:paraId="773CAF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44FAAC3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Vimentin(h)-R</w:t>
            </w:r>
          </w:p>
        </w:tc>
        <w:tc>
          <w:tcPr>
            <w:tcW w:w="5169" w:type="dxa"/>
            <w:shd w:val="clear" w:color="auto" w:fill="auto"/>
            <w:noWrap/>
          </w:tcPr>
          <w:p w14:paraId="5846E05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CATTTCACGCATCTGGCGTTC</w:t>
            </w:r>
          </w:p>
        </w:tc>
      </w:tr>
      <w:tr w14:paraId="45483E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04D7986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E-cad(h)-F</w:t>
            </w:r>
          </w:p>
        </w:tc>
        <w:tc>
          <w:tcPr>
            <w:tcW w:w="5169" w:type="dxa"/>
            <w:shd w:val="clear" w:color="auto" w:fill="auto"/>
            <w:noWrap/>
          </w:tcPr>
          <w:p w14:paraId="7FBC9C0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CGGGAATGCAGTTGAGGATC</w:t>
            </w:r>
          </w:p>
        </w:tc>
      </w:tr>
      <w:tr w14:paraId="4F6AD0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1A8CFE2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E-cad(h)-R</w:t>
            </w:r>
          </w:p>
        </w:tc>
        <w:tc>
          <w:tcPr>
            <w:tcW w:w="5169" w:type="dxa"/>
            <w:shd w:val="clear" w:color="auto" w:fill="auto"/>
            <w:noWrap/>
          </w:tcPr>
          <w:p w14:paraId="50233DF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AGGATGGTGTAAGCGATGGC</w:t>
            </w:r>
          </w:p>
        </w:tc>
      </w:tr>
      <w:tr w14:paraId="0E84C1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466A21B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N-cad(h)-F</w:t>
            </w:r>
          </w:p>
        </w:tc>
        <w:tc>
          <w:tcPr>
            <w:tcW w:w="5169" w:type="dxa"/>
            <w:shd w:val="clear" w:color="auto" w:fill="auto"/>
            <w:noWrap/>
          </w:tcPr>
          <w:p w14:paraId="0D5AE37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AGCCAACCTTAACTGAGGAGT</w:t>
            </w:r>
          </w:p>
        </w:tc>
      </w:tr>
      <w:tr w14:paraId="1E8081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2B3B8B6B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N-cad(h)-R</w:t>
            </w:r>
          </w:p>
        </w:tc>
        <w:tc>
          <w:tcPr>
            <w:tcW w:w="5169" w:type="dxa"/>
            <w:shd w:val="clear" w:color="auto" w:fill="auto"/>
            <w:noWrap/>
          </w:tcPr>
          <w:p w14:paraId="2FC7D35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GAAACCGGGCTATCTGCTCG</w:t>
            </w:r>
          </w:p>
        </w:tc>
      </w:tr>
      <w:tr w14:paraId="378D8E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09985FB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p65(h)-F</w:t>
            </w:r>
          </w:p>
        </w:tc>
        <w:tc>
          <w:tcPr>
            <w:tcW w:w="5169" w:type="dxa"/>
            <w:shd w:val="clear" w:color="auto" w:fill="auto"/>
            <w:noWrap/>
          </w:tcPr>
          <w:p w14:paraId="3E79210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GAGCTACATTGCAACTAGAC</w:t>
            </w:r>
          </w:p>
        </w:tc>
      </w:tr>
      <w:tr w14:paraId="576C04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17FB672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p65(h)-R</w:t>
            </w:r>
          </w:p>
        </w:tc>
        <w:tc>
          <w:tcPr>
            <w:tcW w:w="5169" w:type="dxa"/>
            <w:shd w:val="clear" w:color="auto" w:fill="auto"/>
            <w:noWrap/>
          </w:tcPr>
          <w:p w14:paraId="2786598A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CTATGACCTACGACTGATCC</w:t>
            </w:r>
          </w:p>
        </w:tc>
      </w:tr>
      <w:tr w14:paraId="057CF8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0772D33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IKBA(h)-F</w:t>
            </w:r>
          </w:p>
        </w:tc>
        <w:tc>
          <w:tcPr>
            <w:tcW w:w="5169" w:type="dxa"/>
            <w:shd w:val="clear" w:color="auto" w:fill="auto"/>
            <w:noWrap/>
          </w:tcPr>
          <w:p w14:paraId="5D7C660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CACTCCATCCTGAAGGCTACCAA</w:t>
            </w:r>
          </w:p>
        </w:tc>
      </w:tr>
      <w:tr w14:paraId="329084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3121" w:type="dxa"/>
            <w:shd w:val="clear" w:color="auto" w:fill="auto"/>
            <w:noWrap/>
          </w:tcPr>
          <w:p w14:paraId="3F4F5D4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IKBA(h)-R</w:t>
            </w:r>
          </w:p>
        </w:tc>
        <w:tc>
          <w:tcPr>
            <w:tcW w:w="5169" w:type="dxa"/>
            <w:shd w:val="clear" w:color="auto" w:fill="auto"/>
            <w:noWrap/>
          </w:tcPr>
          <w:p w14:paraId="1B150E1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AAGGGCAGTCCGGCCATTA</w:t>
            </w:r>
          </w:p>
        </w:tc>
      </w:tr>
    </w:tbl>
    <w:p w14:paraId="363ED571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</w:p>
    <w:p w14:paraId="27F84779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</w:p>
    <w:bookmarkEnd w:id="1"/>
    <w:p w14:paraId="2BABE7A5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YzYmQyOGRhOWRjODcwNmM5Njg5MWE0MDZhZGUifQ=="/>
  </w:docVars>
  <w:rsids>
    <w:rsidRoot w:val="00000000"/>
    <w:rsid w:val="001D4FCD"/>
    <w:rsid w:val="021F4265"/>
    <w:rsid w:val="024537F2"/>
    <w:rsid w:val="02854844"/>
    <w:rsid w:val="02C97C86"/>
    <w:rsid w:val="03520BCD"/>
    <w:rsid w:val="067F2F17"/>
    <w:rsid w:val="10C93DA0"/>
    <w:rsid w:val="11C328FF"/>
    <w:rsid w:val="12B427A8"/>
    <w:rsid w:val="14B51BBB"/>
    <w:rsid w:val="14F42E29"/>
    <w:rsid w:val="18A46A59"/>
    <w:rsid w:val="216E6C4C"/>
    <w:rsid w:val="219312BA"/>
    <w:rsid w:val="29D14558"/>
    <w:rsid w:val="2A7130F6"/>
    <w:rsid w:val="2BED4347"/>
    <w:rsid w:val="2EC13E2B"/>
    <w:rsid w:val="2EDF7A32"/>
    <w:rsid w:val="30202BE6"/>
    <w:rsid w:val="3033778F"/>
    <w:rsid w:val="31D83EF6"/>
    <w:rsid w:val="33A8380B"/>
    <w:rsid w:val="33C63ED4"/>
    <w:rsid w:val="3425351D"/>
    <w:rsid w:val="361D410C"/>
    <w:rsid w:val="3993146D"/>
    <w:rsid w:val="3A2123BA"/>
    <w:rsid w:val="3CD2244C"/>
    <w:rsid w:val="41AC4FBA"/>
    <w:rsid w:val="422A57D8"/>
    <w:rsid w:val="43040491"/>
    <w:rsid w:val="46456C98"/>
    <w:rsid w:val="48364B02"/>
    <w:rsid w:val="4C19618D"/>
    <w:rsid w:val="4C7C4720"/>
    <w:rsid w:val="507E2F38"/>
    <w:rsid w:val="515B3246"/>
    <w:rsid w:val="54991712"/>
    <w:rsid w:val="57CA1B9E"/>
    <w:rsid w:val="60015AD7"/>
    <w:rsid w:val="603740B2"/>
    <w:rsid w:val="61252220"/>
    <w:rsid w:val="62692E52"/>
    <w:rsid w:val="63A24992"/>
    <w:rsid w:val="6600159A"/>
    <w:rsid w:val="6773052B"/>
    <w:rsid w:val="708A313F"/>
    <w:rsid w:val="73CB43D1"/>
    <w:rsid w:val="771215A5"/>
    <w:rsid w:val="79000D2C"/>
    <w:rsid w:val="7A9A373B"/>
    <w:rsid w:val="7B3D6273"/>
    <w:rsid w:val="7D8C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styleId="12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250</Words>
  <Characters>1566</Characters>
  <Lines>0</Lines>
  <Paragraphs>0</Paragraphs>
  <TotalTime>16</TotalTime>
  <ScaleCrop>false</ScaleCrop>
  <LinksUpToDate>false</LinksUpToDate>
  <CharactersWithSpaces>1782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2023-08-26T15:25:00Z</dcterms:created>
  <dc:creator>Administrator</dc:creator>
  <cp:lastModifiedBy>Crown</cp:lastModifiedBy>
  <dcterms:modified xsi:type="dcterms:W3CDTF">2025-06-04T02:33:52Z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A55F5335040648C08E730E9E6EF17812_13</vt:lpwstr>
  </property>
  <property fmtid="{D5CDD505-2E9C-101B-9397-08002B2CF9AE}" pid="4" name="KSOTemplateDocerSaveRecord">
    <vt:lpwstr>eyJoZGlkIjoiMzY0MTgzMmU0ZTRlYTAxMWExMWI4OTAwZDdkYzJlMjMiLCJ1c2VySWQiOiIzMjY5MTk5NzMifQ==</vt:lpwstr>
  </property>
</Properties>
</file>