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3673" w14:textId="77777777" w:rsidR="00786FEC" w:rsidRDefault="00786FEC" w:rsidP="00786FEC"/>
    <w:p w14:paraId="0F6FC129" w14:textId="2953C8C6" w:rsidR="00786FEC" w:rsidRDefault="00786FEC" w:rsidP="00786FEC">
      <w:pPr>
        <w:jc w:val="center"/>
      </w:pPr>
      <w:r w:rsidRPr="00786FEC">
        <w:rPr>
          <w:b/>
          <w:bCs/>
        </w:rPr>
        <w:t>STROBE-MR Checklist</w:t>
      </w:r>
    </w:p>
    <w:p w14:paraId="359FC5CD" w14:textId="3E379CEE" w:rsidR="00786FEC" w:rsidRPr="00786FEC" w:rsidRDefault="00786FEC" w:rsidP="00786FEC">
      <w:pPr>
        <w:rPr>
          <w:rFonts w:hint="eastAsia"/>
        </w:rPr>
      </w:pPr>
      <w:r w:rsidRPr="00786FEC">
        <w:pict w14:anchorId="014724CD">
          <v:rect id="_x0000_i103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9"/>
        <w:gridCol w:w="4663"/>
        <w:gridCol w:w="4417"/>
        <w:gridCol w:w="3359"/>
      </w:tblGrid>
      <w:tr w:rsidR="00786FEC" w:rsidRPr="00786FEC" w14:paraId="64C266FC" w14:textId="77777777" w:rsidTr="00786FE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741586" w14:textId="77777777" w:rsidR="00786FEC" w:rsidRPr="00786FEC" w:rsidRDefault="00786FEC" w:rsidP="00786FEC">
            <w:pPr>
              <w:rPr>
                <w:b/>
                <w:bCs/>
              </w:rPr>
            </w:pPr>
            <w:r w:rsidRPr="00786FEC">
              <w:rPr>
                <w:rFonts w:ascii="Times New Roman" w:hAnsi="Times New Roman" w:cs="Times New Roman"/>
                <w:b/>
                <w:bCs/>
              </w:rPr>
              <w:t>​</w:t>
            </w:r>
            <w:r w:rsidRPr="00786FEC">
              <w:rPr>
                <w:b/>
                <w:bCs/>
              </w:rPr>
              <w:t>Section</w:t>
            </w:r>
            <w:r w:rsidRPr="00786FEC">
              <w:rPr>
                <w:rFonts w:ascii="Times New Roman" w:hAnsi="Times New Roman" w:cs="Times New Roman"/>
                <w:b/>
                <w:bCs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14:paraId="796A9D87" w14:textId="77777777" w:rsidR="00786FEC" w:rsidRPr="00786FEC" w:rsidRDefault="00786FEC" w:rsidP="00786FEC">
            <w:pPr>
              <w:rPr>
                <w:b/>
                <w:bCs/>
              </w:rPr>
            </w:pPr>
            <w:r w:rsidRPr="00786FEC">
              <w:rPr>
                <w:rFonts w:ascii="Times New Roman" w:hAnsi="Times New Roman" w:cs="Times New Roman"/>
                <w:b/>
                <w:bCs/>
              </w:rPr>
              <w:t>​</w:t>
            </w:r>
            <w:r w:rsidRPr="00786FEC">
              <w:rPr>
                <w:b/>
                <w:bCs/>
              </w:rPr>
              <w:t>Item</w:t>
            </w:r>
            <w:r w:rsidRPr="00786FEC">
              <w:rPr>
                <w:rFonts w:ascii="Times New Roman" w:hAnsi="Times New Roman" w:cs="Times New Roman"/>
                <w:b/>
                <w:bCs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14:paraId="0A2A3ACF" w14:textId="77777777" w:rsidR="00786FEC" w:rsidRPr="00786FEC" w:rsidRDefault="00786FEC" w:rsidP="00786FEC">
            <w:pPr>
              <w:rPr>
                <w:b/>
                <w:bCs/>
              </w:rPr>
            </w:pPr>
            <w:r w:rsidRPr="00786FEC">
              <w:rPr>
                <w:rFonts w:ascii="Times New Roman" w:hAnsi="Times New Roman" w:cs="Times New Roman"/>
                <w:b/>
                <w:bCs/>
              </w:rPr>
              <w:t>​</w:t>
            </w:r>
            <w:r w:rsidRPr="00786FEC">
              <w:rPr>
                <w:b/>
                <w:bCs/>
              </w:rPr>
              <w:t>Article Reference</w:t>
            </w:r>
            <w:r w:rsidRPr="00786FEC">
              <w:rPr>
                <w:rFonts w:ascii="Times New Roman" w:hAnsi="Times New Roman" w:cs="Times New Roman"/>
                <w:b/>
                <w:bCs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14:paraId="111EC6EF" w14:textId="77777777" w:rsidR="00786FEC" w:rsidRPr="00786FEC" w:rsidRDefault="00786FEC" w:rsidP="00786FEC">
            <w:pPr>
              <w:rPr>
                <w:b/>
                <w:bCs/>
              </w:rPr>
            </w:pPr>
            <w:r w:rsidRPr="00786FEC">
              <w:rPr>
                <w:rFonts w:ascii="Times New Roman" w:hAnsi="Times New Roman" w:cs="Times New Roman"/>
                <w:b/>
                <w:bCs/>
              </w:rPr>
              <w:t>​</w:t>
            </w:r>
            <w:r w:rsidRPr="00786FEC">
              <w:rPr>
                <w:b/>
                <w:bCs/>
              </w:rPr>
              <w:t>Page/Paragraph</w:t>
            </w:r>
            <w:r w:rsidRPr="00786FEC">
              <w:rPr>
                <w:rFonts w:ascii="Times New Roman" w:hAnsi="Times New Roman" w:cs="Times New Roman"/>
                <w:b/>
                <w:bCs/>
              </w:rPr>
              <w:t>​</w:t>
            </w:r>
          </w:p>
        </w:tc>
      </w:tr>
      <w:tr w:rsidR="00786FEC" w:rsidRPr="00786FEC" w14:paraId="7A54DB6A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5B92D" w14:textId="77777777" w:rsidR="00786FEC" w:rsidRPr="00786FEC" w:rsidRDefault="00786FEC" w:rsidP="00786FEC">
            <w:r w:rsidRPr="00786FEC">
              <w:rPr>
                <w:rFonts w:ascii="Times New Roman" w:hAnsi="Times New Roman" w:cs="Times New Roman"/>
              </w:rPr>
              <w:t>​</w:t>
            </w:r>
            <w:r w:rsidRPr="00786FEC">
              <w:rPr>
                <w:b/>
                <w:bCs/>
              </w:rPr>
              <w:t>Title &amp; Abstract</w:t>
            </w:r>
            <w:r w:rsidRPr="00786FEC">
              <w:rPr>
                <w:rFonts w:ascii="Times New Roman" w:hAnsi="Times New Roman" w:cs="Times New Roman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14:paraId="3DCDAED7" w14:textId="77777777" w:rsidR="00786FEC" w:rsidRPr="00786FEC" w:rsidRDefault="00786FEC" w:rsidP="00786FEC">
            <w:r w:rsidRPr="00786FEC">
              <w:t>1. Title identifies the study as Mendelian randomization (MR)</w:t>
            </w:r>
          </w:p>
        </w:tc>
        <w:tc>
          <w:tcPr>
            <w:tcW w:w="0" w:type="auto"/>
            <w:vAlign w:val="center"/>
            <w:hideMark/>
          </w:tcPr>
          <w:p w14:paraId="16B9507D" w14:textId="77777777" w:rsidR="00786FEC" w:rsidRPr="00786FEC" w:rsidRDefault="00786FEC" w:rsidP="00786FEC">
            <w:r w:rsidRPr="00786FEC">
              <w:t>Title includes "A Mendelian randomization study"</w:t>
            </w:r>
          </w:p>
        </w:tc>
        <w:tc>
          <w:tcPr>
            <w:tcW w:w="0" w:type="auto"/>
            <w:vAlign w:val="center"/>
            <w:hideMark/>
          </w:tcPr>
          <w:p w14:paraId="5E5191D7" w14:textId="77777777" w:rsidR="00786FEC" w:rsidRPr="00786FEC" w:rsidRDefault="00786FEC" w:rsidP="00786FEC">
            <w:r w:rsidRPr="00786FEC">
              <w:t>Title</w:t>
            </w:r>
          </w:p>
        </w:tc>
      </w:tr>
      <w:tr w:rsidR="00786FEC" w:rsidRPr="00786FEC" w14:paraId="12EA63E6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26A72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546A517C" w14:textId="77777777" w:rsidR="00786FEC" w:rsidRPr="00786FEC" w:rsidRDefault="00786FEC" w:rsidP="00786FEC">
            <w:r w:rsidRPr="00786FEC">
              <w:t>2. Abstract summarizes key elements (background, methods, results, conclusions)</w:t>
            </w:r>
          </w:p>
        </w:tc>
        <w:tc>
          <w:tcPr>
            <w:tcW w:w="0" w:type="auto"/>
            <w:vAlign w:val="center"/>
            <w:hideMark/>
          </w:tcPr>
          <w:p w14:paraId="0DC4D31F" w14:textId="77777777" w:rsidR="00786FEC" w:rsidRPr="00786FEC" w:rsidRDefault="00786FEC" w:rsidP="00786FEC">
            <w:r w:rsidRPr="00786FEC">
              <w:t>Abstract includes study objectives, methods, key findings, and conclusions</w:t>
            </w:r>
          </w:p>
        </w:tc>
        <w:tc>
          <w:tcPr>
            <w:tcW w:w="0" w:type="auto"/>
            <w:vAlign w:val="center"/>
            <w:hideMark/>
          </w:tcPr>
          <w:p w14:paraId="52E41444" w14:textId="77777777" w:rsidR="00786FEC" w:rsidRPr="00786FEC" w:rsidRDefault="00786FEC" w:rsidP="00786FEC">
            <w:r w:rsidRPr="00786FEC">
              <w:t>Abstract</w:t>
            </w:r>
          </w:p>
        </w:tc>
      </w:tr>
      <w:tr w:rsidR="00786FEC" w:rsidRPr="00786FEC" w14:paraId="39473C06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7374F" w14:textId="77777777" w:rsidR="00786FEC" w:rsidRPr="00786FEC" w:rsidRDefault="00786FEC" w:rsidP="00786FEC">
            <w:r w:rsidRPr="00786FEC">
              <w:rPr>
                <w:rFonts w:ascii="Times New Roman" w:hAnsi="Times New Roman" w:cs="Times New Roman"/>
              </w:rPr>
              <w:t>​</w:t>
            </w:r>
            <w:r w:rsidRPr="00786FEC">
              <w:rPr>
                <w:b/>
                <w:bCs/>
              </w:rPr>
              <w:t>Introduction</w:t>
            </w:r>
            <w:r w:rsidRPr="00786FEC">
              <w:rPr>
                <w:rFonts w:ascii="Times New Roman" w:hAnsi="Times New Roman" w:cs="Times New Roman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14:paraId="40E1B9DA" w14:textId="77777777" w:rsidR="00786FEC" w:rsidRPr="00786FEC" w:rsidRDefault="00786FEC" w:rsidP="00786FEC">
            <w:r w:rsidRPr="00786FEC">
              <w:t>3. Scientific background and rationale for the study</w:t>
            </w:r>
          </w:p>
        </w:tc>
        <w:tc>
          <w:tcPr>
            <w:tcW w:w="0" w:type="auto"/>
            <w:vAlign w:val="center"/>
            <w:hideMark/>
          </w:tcPr>
          <w:p w14:paraId="2EA3A61B" w14:textId="77777777" w:rsidR="00786FEC" w:rsidRPr="00786FEC" w:rsidRDefault="00786FEC" w:rsidP="00786FEC">
            <w:r w:rsidRPr="00786FEC">
              <w:t>Discusses gaps in T2D-cancer associations in East Asian populations</w:t>
            </w:r>
          </w:p>
        </w:tc>
        <w:tc>
          <w:tcPr>
            <w:tcW w:w="0" w:type="auto"/>
            <w:vAlign w:val="center"/>
            <w:hideMark/>
          </w:tcPr>
          <w:p w14:paraId="57281F57" w14:textId="77777777" w:rsidR="00786FEC" w:rsidRPr="00786FEC" w:rsidRDefault="00786FEC" w:rsidP="00786FEC">
            <w:r w:rsidRPr="00786FEC">
              <w:t>Introduction, Paragraphs 1-2</w:t>
            </w:r>
          </w:p>
        </w:tc>
      </w:tr>
      <w:tr w:rsidR="00786FEC" w:rsidRPr="00786FEC" w14:paraId="1943F37E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68FD6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4E5906E4" w14:textId="77777777" w:rsidR="00786FEC" w:rsidRPr="00786FEC" w:rsidRDefault="00786FEC" w:rsidP="00786FEC">
            <w:r w:rsidRPr="00786FEC">
              <w:t>4. Justification for MR (avoiding confounding/reverse causation)</w:t>
            </w:r>
          </w:p>
        </w:tc>
        <w:tc>
          <w:tcPr>
            <w:tcW w:w="0" w:type="auto"/>
            <w:vAlign w:val="center"/>
            <w:hideMark/>
          </w:tcPr>
          <w:p w14:paraId="486A464C" w14:textId="77777777" w:rsidR="00786FEC" w:rsidRPr="00786FEC" w:rsidRDefault="00786FEC" w:rsidP="00786FEC">
            <w:r w:rsidRPr="00786FEC">
              <w:t>Highlights limitations of observational studies and advantages of MR</w:t>
            </w:r>
          </w:p>
        </w:tc>
        <w:tc>
          <w:tcPr>
            <w:tcW w:w="0" w:type="auto"/>
            <w:vAlign w:val="center"/>
            <w:hideMark/>
          </w:tcPr>
          <w:p w14:paraId="3017B9E9" w14:textId="77777777" w:rsidR="00786FEC" w:rsidRPr="00786FEC" w:rsidRDefault="00786FEC" w:rsidP="00786FEC">
            <w:r w:rsidRPr="00786FEC">
              <w:t>Introduction, Paragraph 3</w:t>
            </w:r>
          </w:p>
        </w:tc>
      </w:tr>
      <w:tr w:rsidR="00786FEC" w:rsidRPr="00786FEC" w14:paraId="1AD4144A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0E610" w14:textId="77777777" w:rsidR="00786FEC" w:rsidRPr="00786FEC" w:rsidRDefault="00786FEC" w:rsidP="00786FEC">
            <w:r w:rsidRPr="00786FEC">
              <w:rPr>
                <w:rFonts w:ascii="Times New Roman" w:hAnsi="Times New Roman" w:cs="Times New Roman"/>
              </w:rPr>
              <w:t>​</w:t>
            </w:r>
            <w:r w:rsidRPr="00786FEC">
              <w:rPr>
                <w:b/>
                <w:bCs/>
              </w:rPr>
              <w:t>Methods</w:t>
            </w:r>
            <w:r w:rsidRPr="00786FEC">
              <w:rPr>
                <w:rFonts w:ascii="Times New Roman" w:hAnsi="Times New Roman" w:cs="Times New Roman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14:paraId="74E6E3FA" w14:textId="77777777" w:rsidR="00786FEC" w:rsidRPr="00786FEC" w:rsidRDefault="00786FEC" w:rsidP="00786FEC">
            <w:r w:rsidRPr="00786FEC">
              <w:t>5. Data sources (exposure, outcome, genetic instruments)</w:t>
            </w:r>
          </w:p>
        </w:tc>
        <w:tc>
          <w:tcPr>
            <w:tcW w:w="0" w:type="auto"/>
            <w:vAlign w:val="center"/>
            <w:hideMark/>
          </w:tcPr>
          <w:p w14:paraId="58C4EACD" w14:textId="77777777" w:rsidR="00786FEC" w:rsidRPr="00786FEC" w:rsidRDefault="00786FEC" w:rsidP="00786FEC">
            <w:r w:rsidRPr="00786FEC">
              <w:t>Data from JENGER, AGEN, and MAGIC consortia</w:t>
            </w:r>
          </w:p>
        </w:tc>
        <w:tc>
          <w:tcPr>
            <w:tcW w:w="0" w:type="auto"/>
            <w:vAlign w:val="center"/>
            <w:hideMark/>
          </w:tcPr>
          <w:p w14:paraId="1570936A" w14:textId="77777777" w:rsidR="00786FEC" w:rsidRPr="00786FEC" w:rsidRDefault="00786FEC" w:rsidP="00786FEC">
            <w:r w:rsidRPr="00786FEC">
              <w:t xml:space="preserve">Materials &amp; Methods → </w:t>
            </w:r>
            <w:r w:rsidRPr="00786FEC">
              <w:rPr>
                <w:i/>
                <w:iCs/>
              </w:rPr>
              <w:t>Sources of data</w:t>
            </w:r>
          </w:p>
        </w:tc>
      </w:tr>
      <w:tr w:rsidR="00786FEC" w:rsidRPr="00786FEC" w14:paraId="44E98234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B18FF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0B9ADEBC" w14:textId="77777777" w:rsidR="00786FEC" w:rsidRPr="00786FEC" w:rsidRDefault="00786FEC" w:rsidP="00786FEC">
            <w:r w:rsidRPr="00786FEC">
              <w:t>6. Criteria for selecting genetic instruments (p-value, LD, F-statistic)</w:t>
            </w:r>
          </w:p>
        </w:tc>
        <w:tc>
          <w:tcPr>
            <w:tcW w:w="0" w:type="auto"/>
            <w:vAlign w:val="center"/>
            <w:hideMark/>
          </w:tcPr>
          <w:p w14:paraId="4F5F7B95" w14:textId="77777777" w:rsidR="00786FEC" w:rsidRPr="00786FEC" w:rsidRDefault="00786FEC" w:rsidP="00786FEC">
            <w:r w:rsidRPr="00786FEC">
              <w:t>p &lt; 5×10</w:t>
            </w:r>
            <w:r w:rsidRPr="00786FEC">
              <w:rPr>
                <w:rFonts w:ascii="Cambria Math" w:hAnsi="Cambria Math" w:cs="Cambria Math"/>
              </w:rPr>
              <w:t>⁻⁸</w:t>
            </w:r>
            <w:r w:rsidRPr="00786FEC">
              <w:t>, r</w:t>
            </w:r>
            <w:r w:rsidRPr="00786FEC">
              <w:rPr>
                <w:rFonts w:ascii="等线" w:eastAsia="等线" w:hAnsi="等线" w:cs="等线" w:hint="eastAsia"/>
              </w:rPr>
              <w:t>²</w:t>
            </w:r>
            <w:r w:rsidRPr="00786FEC">
              <w:t xml:space="preserve"> &lt; 0.001, distance &gt; 1 Mb, F-statistic &gt; 10</w:t>
            </w:r>
          </w:p>
        </w:tc>
        <w:tc>
          <w:tcPr>
            <w:tcW w:w="0" w:type="auto"/>
            <w:vAlign w:val="center"/>
            <w:hideMark/>
          </w:tcPr>
          <w:p w14:paraId="1D14E031" w14:textId="77777777" w:rsidR="00786FEC" w:rsidRPr="00786FEC" w:rsidRDefault="00786FEC" w:rsidP="00786FEC">
            <w:r w:rsidRPr="00786FEC">
              <w:t xml:space="preserve">Materials &amp; Methods → </w:t>
            </w:r>
            <w:r w:rsidRPr="00786FEC">
              <w:rPr>
                <w:i/>
                <w:iCs/>
              </w:rPr>
              <w:t>Selection of instrumental variables</w:t>
            </w:r>
          </w:p>
        </w:tc>
      </w:tr>
      <w:tr w:rsidR="00786FEC" w:rsidRPr="00786FEC" w14:paraId="0FBA7A1D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4ECE4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0270C52B" w14:textId="77777777" w:rsidR="00786FEC" w:rsidRPr="00786FEC" w:rsidRDefault="00786FEC" w:rsidP="00786FEC">
            <w:r w:rsidRPr="00786FEC">
              <w:t>7. Strength of instrument-exposure associations (F-statistic)</w:t>
            </w:r>
          </w:p>
        </w:tc>
        <w:tc>
          <w:tcPr>
            <w:tcW w:w="0" w:type="auto"/>
            <w:vAlign w:val="center"/>
            <w:hideMark/>
          </w:tcPr>
          <w:p w14:paraId="3B48AA09" w14:textId="77777777" w:rsidR="00786FEC" w:rsidRPr="00786FEC" w:rsidRDefault="00786FEC" w:rsidP="00786FEC">
            <w:r w:rsidRPr="00786FEC">
              <w:t>Reports F-</w:t>
            </w:r>
            <w:proofErr w:type="gramStart"/>
            <w:r w:rsidRPr="00786FEC">
              <w:t>statistic</w:t>
            </w:r>
            <w:proofErr w:type="gramEnd"/>
            <w:r w:rsidRPr="00786FEC">
              <w:t xml:space="preserve"> &gt; 10, excluding weak instruments</w:t>
            </w:r>
          </w:p>
        </w:tc>
        <w:tc>
          <w:tcPr>
            <w:tcW w:w="0" w:type="auto"/>
            <w:vAlign w:val="center"/>
            <w:hideMark/>
          </w:tcPr>
          <w:p w14:paraId="6DAFE393" w14:textId="77777777" w:rsidR="00786FEC" w:rsidRPr="00786FEC" w:rsidRDefault="00786FEC" w:rsidP="00786FEC">
            <w:r w:rsidRPr="00786FEC">
              <w:t>Same as Item 6</w:t>
            </w:r>
          </w:p>
        </w:tc>
      </w:tr>
      <w:tr w:rsidR="00786FEC" w:rsidRPr="00786FEC" w14:paraId="358D1245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B59D0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02E17202" w14:textId="77777777" w:rsidR="00786FEC" w:rsidRPr="00786FEC" w:rsidRDefault="00786FEC" w:rsidP="00786FEC">
            <w:r w:rsidRPr="00786FEC">
              <w:t>8. Statistical methods (MR models, sensitivity analyses)</w:t>
            </w:r>
          </w:p>
        </w:tc>
        <w:tc>
          <w:tcPr>
            <w:tcW w:w="0" w:type="auto"/>
            <w:vAlign w:val="center"/>
            <w:hideMark/>
          </w:tcPr>
          <w:p w14:paraId="1DDF6A81" w14:textId="77777777" w:rsidR="00786FEC" w:rsidRPr="00786FEC" w:rsidRDefault="00786FEC" w:rsidP="00786FEC">
            <w:r w:rsidRPr="00786FEC">
              <w:t>IVW, MR-Egger, weighted median, MR-PRESSO, multivariable MR</w:t>
            </w:r>
          </w:p>
        </w:tc>
        <w:tc>
          <w:tcPr>
            <w:tcW w:w="0" w:type="auto"/>
            <w:vAlign w:val="center"/>
            <w:hideMark/>
          </w:tcPr>
          <w:p w14:paraId="1F059E0D" w14:textId="77777777" w:rsidR="00786FEC" w:rsidRPr="00786FEC" w:rsidRDefault="00786FEC" w:rsidP="00786FEC">
            <w:r w:rsidRPr="00786FEC">
              <w:t xml:space="preserve">Materials &amp; Methods → </w:t>
            </w:r>
            <w:r w:rsidRPr="00786FEC">
              <w:rPr>
                <w:i/>
                <w:iCs/>
              </w:rPr>
              <w:t>Statistical analysis</w:t>
            </w:r>
          </w:p>
        </w:tc>
      </w:tr>
      <w:tr w:rsidR="00786FEC" w:rsidRPr="00786FEC" w14:paraId="2DFD9F42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02A7BA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00E94911" w14:textId="77777777" w:rsidR="00786FEC" w:rsidRPr="00786FEC" w:rsidRDefault="00786FEC" w:rsidP="00786FEC">
            <w:r w:rsidRPr="00786FEC">
              <w:t>9. Methods to address pleiotropy/heterogeneity</w:t>
            </w:r>
          </w:p>
        </w:tc>
        <w:tc>
          <w:tcPr>
            <w:tcW w:w="0" w:type="auto"/>
            <w:vAlign w:val="center"/>
            <w:hideMark/>
          </w:tcPr>
          <w:p w14:paraId="10A4B106" w14:textId="77777777" w:rsidR="00786FEC" w:rsidRPr="00786FEC" w:rsidRDefault="00786FEC" w:rsidP="00786FEC">
            <w:r w:rsidRPr="00786FEC">
              <w:t>Cochran’s Q test, MR-Egger intercept, MR-PRESSO outlier removal</w:t>
            </w:r>
          </w:p>
        </w:tc>
        <w:tc>
          <w:tcPr>
            <w:tcW w:w="0" w:type="auto"/>
            <w:vAlign w:val="center"/>
            <w:hideMark/>
          </w:tcPr>
          <w:p w14:paraId="1927FC10" w14:textId="77777777" w:rsidR="00786FEC" w:rsidRPr="00786FEC" w:rsidRDefault="00786FEC" w:rsidP="00786FEC">
            <w:r w:rsidRPr="00786FEC">
              <w:t>Same as Item 8</w:t>
            </w:r>
          </w:p>
        </w:tc>
      </w:tr>
      <w:tr w:rsidR="00786FEC" w:rsidRPr="00786FEC" w14:paraId="3A1DE761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373F6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4C14A9C7" w14:textId="5FE32AD9" w:rsidR="00786FEC" w:rsidRPr="00786FEC" w:rsidRDefault="00786FEC" w:rsidP="00786FEC">
            <w:r w:rsidRPr="00786FEC">
              <w:t xml:space="preserve">10. Reverse MR analysis </w:t>
            </w:r>
          </w:p>
        </w:tc>
        <w:tc>
          <w:tcPr>
            <w:tcW w:w="0" w:type="auto"/>
            <w:vAlign w:val="center"/>
            <w:hideMark/>
          </w:tcPr>
          <w:p w14:paraId="4FC20DD6" w14:textId="77777777" w:rsidR="00786FEC" w:rsidRPr="00786FEC" w:rsidRDefault="00786FEC" w:rsidP="00786FEC">
            <w:r w:rsidRPr="00786FEC">
              <w:t>Bidirectional MR for T2D and cancer</w:t>
            </w:r>
          </w:p>
        </w:tc>
        <w:tc>
          <w:tcPr>
            <w:tcW w:w="0" w:type="auto"/>
            <w:vAlign w:val="center"/>
            <w:hideMark/>
          </w:tcPr>
          <w:p w14:paraId="62999CB6" w14:textId="77777777" w:rsidR="00786FEC" w:rsidRPr="00786FEC" w:rsidRDefault="00786FEC" w:rsidP="00786FEC">
            <w:r w:rsidRPr="00786FEC">
              <w:t xml:space="preserve">Materials &amp; Methods → </w:t>
            </w:r>
            <w:r w:rsidRPr="00786FEC">
              <w:rPr>
                <w:i/>
                <w:iCs/>
              </w:rPr>
              <w:t>Statistical analysis</w:t>
            </w:r>
          </w:p>
        </w:tc>
      </w:tr>
      <w:tr w:rsidR="00786FEC" w:rsidRPr="00786FEC" w14:paraId="64735A94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425858" w14:textId="77777777" w:rsidR="00786FEC" w:rsidRPr="00786FEC" w:rsidRDefault="00786FEC" w:rsidP="00786FEC">
            <w:r w:rsidRPr="00786FEC">
              <w:rPr>
                <w:rFonts w:ascii="Times New Roman" w:hAnsi="Times New Roman" w:cs="Times New Roman"/>
              </w:rPr>
              <w:lastRenderedPageBreak/>
              <w:t>​</w:t>
            </w:r>
            <w:r w:rsidRPr="00786FEC">
              <w:rPr>
                <w:b/>
                <w:bCs/>
              </w:rPr>
              <w:t>Results</w:t>
            </w:r>
            <w:r w:rsidRPr="00786FEC">
              <w:rPr>
                <w:rFonts w:ascii="Times New Roman" w:hAnsi="Times New Roman" w:cs="Times New Roman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14:paraId="1443F539" w14:textId="77777777" w:rsidR="00786FEC" w:rsidRPr="00786FEC" w:rsidRDefault="00786FEC" w:rsidP="00786FEC">
            <w:r w:rsidRPr="00786FEC">
              <w:t>11. Sample sizes (exposure, outcome, number of instruments)</w:t>
            </w:r>
          </w:p>
        </w:tc>
        <w:tc>
          <w:tcPr>
            <w:tcW w:w="0" w:type="auto"/>
            <w:vAlign w:val="center"/>
            <w:hideMark/>
          </w:tcPr>
          <w:p w14:paraId="0E23499A" w14:textId="77777777" w:rsidR="00786FEC" w:rsidRPr="00786FEC" w:rsidRDefault="00786FEC" w:rsidP="00786FEC">
            <w:r w:rsidRPr="00786FEC">
              <w:t>Lists case/control numbers and SNP counts (e.g., 174 T2D SNPs)</w:t>
            </w:r>
          </w:p>
        </w:tc>
        <w:tc>
          <w:tcPr>
            <w:tcW w:w="0" w:type="auto"/>
            <w:vAlign w:val="center"/>
            <w:hideMark/>
          </w:tcPr>
          <w:p w14:paraId="7ACB4DC4" w14:textId="77777777" w:rsidR="00786FEC" w:rsidRPr="00786FEC" w:rsidRDefault="00786FEC" w:rsidP="00786FEC">
            <w:r w:rsidRPr="00786FEC">
              <w:t xml:space="preserve">Materials &amp; Methods → </w:t>
            </w:r>
            <w:r w:rsidRPr="00786FEC">
              <w:rPr>
                <w:i/>
                <w:iCs/>
              </w:rPr>
              <w:t>Sources of data</w:t>
            </w:r>
            <w:r w:rsidRPr="00786FEC">
              <w:t xml:space="preserve"> / Results</w:t>
            </w:r>
          </w:p>
        </w:tc>
      </w:tr>
      <w:tr w:rsidR="00786FEC" w:rsidRPr="00786FEC" w14:paraId="4356C193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6BBB4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583BBD5C" w14:textId="77777777" w:rsidR="00786FEC" w:rsidRPr="00786FEC" w:rsidRDefault="00786FEC" w:rsidP="00786FEC">
            <w:r w:rsidRPr="00786FEC">
              <w:t>12. Instrument-exposure associations (β, SE, p-value)</w:t>
            </w:r>
          </w:p>
        </w:tc>
        <w:tc>
          <w:tcPr>
            <w:tcW w:w="0" w:type="auto"/>
            <w:vAlign w:val="center"/>
            <w:hideMark/>
          </w:tcPr>
          <w:p w14:paraId="06DC4B84" w14:textId="77777777" w:rsidR="00786FEC" w:rsidRPr="00786FEC" w:rsidRDefault="00786FEC" w:rsidP="00786FEC">
            <w:r w:rsidRPr="00786FEC">
              <w:t>Supplementary Tables S1-S3 provide SNP details</w:t>
            </w:r>
          </w:p>
        </w:tc>
        <w:tc>
          <w:tcPr>
            <w:tcW w:w="0" w:type="auto"/>
            <w:vAlign w:val="center"/>
            <w:hideMark/>
          </w:tcPr>
          <w:p w14:paraId="4C49B94E" w14:textId="77777777" w:rsidR="00786FEC" w:rsidRPr="00786FEC" w:rsidRDefault="00786FEC" w:rsidP="00786FEC">
            <w:r w:rsidRPr="00786FEC">
              <w:t>Supplementary Tables S1-S3</w:t>
            </w:r>
          </w:p>
        </w:tc>
      </w:tr>
      <w:tr w:rsidR="00786FEC" w:rsidRPr="00786FEC" w14:paraId="41B4C490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CEEE1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0C751CB6" w14:textId="77777777" w:rsidR="00786FEC" w:rsidRPr="00786FEC" w:rsidRDefault="00786FEC" w:rsidP="00786FEC">
            <w:r w:rsidRPr="00786FEC">
              <w:t>13. Primary MR results (OR, 95% CI, p-value)</w:t>
            </w:r>
          </w:p>
        </w:tc>
        <w:tc>
          <w:tcPr>
            <w:tcW w:w="0" w:type="auto"/>
            <w:vAlign w:val="center"/>
            <w:hideMark/>
          </w:tcPr>
          <w:p w14:paraId="03DB260C" w14:textId="77777777" w:rsidR="00786FEC" w:rsidRPr="00786FEC" w:rsidRDefault="00786FEC" w:rsidP="00786FEC">
            <w:r w:rsidRPr="00786FEC">
              <w:t>Figure 2 shows T2D-cancer associations (e.g., gastric cancer OR = 0.875)</w:t>
            </w:r>
          </w:p>
        </w:tc>
        <w:tc>
          <w:tcPr>
            <w:tcW w:w="0" w:type="auto"/>
            <w:vAlign w:val="center"/>
            <w:hideMark/>
          </w:tcPr>
          <w:p w14:paraId="094F491E" w14:textId="77777777" w:rsidR="00786FEC" w:rsidRPr="00786FEC" w:rsidRDefault="00786FEC" w:rsidP="00786FEC">
            <w:r w:rsidRPr="00786FEC">
              <w:t xml:space="preserve">Results → </w:t>
            </w:r>
            <w:r w:rsidRPr="00786FEC">
              <w:rPr>
                <w:i/>
                <w:iCs/>
              </w:rPr>
              <w:t>Fig. 2</w:t>
            </w:r>
            <w:r w:rsidRPr="00786FEC">
              <w:t xml:space="preserve"> / Supplementary Table S4</w:t>
            </w:r>
          </w:p>
        </w:tc>
      </w:tr>
      <w:tr w:rsidR="00786FEC" w:rsidRPr="00786FEC" w14:paraId="31E2386A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598C9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59233401" w14:textId="77777777" w:rsidR="00786FEC" w:rsidRPr="00786FEC" w:rsidRDefault="00786FEC" w:rsidP="00786FEC">
            <w:r w:rsidRPr="00786FEC">
              <w:t>14. Sensitivity analyses (pleiotropy, heterogeneity)</w:t>
            </w:r>
          </w:p>
        </w:tc>
        <w:tc>
          <w:tcPr>
            <w:tcW w:w="0" w:type="auto"/>
            <w:vAlign w:val="center"/>
            <w:hideMark/>
          </w:tcPr>
          <w:p w14:paraId="368EF42A" w14:textId="77777777" w:rsidR="00786FEC" w:rsidRPr="00786FEC" w:rsidRDefault="00786FEC" w:rsidP="00786FEC">
            <w:r w:rsidRPr="00786FEC">
              <w:t>MR-Egger intercept (p &gt; 0.05), Cochran’s Q indicates heterogeneity</w:t>
            </w:r>
          </w:p>
        </w:tc>
        <w:tc>
          <w:tcPr>
            <w:tcW w:w="0" w:type="auto"/>
            <w:vAlign w:val="center"/>
            <w:hideMark/>
          </w:tcPr>
          <w:p w14:paraId="2539B505" w14:textId="77777777" w:rsidR="00786FEC" w:rsidRPr="00786FEC" w:rsidRDefault="00786FEC" w:rsidP="00786FEC">
            <w:r w:rsidRPr="00786FEC">
              <w:t>Results / Supplementary Table S5</w:t>
            </w:r>
          </w:p>
        </w:tc>
      </w:tr>
      <w:tr w:rsidR="00786FEC" w:rsidRPr="00786FEC" w14:paraId="4E1FD24B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B0BCE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2D20BAC0" w14:textId="77777777" w:rsidR="00786FEC" w:rsidRPr="00786FEC" w:rsidRDefault="00786FEC" w:rsidP="00786FEC">
            <w:r w:rsidRPr="00786FEC">
              <w:t>15. Reverse MR results (if applicable)</w:t>
            </w:r>
          </w:p>
        </w:tc>
        <w:tc>
          <w:tcPr>
            <w:tcW w:w="0" w:type="auto"/>
            <w:vAlign w:val="center"/>
            <w:hideMark/>
          </w:tcPr>
          <w:p w14:paraId="5BA91437" w14:textId="77777777" w:rsidR="00786FEC" w:rsidRPr="00786FEC" w:rsidRDefault="00786FEC" w:rsidP="00786FEC">
            <w:r w:rsidRPr="00786FEC">
              <w:t>Supplementary Tables S6-S7 report reverse MR results</w:t>
            </w:r>
          </w:p>
        </w:tc>
        <w:tc>
          <w:tcPr>
            <w:tcW w:w="0" w:type="auto"/>
            <w:vAlign w:val="center"/>
            <w:hideMark/>
          </w:tcPr>
          <w:p w14:paraId="0079723A" w14:textId="77777777" w:rsidR="00786FEC" w:rsidRPr="00786FEC" w:rsidRDefault="00786FEC" w:rsidP="00786FEC">
            <w:r w:rsidRPr="00786FEC">
              <w:t>Results / Supplementary Tables S6-S7</w:t>
            </w:r>
          </w:p>
        </w:tc>
      </w:tr>
      <w:tr w:rsidR="00786FEC" w:rsidRPr="00786FEC" w14:paraId="1839FCF6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35C11" w14:textId="77777777" w:rsidR="00786FEC" w:rsidRPr="00786FEC" w:rsidRDefault="00786FEC" w:rsidP="00786FEC">
            <w:r w:rsidRPr="00786FEC">
              <w:rPr>
                <w:rFonts w:ascii="Times New Roman" w:hAnsi="Times New Roman" w:cs="Times New Roman"/>
              </w:rPr>
              <w:t>​</w:t>
            </w:r>
            <w:r w:rsidRPr="00786FEC">
              <w:rPr>
                <w:b/>
                <w:bCs/>
              </w:rPr>
              <w:t>Discussion</w:t>
            </w:r>
            <w:r w:rsidRPr="00786FEC">
              <w:rPr>
                <w:rFonts w:ascii="Times New Roman" w:hAnsi="Times New Roman" w:cs="Times New Roman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14:paraId="087FCECC" w14:textId="77777777" w:rsidR="00786FEC" w:rsidRPr="00786FEC" w:rsidRDefault="00786FEC" w:rsidP="00786FEC">
            <w:r w:rsidRPr="00786FEC">
              <w:t>16. Interpretation of results (consistency/divergence from prior studies)</w:t>
            </w:r>
          </w:p>
        </w:tc>
        <w:tc>
          <w:tcPr>
            <w:tcW w:w="0" w:type="auto"/>
            <w:vAlign w:val="center"/>
            <w:hideMark/>
          </w:tcPr>
          <w:p w14:paraId="2A2D1AB0" w14:textId="77777777" w:rsidR="00786FEC" w:rsidRPr="00786FEC" w:rsidRDefault="00786FEC" w:rsidP="00786FEC">
            <w:r w:rsidRPr="00786FEC">
              <w:t>Compares findings with European populations, discusses East Asian-specific factors</w:t>
            </w:r>
          </w:p>
        </w:tc>
        <w:tc>
          <w:tcPr>
            <w:tcW w:w="0" w:type="auto"/>
            <w:vAlign w:val="center"/>
            <w:hideMark/>
          </w:tcPr>
          <w:p w14:paraId="1F659CB8" w14:textId="77777777" w:rsidR="00786FEC" w:rsidRPr="00786FEC" w:rsidRDefault="00786FEC" w:rsidP="00786FEC">
            <w:r w:rsidRPr="00786FEC">
              <w:t>Discussion, Paragraphs 1-2</w:t>
            </w:r>
          </w:p>
        </w:tc>
      </w:tr>
      <w:tr w:rsidR="00786FEC" w:rsidRPr="00786FEC" w14:paraId="076A9FB6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A331A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337715BB" w14:textId="77777777" w:rsidR="00786FEC" w:rsidRPr="00786FEC" w:rsidRDefault="00786FEC" w:rsidP="00786FEC">
            <w:r w:rsidRPr="00786FEC">
              <w:t>17. Limitations (instrument assumptions, sample size, confounding)</w:t>
            </w:r>
          </w:p>
        </w:tc>
        <w:tc>
          <w:tcPr>
            <w:tcW w:w="0" w:type="auto"/>
            <w:vAlign w:val="center"/>
            <w:hideMark/>
          </w:tcPr>
          <w:p w14:paraId="7A8983FE" w14:textId="77777777" w:rsidR="00786FEC" w:rsidRPr="00786FEC" w:rsidRDefault="00786FEC" w:rsidP="00786FEC">
            <w:r w:rsidRPr="00786FEC">
              <w:t>Notes unadjusted confounders (BMI/insulin), small sample size for some cancers</w:t>
            </w:r>
          </w:p>
        </w:tc>
        <w:tc>
          <w:tcPr>
            <w:tcW w:w="0" w:type="auto"/>
            <w:vAlign w:val="center"/>
            <w:hideMark/>
          </w:tcPr>
          <w:p w14:paraId="0899980B" w14:textId="77777777" w:rsidR="00786FEC" w:rsidRPr="00786FEC" w:rsidRDefault="00786FEC" w:rsidP="00786FEC">
            <w:r w:rsidRPr="00786FEC">
              <w:t>Discussion, Second-to-last paragraph</w:t>
            </w:r>
          </w:p>
        </w:tc>
      </w:tr>
      <w:tr w:rsidR="00786FEC" w:rsidRPr="00786FEC" w14:paraId="52FD263F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7DC80F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1470B11B" w14:textId="77777777" w:rsidR="00786FEC" w:rsidRPr="00786FEC" w:rsidRDefault="00786FEC" w:rsidP="00786FEC">
            <w:r w:rsidRPr="00786FEC">
              <w:t>18. Implications for clinical/public health practice</w:t>
            </w:r>
          </w:p>
        </w:tc>
        <w:tc>
          <w:tcPr>
            <w:tcW w:w="0" w:type="auto"/>
            <w:vAlign w:val="center"/>
            <w:hideMark/>
          </w:tcPr>
          <w:p w14:paraId="4247217D" w14:textId="77777777" w:rsidR="00786FEC" w:rsidRPr="00786FEC" w:rsidRDefault="00786FEC" w:rsidP="00786FEC">
            <w:r w:rsidRPr="00786FEC">
              <w:t>Emphasizes precision prevention strategies for East Asians</w:t>
            </w:r>
          </w:p>
        </w:tc>
        <w:tc>
          <w:tcPr>
            <w:tcW w:w="0" w:type="auto"/>
            <w:vAlign w:val="center"/>
            <w:hideMark/>
          </w:tcPr>
          <w:p w14:paraId="3DDC9998" w14:textId="77777777" w:rsidR="00786FEC" w:rsidRPr="00786FEC" w:rsidRDefault="00786FEC" w:rsidP="00786FEC">
            <w:r w:rsidRPr="00786FEC">
              <w:t>Discussion, Final paragraph</w:t>
            </w:r>
          </w:p>
        </w:tc>
      </w:tr>
      <w:tr w:rsidR="00786FEC" w:rsidRPr="00786FEC" w14:paraId="0662DFA3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B12A68" w14:textId="77777777" w:rsidR="00786FEC" w:rsidRPr="00786FEC" w:rsidRDefault="00786FEC" w:rsidP="00786FEC">
            <w:r w:rsidRPr="00786FEC">
              <w:rPr>
                <w:rFonts w:ascii="Times New Roman" w:hAnsi="Times New Roman" w:cs="Times New Roman"/>
              </w:rPr>
              <w:t>​</w:t>
            </w:r>
            <w:r w:rsidRPr="00786FEC">
              <w:rPr>
                <w:b/>
                <w:bCs/>
              </w:rPr>
              <w:t>Other Information</w:t>
            </w:r>
            <w:r w:rsidRPr="00786FEC">
              <w:rPr>
                <w:rFonts w:ascii="Times New Roman" w:hAnsi="Times New Roman" w:cs="Times New Roman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14:paraId="2BB4CAB9" w14:textId="77777777" w:rsidR="00786FEC" w:rsidRPr="00786FEC" w:rsidRDefault="00786FEC" w:rsidP="00786FEC">
            <w:r w:rsidRPr="00786FEC">
              <w:t>19. Data availability statement</w:t>
            </w:r>
          </w:p>
        </w:tc>
        <w:tc>
          <w:tcPr>
            <w:tcW w:w="0" w:type="auto"/>
            <w:vAlign w:val="center"/>
            <w:hideMark/>
          </w:tcPr>
          <w:p w14:paraId="51D1E71C" w14:textId="77777777" w:rsidR="00786FEC" w:rsidRPr="00786FEC" w:rsidRDefault="00786FEC" w:rsidP="00786FEC">
            <w:r w:rsidRPr="00786FEC">
              <w:t>Links to consortium data (AGEN, MAGIC, JENGER)</w:t>
            </w:r>
          </w:p>
        </w:tc>
        <w:tc>
          <w:tcPr>
            <w:tcW w:w="0" w:type="auto"/>
            <w:vAlign w:val="center"/>
            <w:hideMark/>
          </w:tcPr>
          <w:p w14:paraId="7C9BF715" w14:textId="77777777" w:rsidR="00786FEC" w:rsidRPr="00786FEC" w:rsidRDefault="00786FEC" w:rsidP="00786FEC">
            <w:r w:rsidRPr="00786FEC">
              <w:t xml:space="preserve">Declarations → </w:t>
            </w:r>
            <w:r w:rsidRPr="00786FEC">
              <w:rPr>
                <w:i/>
                <w:iCs/>
              </w:rPr>
              <w:t>Availability of data and materials</w:t>
            </w:r>
          </w:p>
        </w:tc>
      </w:tr>
      <w:tr w:rsidR="00786FEC" w:rsidRPr="00786FEC" w14:paraId="4A052F10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A1F33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5CFB96BB" w14:textId="77777777" w:rsidR="00786FEC" w:rsidRPr="00786FEC" w:rsidRDefault="00786FEC" w:rsidP="00786FEC">
            <w:r w:rsidRPr="00786FEC">
              <w:t>20. Ethics approval and informed consent</w:t>
            </w:r>
          </w:p>
        </w:tc>
        <w:tc>
          <w:tcPr>
            <w:tcW w:w="0" w:type="auto"/>
            <w:vAlign w:val="center"/>
            <w:hideMark/>
          </w:tcPr>
          <w:p w14:paraId="3AD26E68" w14:textId="77777777" w:rsidR="00786FEC" w:rsidRPr="00786FEC" w:rsidRDefault="00786FEC" w:rsidP="00786FEC">
            <w:r w:rsidRPr="00786FEC">
              <w:t>States compliance with the Declaration of Helsinki and institutional ethics approval</w:t>
            </w:r>
          </w:p>
        </w:tc>
        <w:tc>
          <w:tcPr>
            <w:tcW w:w="0" w:type="auto"/>
            <w:vAlign w:val="center"/>
            <w:hideMark/>
          </w:tcPr>
          <w:p w14:paraId="35E269E4" w14:textId="77777777" w:rsidR="00786FEC" w:rsidRPr="00786FEC" w:rsidRDefault="00786FEC" w:rsidP="00786FEC">
            <w:r w:rsidRPr="00786FEC">
              <w:t xml:space="preserve">Declarations → </w:t>
            </w:r>
            <w:r w:rsidRPr="00786FEC">
              <w:rPr>
                <w:i/>
                <w:iCs/>
              </w:rPr>
              <w:t>Ethics approval and consent to participate</w:t>
            </w:r>
          </w:p>
        </w:tc>
      </w:tr>
      <w:tr w:rsidR="00786FEC" w:rsidRPr="00786FEC" w14:paraId="48B9ED94" w14:textId="77777777" w:rsidTr="00786F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B4D7B" w14:textId="77777777" w:rsidR="00786FEC" w:rsidRPr="00786FEC" w:rsidRDefault="00786FEC" w:rsidP="00786FEC"/>
        </w:tc>
        <w:tc>
          <w:tcPr>
            <w:tcW w:w="0" w:type="auto"/>
            <w:vAlign w:val="center"/>
            <w:hideMark/>
          </w:tcPr>
          <w:p w14:paraId="35084B44" w14:textId="77777777" w:rsidR="00786FEC" w:rsidRPr="00786FEC" w:rsidRDefault="00786FEC" w:rsidP="00786FEC">
            <w:r w:rsidRPr="00786FEC">
              <w:t>21. Funding and conflicts of interest</w:t>
            </w:r>
          </w:p>
        </w:tc>
        <w:tc>
          <w:tcPr>
            <w:tcW w:w="0" w:type="auto"/>
            <w:vAlign w:val="center"/>
            <w:hideMark/>
          </w:tcPr>
          <w:p w14:paraId="1A3C328B" w14:textId="34D87CA0" w:rsidR="00786FEC" w:rsidRPr="00786FEC" w:rsidRDefault="00786FEC" w:rsidP="00786FEC">
            <w:r w:rsidRPr="00786FEC">
              <w:t xml:space="preserve">Lists grant </w:t>
            </w:r>
            <w:proofErr w:type="gramStart"/>
            <w:r w:rsidRPr="00786FEC">
              <w:t xml:space="preserve">numbers </w:t>
            </w:r>
            <w:r>
              <w:rPr>
                <w:rFonts w:hint="eastAsia"/>
              </w:rPr>
              <w:t>,</w:t>
            </w:r>
            <w:r w:rsidRPr="00786FEC">
              <w:t>declares</w:t>
            </w:r>
            <w:proofErr w:type="gramEnd"/>
            <w:r w:rsidRPr="00786FEC">
              <w:t xml:space="preserve"> no conflicts</w:t>
            </w:r>
          </w:p>
        </w:tc>
        <w:tc>
          <w:tcPr>
            <w:tcW w:w="0" w:type="auto"/>
            <w:vAlign w:val="center"/>
            <w:hideMark/>
          </w:tcPr>
          <w:p w14:paraId="126BB2E0" w14:textId="77777777" w:rsidR="00786FEC" w:rsidRPr="00786FEC" w:rsidRDefault="00786FEC" w:rsidP="00786FEC">
            <w:r w:rsidRPr="00786FEC">
              <w:t xml:space="preserve">Declarations → </w:t>
            </w:r>
            <w:r w:rsidRPr="00786FEC">
              <w:rPr>
                <w:i/>
                <w:iCs/>
              </w:rPr>
              <w:t>Funding</w:t>
            </w:r>
            <w:r w:rsidRPr="00786FEC">
              <w:t xml:space="preserve"> / </w:t>
            </w:r>
            <w:proofErr w:type="spellStart"/>
            <w:r w:rsidRPr="00786FEC">
              <w:rPr>
                <w:i/>
                <w:iCs/>
              </w:rPr>
              <w:t>Competeting</w:t>
            </w:r>
            <w:proofErr w:type="spellEnd"/>
            <w:r w:rsidRPr="00786FEC">
              <w:rPr>
                <w:i/>
                <w:iCs/>
              </w:rPr>
              <w:t xml:space="preserve"> interests</w:t>
            </w:r>
          </w:p>
        </w:tc>
      </w:tr>
    </w:tbl>
    <w:p w14:paraId="1FDC1511" w14:textId="77777777" w:rsidR="00786FEC" w:rsidRPr="00786FEC" w:rsidRDefault="00786FEC" w:rsidP="00786FEC">
      <w:r w:rsidRPr="00786FEC">
        <w:pict w14:anchorId="215B7C5B">
          <v:rect id="_x0000_i1038" style="width:0;height:1.5pt" o:hralign="center" o:hrstd="t" o:hr="t" fillcolor="#a0a0a0" stroked="f"/>
        </w:pict>
      </w:r>
    </w:p>
    <w:p w14:paraId="7AEDB8E8" w14:textId="7F4F9065" w:rsidR="00786FEC" w:rsidRPr="00786FEC" w:rsidRDefault="00786FEC" w:rsidP="00786FEC">
      <w:r w:rsidRPr="00786FEC">
        <w:rPr>
          <w:rFonts w:ascii="Times New Roman" w:hAnsi="Times New Roman" w:cs="Times New Roman"/>
          <w:b/>
          <w:bCs/>
        </w:rPr>
        <w:lastRenderedPageBreak/>
        <w:t>​</w:t>
      </w:r>
    </w:p>
    <w:p w14:paraId="2EC8206B" w14:textId="77777777" w:rsidR="002D7EC1" w:rsidRPr="00786FEC" w:rsidRDefault="002D7EC1"/>
    <w:sectPr w:rsidR="002D7EC1" w:rsidRPr="00786FEC" w:rsidSect="00786FE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D0D8B"/>
    <w:multiLevelType w:val="multilevel"/>
    <w:tmpl w:val="8912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7868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EC"/>
    <w:rsid w:val="002D7EC1"/>
    <w:rsid w:val="00786FEC"/>
    <w:rsid w:val="00BF1AFF"/>
    <w:rsid w:val="00D5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C9BE7"/>
  <w15:chartTrackingRefBased/>
  <w15:docId w15:val="{28E6032B-4D0C-4D77-8D3B-296D6072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F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F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FE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FE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FE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F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F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F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F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86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86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86FE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86FE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86FE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86F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86F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86F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86F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8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6F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86F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6F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86F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6F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6F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6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86F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6F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高斯 陈</dc:creator>
  <cp:keywords/>
  <dc:description/>
  <cp:lastModifiedBy>高斯 陈</cp:lastModifiedBy>
  <cp:revision>1</cp:revision>
  <dcterms:created xsi:type="dcterms:W3CDTF">2025-05-21T14:03:00Z</dcterms:created>
  <dcterms:modified xsi:type="dcterms:W3CDTF">2025-05-21T14:07:00Z</dcterms:modified>
</cp:coreProperties>
</file>