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B7070" w14:textId="5C44E3FD" w:rsidR="00A31EAF" w:rsidRDefault="00A31EAF" w:rsidP="0075156F">
      <w:pPr>
        <w:jc w:val="both"/>
        <w:rPr>
          <w:rFonts w:eastAsiaTheme="minorEastAsia" w:cs="Times New Roman"/>
          <w:b/>
          <w:bCs/>
        </w:rPr>
      </w:pPr>
      <w:r w:rsidRPr="00C667E3">
        <w:rPr>
          <w:rFonts w:cs="Times New Roman"/>
          <w:b/>
          <w:bCs/>
          <w:noProof/>
          <w:sz w:val="28"/>
          <w:szCs w:val="28"/>
        </w:rPr>
        <w:t>Supplementary Figure</w:t>
      </w:r>
    </w:p>
    <w:p w14:paraId="0D0DAA1E" w14:textId="77777777" w:rsidR="00A31EAF" w:rsidRDefault="00A31EAF" w:rsidP="00A31EAF">
      <w:pPr>
        <w:pStyle w:val="af2"/>
        <w:spacing w:before="300" w:after="300"/>
        <w:contextualSpacing/>
        <w:mirrorIndents/>
        <w:rPr>
          <w:b/>
          <w:bCs/>
        </w:rPr>
      </w:pPr>
      <w:r w:rsidRPr="004C22A8">
        <w:rPr>
          <w:rFonts w:hint="eastAsia"/>
          <w:b/>
          <w:bCs/>
        </w:rPr>
        <w:t>Ferroptosis resistance-related TEP1 as a novel prognostic biomarker involved in immune infiltration and progression of glioblastoma</w:t>
      </w:r>
    </w:p>
    <w:p w14:paraId="6044024F" w14:textId="77777777" w:rsidR="00A31EAF" w:rsidRDefault="00A31EAF" w:rsidP="00A31EAF">
      <w:pPr>
        <w:pStyle w:val="af2"/>
        <w:spacing w:before="300" w:after="300"/>
        <w:contextualSpacing/>
        <w:mirrorIndents/>
        <w:rPr>
          <w:vertAlign w:val="superscript"/>
        </w:rPr>
      </w:pPr>
      <w:proofErr w:type="spellStart"/>
      <w:r w:rsidRPr="00D53F15">
        <w:rPr>
          <w:rFonts w:hint="eastAsia"/>
        </w:rPr>
        <w:t>Kunxiang</w:t>
      </w:r>
      <w:proofErr w:type="spellEnd"/>
      <w:r w:rsidRPr="00D53F15">
        <w:rPr>
          <w:rFonts w:hint="eastAsia"/>
        </w:rPr>
        <w:t xml:space="preserve"> Chen</w:t>
      </w:r>
      <w:r w:rsidRPr="008E355C">
        <w:rPr>
          <w:rFonts w:hint="eastAsia"/>
          <w:vertAlign w:val="superscript"/>
        </w:rPr>
        <w:t>#</w:t>
      </w:r>
      <w:r w:rsidRPr="00D53F15">
        <w:rPr>
          <w:rFonts w:hint="eastAsia"/>
        </w:rPr>
        <w:t xml:space="preserve">, </w:t>
      </w:r>
      <w:proofErr w:type="spellStart"/>
      <w:r w:rsidRPr="00D53F15">
        <w:rPr>
          <w:rFonts w:hint="eastAsia"/>
        </w:rPr>
        <w:t>Chenzong</w:t>
      </w:r>
      <w:proofErr w:type="spellEnd"/>
      <w:r w:rsidRPr="00D53F15">
        <w:rPr>
          <w:rFonts w:hint="eastAsia"/>
        </w:rPr>
        <w:t xml:space="preserve"> Zhong</w:t>
      </w:r>
      <w:r w:rsidRPr="008E355C">
        <w:rPr>
          <w:rFonts w:hint="eastAsia"/>
          <w:vertAlign w:val="superscript"/>
        </w:rPr>
        <w:t>#</w:t>
      </w:r>
      <w:r w:rsidRPr="00D53F15">
        <w:rPr>
          <w:rFonts w:hint="eastAsia"/>
        </w:rPr>
        <w:t>, Yiqing Wang</w:t>
      </w:r>
      <w:r w:rsidRPr="008E355C">
        <w:rPr>
          <w:rFonts w:hint="eastAsia"/>
          <w:vertAlign w:val="superscript"/>
        </w:rPr>
        <w:t>#</w:t>
      </w:r>
      <w:r w:rsidRPr="00D53F15">
        <w:rPr>
          <w:rFonts w:hint="eastAsia"/>
        </w:rPr>
        <w:t xml:space="preserve">, </w:t>
      </w:r>
      <w:r>
        <w:rPr>
          <w:rFonts w:hint="eastAsia"/>
        </w:rPr>
        <w:t xml:space="preserve">Tao Liu, </w:t>
      </w:r>
      <w:r w:rsidRPr="00D53F15">
        <w:rPr>
          <w:rFonts w:hint="eastAsia"/>
        </w:rPr>
        <w:t xml:space="preserve">Huan Chen, Ruizhi Wu, </w:t>
      </w:r>
      <w:proofErr w:type="spellStart"/>
      <w:r w:rsidRPr="00D53F15">
        <w:rPr>
          <w:rFonts w:hint="eastAsia"/>
        </w:rPr>
        <w:t>Guanping</w:t>
      </w:r>
      <w:proofErr w:type="spellEnd"/>
      <w:r w:rsidRPr="00D53F15">
        <w:rPr>
          <w:rFonts w:hint="eastAsia"/>
        </w:rPr>
        <w:t xml:space="preserve"> Qiu,</w:t>
      </w:r>
      <w:r>
        <w:rPr>
          <w:rFonts w:hint="eastAsia"/>
        </w:rPr>
        <w:t xml:space="preserve"> </w:t>
      </w:r>
      <w:bookmarkStart w:id="0" w:name="_Hlk191850841"/>
      <w:r w:rsidRPr="00D53F15">
        <w:rPr>
          <w:rFonts w:hint="eastAsia"/>
        </w:rPr>
        <w:t>Siqi Zheng</w:t>
      </w:r>
      <w:bookmarkEnd w:id="0"/>
      <w:r w:rsidRPr="00D53F15">
        <w:rPr>
          <w:rFonts w:hint="eastAsia"/>
        </w:rPr>
        <w:t>, Yong Gao,</w:t>
      </w:r>
      <w:r>
        <w:rPr>
          <w:rFonts w:hint="eastAsia"/>
        </w:rPr>
        <w:t xml:space="preserve"> </w:t>
      </w:r>
      <w:bookmarkStart w:id="1" w:name="_Hlk191850892"/>
      <w:proofErr w:type="spellStart"/>
      <w:r w:rsidRPr="005405B6">
        <w:rPr>
          <w:rFonts w:hint="eastAsia"/>
        </w:rPr>
        <w:t>Yuean</w:t>
      </w:r>
      <w:proofErr w:type="spellEnd"/>
      <w:r w:rsidRPr="005405B6">
        <w:rPr>
          <w:rFonts w:hint="eastAsia"/>
        </w:rPr>
        <w:t xml:space="preserve"> Ping</w:t>
      </w:r>
      <w:bookmarkEnd w:id="1"/>
      <w:r w:rsidRPr="00D53F15">
        <w:rPr>
          <w:rFonts w:hint="eastAsia"/>
        </w:rPr>
        <w:t xml:space="preserve">, Qiang Zhou, </w:t>
      </w:r>
      <w:proofErr w:type="spellStart"/>
      <w:r w:rsidRPr="00D53F15">
        <w:rPr>
          <w:rFonts w:hint="eastAsia"/>
        </w:rPr>
        <w:t>Yuntao</w:t>
      </w:r>
      <w:proofErr w:type="spellEnd"/>
      <w:r w:rsidRPr="00D53F15">
        <w:rPr>
          <w:rFonts w:hint="eastAsia"/>
        </w:rPr>
        <w:t xml:space="preserve"> Lu</w:t>
      </w:r>
      <w:r>
        <w:rPr>
          <w:rFonts w:hint="eastAsia"/>
          <w:vertAlign w:val="superscript"/>
        </w:rPr>
        <w:t>*</w:t>
      </w:r>
      <w:r w:rsidRPr="00D53F15">
        <w:rPr>
          <w:rFonts w:hint="eastAsia"/>
        </w:rPr>
        <w:t>, Hong Li</w:t>
      </w:r>
      <w:r w:rsidRPr="00ED6C33">
        <w:rPr>
          <w:rFonts w:hint="eastAsia"/>
          <w:vertAlign w:val="superscript"/>
        </w:rPr>
        <w:t>*</w:t>
      </w:r>
    </w:p>
    <w:p w14:paraId="0F6BA27D" w14:textId="77777777" w:rsidR="00A31EAF" w:rsidRP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117FAD54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4752BA65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733F1CFE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0693051C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611EF335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7353A7C5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30EC4BF8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3AED19E9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08494612" w14:textId="77777777" w:rsid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0A984ACE" w14:textId="77777777" w:rsidR="00A31EAF" w:rsidRPr="00A31EAF" w:rsidRDefault="00A31EAF" w:rsidP="0075156F">
      <w:pPr>
        <w:jc w:val="both"/>
        <w:rPr>
          <w:rFonts w:eastAsiaTheme="minorEastAsia" w:cs="Times New Roman"/>
          <w:b/>
          <w:bCs/>
        </w:rPr>
      </w:pPr>
    </w:p>
    <w:p w14:paraId="1D0BBF21" w14:textId="5B1552A0" w:rsidR="00A31EAF" w:rsidRDefault="00CF50E9" w:rsidP="0075156F">
      <w:pPr>
        <w:jc w:val="both"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  <w:noProof/>
        </w:rPr>
        <w:lastRenderedPageBreak/>
        <w:drawing>
          <wp:inline distT="0" distB="0" distL="0" distR="0" wp14:anchorId="51F64422" wp14:editId="562A9A8A">
            <wp:extent cx="5270500" cy="3524250"/>
            <wp:effectExtent l="0" t="0" r="6350" b="0"/>
            <wp:docPr id="1019964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6D1E6" w14:textId="018316BB" w:rsidR="0075156F" w:rsidRPr="008E355C" w:rsidRDefault="0075156F" w:rsidP="0075156F">
      <w:pPr>
        <w:jc w:val="both"/>
        <w:rPr>
          <w:rFonts w:cs="Times New Roman"/>
          <w:shd w:val="clear" w:color="auto" w:fill="FFFFFF"/>
        </w:rPr>
      </w:pPr>
      <w:r w:rsidRPr="0075156F">
        <w:rPr>
          <w:rFonts w:cs="Times New Roman" w:hint="eastAsia"/>
          <w:b/>
          <w:bCs/>
        </w:rPr>
        <w:t>Supplementary Fig 1</w:t>
      </w:r>
      <w:r w:rsidRPr="008E355C">
        <w:rPr>
          <w:rFonts w:cs="Times New Roman" w:hint="eastAsia"/>
        </w:rPr>
        <w:t>.</w:t>
      </w:r>
      <w:r w:rsidR="00C84A41" w:rsidRPr="00C84A41">
        <w:t xml:space="preserve"> </w:t>
      </w:r>
      <w:r w:rsidR="00C84A41" w:rsidRPr="00C84A41">
        <w:rPr>
          <w:rFonts w:cs="Times New Roman"/>
          <w:b/>
          <w:bCs/>
        </w:rPr>
        <w:t>A</w:t>
      </w:r>
      <w:r w:rsidR="00C84A41" w:rsidRPr="00C84A41">
        <w:rPr>
          <w:rFonts w:cs="Times New Roman"/>
        </w:rPr>
        <w:t xml:space="preserve"> Protein abundance of TEP1 across multiple tumor types from the CPTAC database.</w:t>
      </w:r>
      <w:r w:rsidRPr="008E355C">
        <w:rPr>
          <w:rFonts w:cs="Times New Roman" w:hint="eastAsia"/>
          <w:shd w:val="clear" w:color="auto" w:fill="FFFFFF"/>
        </w:rPr>
        <w:t xml:space="preserve"> </w:t>
      </w:r>
      <w:r w:rsidRPr="008E355C">
        <w:rPr>
          <w:rFonts w:cs="Times New Roman" w:hint="eastAsia"/>
          <w:b/>
          <w:bCs/>
          <w:shd w:val="clear" w:color="auto" w:fill="FFFFFF"/>
        </w:rPr>
        <w:t>B</w:t>
      </w:r>
      <w:r w:rsidRPr="008E355C">
        <w:rPr>
          <w:rFonts w:cs="Times New Roman" w:hint="eastAsia"/>
          <w:shd w:val="clear" w:color="auto" w:fill="FFFFFF"/>
        </w:rPr>
        <w:t xml:space="preserve"> </w:t>
      </w:r>
      <w:bookmarkStart w:id="2" w:name="OLE_LINK6"/>
      <w:r w:rsidR="00C84A41" w:rsidRPr="00C84A41">
        <w:rPr>
          <w:rFonts w:cs="Times New Roman"/>
          <w:shd w:val="clear" w:color="auto" w:fill="FFFFFF"/>
        </w:rPr>
        <w:t>Variation of TEP1 expression by gender, age, chemotherapy status, and radiotherapy status in gliomas</w:t>
      </w:r>
      <w:r w:rsidR="00C84A41">
        <w:rPr>
          <w:rFonts w:cs="Times New Roman" w:hint="eastAsia"/>
          <w:shd w:val="clear" w:color="auto" w:fill="FFFFFF"/>
        </w:rPr>
        <w:t xml:space="preserve">. </w:t>
      </w:r>
      <w:r w:rsidRPr="002C2463">
        <w:rPr>
          <w:rFonts w:cs="Times New Roman" w:hint="eastAsia"/>
        </w:rPr>
        <w:t xml:space="preserve">ns, </w:t>
      </w:r>
      <w:r w:rsidRPr="003D7DC8">
        <w:rPr>
          <w:rFonts w:cs="Times New Roman"/>
        </w:rPr>
        <w:t>P</w:t>
      </w:r>
      <w:r>
        <w:rPr>
          <w:rFonts w:cs="Times New Roman" w:hint="eastAsia"/>
        </w:rPr>
        <w:t xml:space="preserve"> </w:t>
      </w:r>
      <w:r w:rsidRPr="003D7DC8">
        <w:rPr>
          <w:rFonts w:cs="Times New Roman"/>
        </w:rPr>
        <w:t>≥</w:t>
      </w:r>
      <w:r>
        <w:rPr>
          <w:rFonts w:cs="Times New Roman" w:hint="eastAsia"/>
        </w:rPr>
        <w:t xml:space="preserve"> </w:t>
      </w:r>
      <w:r w:rsidRPr="003D7DC8">
        <w:rPr>
          <w:rFonts w:cs="Times New Roman"/>
        </w:rPr>
        <w:t>0.05</w:t>
      </w:r>
      <w:r>
        <w:rPr>
          <w:rFonts w:cs="Times New Roman" w:hint="eastAsia"/>
        </w:rPr>
        <w:t>;</w:t>
      </w:r>
      <w:bookmarkEnd w:id="2"/>
      <w:r>
        <w:rPr>
          <w:rFonts w:cs="Times New Roman" w:hint="eastAsia"/>
        </w:rPr>
        <w:t xml:space="preserve"> </w:t>
      </w:r>
      <w:r w:rsidRPr="008E355C">
        <w:rPr>
          <w:rFonts w:cs="Times New Roman" w:hint="eastAsia"/>
          <w:shd w:val="clear" w:color="auto" w:fill="FFFFFF"/>
        </w:rPr>
        <w:t>*P &lt; 0.05; **P &lt;</w:t>
      </w:r>
      <w:r>
        <w:rPr>
          <w:rFonts w:cs="Times New Roman" w:hint="eastAsia"/>
          <w:shd w:val="clear" w:color="auto" w:fill="FFFFFF"/>
        </w:rPr>
        <w:t xml:space="preserve"> </w:t>
      </w:r>
      <w:r w:rsidRPr="008E355C">
        <w:rPr>
          <w:rFonts w:cs="Times New Roman" w:hint="eastAsia"/>
          <w:shd w:val="clear" w:color="auto" w:fill="FFFFFF"/>
        </w:rPr>
        <w:t>0.01; ***P &lt; 0.001</w:t>
      </w:r>
      <w:r>
        <w:rPr>
          <w:rFonts w:cs="Times New Roman" w:hint="eastAsia"/>
          <w:shd w:val="clear" w:color="auto" w:fill="FFFFFF"/>
        </w:rPr>
        <w:t>.</w:t>
      </w:r>
    </w:p>
    <w:p w14:paraId="7CB94FFC" w14:textId="77777777" w:rsidR="0075156F" w:rsidRDefault="0075156F">
      <w:pPr>
        <w:rPr>
          <w:rFonts w:eastAsiaTheme="minorEastAsia"/>
        </w:rPr>
      </w:pPr>
    </w:p>
    <w:p w14:paraId="5782D166" w14:textId="608AF774" w:rsidR="00A31EAF" w:rsidRPr="00A31EAF" w:rsidRDefault="00CF50E9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3BAC58F7" wp14:editId="111B0F67">
            <wp:extent cx="5270500" cy="6972300"/>
            <wp:effectExtent l="0" t="0" r="6350" b="0"/>
            <wp:docPr id="15862937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5A18A" w14:textId="22B695CF" w:rsidR="00E27057" w:rsidRPr="008E355C" w:rsidRDefault="0075156F" w:rsidP="00E27057">
      <w:pPr>
        <w:jc w:val="both"/>
        <w:rPr>
          <w:rFonts w:cs="Times New Roman"/>
          <w:shd w:val="clear" w:color="auto" w:fill="FFFFFF"/>
        </w:rPr>
      </w:pPr>
      <w:r w:rsidRPr="0075156F">
        <w:rPr>
          <w:rFonts w:cs="Times New Roman" w:hint="eastAsia"/>
          <w:b/>
          <w:bCs/>
        </w:rPr>
        <w:t>Supplementary Fig 2</w:t>
      </w:r>
      <w:r w:rsidRPr="008E355C">
        <w:rPr>
          <w:rFonts w:cs="Times New Roman" w:hint="eastAsia"/>
        </w:rPr>
        <w:t xml:space="preserve">. </w:t>
      </w:r>
      <w:r w:rsidRPr="008E355C">
        <w:rPr>
          <w:rFonts w:cs="Times New Roman" w:hint="eastAsia"/>
          <w:b/>
          <w:bCs/>
          <w:shd w:val="clear" w:color="auto" w:fill="FFFFFF"/>
        </w:rPr>
        <w:t>A</w:t>
      </w:r>
      <w:r w:rsidR="00E27057">
        <w:rPr>
          <w:rFonts w:cs="Times New Roman" w:hint="eastAsia"/>
        </w:rPr>
        <w:t xml:space="preserve"> </w:t>
      </w:r>
      <w:r w:rsidR="00E27057" w:rsidRPr="008E355C">
        <w:rPr>
          <w:rFonts w:cs="Times New Roman"/>
        </w:rPr>
        <w:t>The volcano plot display</w:t>
      </w:r>
      <w:r w:rsidR="00E27057" w:rsidRPr="008E355C">
        <w:rPr>
          <w:rFonts w:cs="Times New Roman" w:hint="eastAsia"/>
        </w:rPr>
        <w:t>ed</w:t>
      </w:r>
      <w:r w:rsidR="00E27057" w:rsidRPr="008E355C">
        <w:rPr>
          <w:rFonts w:cs="Times New Roman"/>
        </w:rPr>
        <w:t xml:space="preserve"> the differentially expressed genes (DEGs) between the high TEP1 and low TEP1 gro</w:t>
      </w:r>
      <w:r w:rsidR="00E27057" w:rsidRPr="00E27057">
        <w:rPr>
          <w:rFonts w:cs="Times New Roman"/>
          <w:color w:val="000000" w:themeColor="text1"/>
        </w:rPr>
        <w:t>u</w:t>
      </w:r>
      <w:r w:rsidR="00E27057" w:rsidRPr="008E355C">
        <w:rPr>
          <w:rFonts w:cs="Times New Roman"/>
        </w:rPr>
        <w:t>ps</w:t>
      </w:r>
      <w:r w:rsidR="00E27057" w:rsidRPr="008E355C">
        <w:rPr>
          <w:rFonts w:cs="Times New Roman" w:hint="eastAsia"/>
        </w:rPr>
        <w:t xml:space="preserve"> </w:t>
      </w:r>
      <w:r w:rsidR="00E27057" w:rsidRPr="00E27057">
        <w:rPr>
          <w:rFonts w:cs="Times New Roman"/>
          <w:color w:val="000000" w:themeColor="text1"/>
        </w:rPr>
        <w:t>in the</w:t>
      </w:r>
      <w:r w:rsidR="00E27057" w:rsidRPr="00E27057">
        <w:rPr>
          <w:rFonts w:cs="Times New Roman" w:hint="eastAsia"/>
          <w:color w:val="000000" w:themeColor="text1"/>
        </w:rPr>
        <w:t xml:space="preserve"> </w:t>
      </w:r>
      <w:r w:rsidR="00E27057" w:rsidRPr="008E355C">
        <w:rPr>
          <w:rFonts w:cs="Times New Roman" w:hint="eastAsia"/>
        </w:rPr>
        <w:t>TCGA-GBM database</w:t>
      </w:r>
      <w:r w:rsidR="00E27057" w:rsidRPr="008E355C">
        <w:rPr>
          <w:rFonts w:cs="Times New Roman"/>
        </w:rPr>
        <w:t xml:space="preserve">. </w:t>
      </w:r>
      <w:r w:rsidR="00E27057" w:rsidRPr="00E27057">
        <w:rPr>
          <w:rFonts w:cs="Times New Roman"/>
        </w:rPr>
        <w:t>Color gradients from blue to red indicating increasing significance of changes in gene expression.</w:t>
      </w:r>
      <w:r w:rsidR="00E27057">
        <w:rPr>
          <w:rFonts w:hint="eastAsia"/>
        </w:rPr>
        <w:t xml:space="preserve"> </w:t>
      </w:r>
      <w:r w:rsidR="00E27057" w:rsidRPr="008E355C">
        <w:rPr>
          <w:rFonts w:cs="Times New Roman"/>
          <w:b/>
          <w:bCs/>
          <w:shd w:val="clear" w:color="auto" w:fill="FFFFFF"/>
        </w:rPr>
        <w:t>B</w:t>
      </w:r>
      <w:r w:rsidR="00E27057" w:rsidRPr="008E355C">
        <w:rPr>
          <w:rFonts w:cs="Times New Roman"/>
          <w:shd w:val="clear" w:color="auto" w:fill="FFFFFF"/>
        </w:rPr>
        <w:t xml:space="preserve"> </w:t>
      </w:r>
      <w:r w:rsidR="00E27057" w:rsidRPr="00E27057">
        <w:rPr>
          <w:rFonts w:cs="Times New Roman"/>
        </w:rPr>
        <w:t xml:space="preserve">KEGG enrichment analysis of DEGs; bubble size representing the </w:t>
      </w:r>
      <w:r w:rsidR="00E27057" w:rsidRPr="00E27057">
        <w:rPr>
          <w:rFonts w:cs="Times New Roman"/>
        </w:rPr>
        <w:lastRenderedPageBreak/>
        <w:t>number of genes enriched in each pathway and bubble color corresponding to the adjusted p-value (adj. P) with a gradient from blue (higher adj. P) to red (lower adj. P).</w:t>
      </w:r>
      <w:r w:rsidR="00E27057">
        <w:rPr>
          <w:rFonts w:cs="Times New Roman" w:hint="eastAsia"/>
          <w:b/>
          <w:bCs/>
          <w:shd w:val="clear" w:color="auto" w:fill="FFFFFF"/>
        </w:rPr>
        <w:t xml:space="preserve"> </w:t>
      </w:r>
      <w:r w:rsidR="00E27057" w:rsidRPr="008E355C">
        <w:rPr>
          <w:rFonts w:cs="Times New Roman" w:hint="eastAsia"/>
          <w:b/>
          <w:bCs/>
          <w:shd w:val="clear" w:color="auto" w:fill="FFFFFF"/>
        </w:rPr>
        <w:t>C</w:t>
      </w:r>
      <w:r w:rsidR="00E27057" w:rsidRPr="008E355C">
        <w:rPr>
          <w:rFonts w:cs="Times New Roman" w:hint="eastAsia"/>
          <w:shd w:val="clear" w:color="auto" w:fill="FFFFFF"/>
        </w:rPr>
        <w:t xml:space="preserve"> </w:t>
      </w:r>
      <w:r w:rsidR="00E27057" w:rsidRPr="008E355C">
        <w:rPr>
          <w:rFonts w:cs="Times New Roman"/>
          <w:shd w:val="clear" w:color="auto" w:fill="FFFFFF"/>
        </w:rPr>
        <w:t>GO enrichment analysis of DEGs, categorized into cellular components (CC),</w:t>
      </w:r>
      <w:r w:rsidR="00E27057" w:rsidRPr="008E355C">
        <w:rPr>
          <w:rFonts w:cs="Times New Roman" w:hint="eastAsia"/>
          <w:shd w:val="clear" w:color="auto" w:fill="FFFFFF"/>
        </w:rPr>
        <w:t xml:space="preserve"> </w:t>
      </w:r>
      <w:r w:rsidR="00E27057" w:rsidRPr="008E355C">
        <w:rPr>
          <w:rFonts w:cs="Times New Roman"/>
          <w:shd w:val="clear" w:color="auto" w:fill="FFFFFF"/>
        </w:rPr>
        <w:t>biological processes (BP), and molecular functions (MF).</w:t>
      </w:r>
      <w:r w:rsidR="00E27057" w:rsidRPr="008E355C">
        <w:rPr>
          <w:rFonts w:cs="Times New Roman" w:hint="eastAsia"/>
          <w:shd w:val="clear" w:color="auto" w:fill="FFFFFF"/>
        </w:rPr>
        <w:t xml:space="preserve"> </w:t>
      </w:r>
      <w:r w:rsidR="00E27057" w:rsidRPr="008E355C">
        <w:rPr>
          <w:rFonts w:cs="Times New Roman" w:hint="eastAsia"/>
          <w:b/>
          <w:bCs/>
          <w:shd w:val="clear" w:color="auto" w:fill="FFFFFF"/>
        </w:rPr>
        <w:t>D</w:t>
      </w:r>
      <w:r w:rsidR="00E27057" w:rsidRPr="008E355C">
        <w:rPr>
          <w:rFonts w:cs="Times New Roman" w:hint="eastAsia"/>
          <w:shd w:val="clear" w:color="auto" w:fill="FFFFFF"/>
        </w:rPr>
        <w:t xml:space="preserve"> </w:t>
      </w:r>
      <w:r w:rsidR="00E27057" w:rsidRPr="00E27057">
        <w:rPr>
          <w:rFonts w:cs="Times New Roman"/>
          <w:shd w:val="clear" w:color="auto" w:fill="FFFFFF"/>
        </w:rPr>
        <w:t>Gene set enrichment analysis (GESA) comparing high-TEP1 and low-TEP1 groups from the CGGA-GBM dataset.</w:t>
      </w:r>
      <w:r w:rsidR="00E27057">
        <w:rPr>
          <w:rFonts w:eastAsiaTheme="minorEastAsia" w:cs="Times New Roman" w:hint="eastAsia"/>
          <w:shd w:val="clear" w:color="auto" w:fill="FFFFFF"/>
        </w:rPr>
        <w:t xml:space="preserve"> </w:t>
      </w:r>
      <w:r w:rsidR="00E27057">
        <w:rPr>
          <w:rFonts w:eastAsiaTheme="minorEastAsia" w:cs="Times New Roman" w:hint="eastAsia"/>
          <w:b/>
          <w:bCs/>
          <w:shd w:val="clear" w:color="auto" w:fill="FFFFFF"/>
        </w:rPr>
        <w:t>E</w:t>
      </w:r>
      <w:r w:rsidR="00E27057" w:rsidRPr="008E355C">
        <w:rPr>
          <w:rFonts w:cs="Times New Roman" w:hint="eastAsia"/>
          <w:shd w:val="clear" w:color="auto" w:fill="FFFFFF"/>
        </w:rPr>
        <w:t xml:space="preserve"> </w:t>
      </w:r>
      <w:r w:rsidR="00E27057" w:rsidRPr="00E27057">
        <w:rPr>
          <w:rFonts w:cs="Times New Roman"/>
          <w:shd w:val="clear" w:color="auto" w:fill="FFFFFF"/>
        </w:rPr>
        <w:t>Correlation heatmap of gene relationships from the CGGA-GBM dataset; color gradients transition from red (negative correlation) to blue (positive correlation), with tile or pie segment size and intensity indicating correlation strength.</w:t>
      </w:r>
    </w:p>
    <w:p w14:paraId="32223EE2" w14:textId="77777777" w:rsidR="0075156F" w:rsidRDefault="0075156F">
      <w:pPr>
        <w:rPr>
          <w:rFonts w:eastAsiaTheme="minorEastAsia"/>
        </w:rPr>
      </w:pPr>
    </w:p>
    <w:p w14:paraId="4F7003B1" w14:textId="0F714F13" w:rsidR="00A31EAF" w:rsidRPr="00A31EAF" w:rsidRDefault="00CF50E9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04742DBF" wp14:editId="2C88A47D">
            <wp:extent cx="5270500" cy="6972300"/>
            <wp:effectExtent l="0" t="0" r="6350" b="0"/>
            <wp:docPr id="19455502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2E041" w14:textId="2EC0282C" w:rsidR="0075156F" w:rsidRPr="008E355C" w:rsidRDefault="0075156F" w:rsidP="0075156F">
      <w:pPr>
        <w:jc w:val="both"/>
        <w:rPr>
          <w:rFonts w:cs="Times New Roman"/>
        </w:rPr>
      </w:pPr>
      <w:r w:rsidRPr="0075156F">
        <w:rPr>
          <w:rFonts w:cs="Times New Roman" w:hint="eastAsia"/>
          <w:b/>
          <w:bCs/>
        </w:rPr>
        <w:t>Supplementary</w:t>
      </w:r>
      <w:r w:rsidRPr="0075156F">
        <w:rPr>
          <w:rFonts w:cs="Times New Roman"/>
          <w:b/>
          <w:bCs/>
        </w:rPr>
        <w:t xml:space="preserve"> Fig.</w:t>
      </w:r>
      <w:r w:rsidRPr="0075156F">
        <w:rPr>
          <w:rFonts w:cs="Times New Roman" w:hint="eastAsia"/>
          <w:b/>
          <w:bCs/>
        </w:rPr>
        <w:t xml:space="preserve"> 3</w:t>
      </w:r>
      <w:r w:rsidRPr="008E355C">
        <w:rPr>
          <w:rFonts w:cs="Times New Roman" w:hint="eastAsia"/>
        </w:rPr>
        <w:t xml:space="preserve"> </w:t>
      </w:r>
      <w:r w:rsidRPr="008E355C">
        <w:rPr>
          <w:rFonts w:cs="Times New Roman"/>
          <w:b/>
          <w:bCs/>
        </w:rPr>
        <w:t>A</w:t>
      </w:r>
      <w:r w:rsidR="00E27057" w:rsidRPr="00E27057">
        <w:rPr>
          <w:rFonts w:cs="Times New Roman"/>
        </w:rPr>
        <w:t xml:space="preserve"> </w:t>
      </w:r>
      <w:r w:rsidR="00E27057" w:rsidRPr="00005EA3">
        <w:rPr>
          <w:rFonts w:cs="Times New Roman"/>
        </w:rPr>
        <w:t>Volcano plot of differential drug sensitivities between high-TEP1 and low-TEP1 groups based on the GDSC-predicted drug sensitivity matrix in the CGGA-GBM dataset</w:t>
      </w:r>
      <w:r w:rsidRPr="008E355C">
        <w:rPr>
          <w:rFonts w:cs="Times New Roman"/>
        </w:rPr>
        <w:t>.</w:t>
      </w:r>
      <w:r w:rsidRPr="008E355C">
        <w:rPr>
          <w:rFonts w:cs="Times New Roman" w:hint="eastAsia"/>
        </w:rPr>
        <w:t xml:space="preserve"> </w:t>
      </w:r>
      <w:r w:rsidRPr="008E355C">
        <w:rPr>
          <w:rFonts w:cs="Times New Roman"/>
          <w:b/>
          <w:bCs/>
        </w:rPr>
        <w:t>B</w:t>
      </w:r>
      <w:r w:rsidR="000A1891">
        <w:rPr>
          <w:rFonts w:eastAsiaTheme="minorEastAsia" w:cs="Times New Roman" w:hint="eastAsia"/>
        </w:rPr>
        <w:t xml:space="preserve"> </w:t>
      </w:r>
      <w:r w:rsidR="000A1891" w:rsidRPr="000A1891">
        <w:rPr>
          <w:rFonts w:eastAsiaTheme="minorEastAsia" w:cs="Times New Roman"/>
        </w:rPr>
        <w:t>Boxplot of the IC50 distribution for these drugs in high-TEP1 and low-TEP1 groups from the same dataset as in (A)</w:t>
      </w:r>
      <w:r w:rsidRPr="008E355C">
        <w:rPr>
          <w:rFonts w:cs="Times New Roman"/>
        </w:rPr>
        <w:t>.</w:t>
      </w:r>
      <w:r w:rsidRPr="008E355C">
        <w:rPr>
          <w:rFonts w:cs="Times New Roman" w:hint="eastAsia"/>
        </w:rPr>
        <w:t xml:space="preserve"> </w:t>
      </w:r>
      <w:r w:rsidRPr="008E355C">
        <w:rPr>
          <w:rFonts w:cs="Times New Roman"/>
          <w:b/>
          <w:bCs/>
        </w:rPr>
        <w:t>C</w:t>
      </w:r>
      <w:r w:rsidRPr="008E355C">
        <w:rPr>
          <w:rFonts w:cs="Times New Roman" w:hint="eastAsia"/>
          <w:b/>
          <w:bCs/>
        </w:rPr>
        <w:t xml:space="preserve"> </w:t>
      </w:r>
      <w:r w:rsidR="00E27057" w:rsidRPr="00005EA3">
        <w:rPr>
          <w:rFonts w:cs="Times New Roman"/>
        </w:rPr>
        <w:t xml:space="preserve">Volcano plot of </w:t>
      </w:r>
      <w:r w:rsidR="00E27057" w:rsidRPr="00005EA3">
        <w:rPr>
          <w:rFonts w:cs="Times New Roman"/>
        </w:rPr>
        <w:lastRenderedPageBreak/>
        <w:t xml:space="preserve">differential drug sensitivities between high-TEP1 and low-TEP1 groups based on the GDSC-predicted drug sensitivity matrix in the </w:t>
      </w:r>
      <w:r w:rsidR="00E27057">
        <w:rPr>
          <w:rFonts w:eastAsiaTheme="minorEastAsia" w:cs="Times New Roman" w:hint="eastAsia"/>
        </w:rPr>
        <w:t>TCGA</w:t>
      </w:r>
      <w:r w:rsidR="00E27057" w:rsidRPr="00005EA3">
        <w:rPr>
          <w:rFonts w:cs="Times New Roman"/>
        </w:rPr>
        <w:t>-GBM dataset</w:t>
      </w:r>
      <w:r w:rsidR="00E27057" w:rsidRPr="008E355C">
        <w:rPr>
          <w:rFonts w:cs="Times New Roman"/>
        </w:rPr>
        <w:t>.</w:t>
      </w:r>
      <w:r w:rsidR="00E27057">
        <w:rPr>
          <w:rFonts w:eastAsiaTheme="minorEastAsia" w:cs="Times New Roman" w:hint="eastAsia"/>
        </w:rPr>
        <w:t xml:space="preserve"> </w:t>
      </w:r>
      <w:r w:rsidRPr="008E355C">
        <w:rPr>
          <w:rFonts w:cs="Times New Roman"/>
          <w:b/>
          <w:bCs/>
        </w:rPr>
        <w:t>D</w:t>
      </w:r>
      <w:r w:rsidR="000A1891">
        <w:rPr>
          <w:rFonts w:eastAsiaTheme="minorEastAsia" w:cs="Times New Roman" w:hint="eastAsia"/>
        </w:rPr>
        <w:t xml:space="preserve"> </w:t>
      </w:r>
      <w:r w:rsidR="000A1891" w:rsidRPr="000A1891">
        <w:rPr>
          <w:rFonts w:eastAsiaTheme="minorEastAsia" w:cs="Times New Roman"/>
        </w:rPr>
        <w:t>Boxplot of the IC50 distribution for these drugs in high-TEP1 and low-TEP1 groups from the same dataset as in (</w:t>
      </w:r>
      <w:r w:rsidR="000A1891">
        <w:rPr>
          <w:rFonts w:eastAsiaTheme="minorEastAsia" w:cs="Times New Roman" w:hint="eastAsia"/>
        </w:rPr>
        <w:t>C</w:t>
      </w:r>
      <w:r w:rsidR="000A1891" w:rsidRPr="000A1891">
        <w:rPr>
          <w:rFonts w:eastAsiaTheme="minorEastAsia" w:cs="Times New Roman"/>
        </w:rPr>
        <w:t>)</w:t>
      </w:r>
      <w:r w:rsidR="00E27057" w:rsidRPr="008E355C">
        <w:rPr>
          <w:rFonts w:cs="Times New Roman"/>
        </w:rPr>
        <w:t>.</w:t>
      </w:r>
      <w:r w:rsidR="00E27057">
        <w:rPr>
          <w:rFonts w:eastAsiaTheme="minorEastAsia" w:cs="Times New Roman" w:hint="eastAsia"/>
        </w:rPr>
        <w:t xml:space="preserve"> </w:t>
      </w:r>
      <w:r w:rsidRPr="00472487">
        <w:rPr>
          <w:rFonts w:cs="Times New Roman" w:hint="eastAsia"/>
          <w:b/>
          <w:bCs/>
        </w:rPr>
        <w:t>E</w:t>
      </w:r>
      <w:r>
        <w:rPr>
          <w:rFonts w:cs="Times New Roman" w:hint="eastAsia"/>
        </w:rPr>
        <w:t xml:space="preserve"> </w:t>
      </w:r>
      <w:r w:rsidR="000A1891" w:rsidRPr="000A1891">
        <w:rPr>
          <w:rFonts w:cs="Times New Roman"/>
        </w:rPr>
        <w:t>Correlation plot of TEP1 expression versus IC50 values of RSL3/NAC from GDSC and CTRP drug response data in TCGA-GBM samples.</w:t>
      </w:r>
      <w:r w:rsidR="000A1891">
        <w:rPr>
          <w:rFonts w:eastAsiaTheme="minorEastAsia" w:cs="Times New Roman" w:hint="eastAsia"/>
        </w:rPr>
        <w:t xml:space="preserve"> </w:t>
      </w:r>
      <w:r w:rsidRPr="002C2463">
        <w:rPr>
          <w:rFonts w:cs="Times New Roman" w:hint="eastAsia"/>
        </w:rPr>
        <w:t xml:space="preserve">ns, </w:t>
      </w:r>
      <w:r w:rsidRPr="003D7DC8">
        <w:rPr>
          <w:rFonts w:cs="Times New Roman"/>
        </w:rPr>
        <w:t>P</w:t>
      </w:r>
      <w:r>
        <w:rPr>
          <w:rFonts w:cs="Times New Roman" w:hint="eastAsia"/>
        </w:rPr>
        <w:t xml:space="preserve"> </w:t>
      </w:r>
      <w:r w:rsidRPr="003D7DC8">
        <w:rPr>
          <w:rFonts w:cs="Times New Roman"/>
        </w:rPr>
        <w:t>≥</w:t>
      </w:r>
      <w:r>
        <w:rPr>
          <w:rFonts w:cs="Times New Roman" w:hint="eastAsia"/>
        </w:rPr>
        <w:t xml:space="preserve"> </w:t>
      </w:r>
      <w:r w:rsidRPr="003D7DC8">
        <w:rPr>
          <w:rFonts w:cs="Times New Roman"/>
        </w:rPr>
        <w:t>0.05</w:t>
      </w:r>
      <w:r>
        <w:rPr>
          <w:rFonts w:cs="Times New Roman" w:hint="eastAsia"/>
        </w:rPr>
        <w:t xml:space="preserve">; </w:t>
      </w:r>
      <w:r w:rsidRPr="008E355C">
        <w:rPr>
          <w:rFonts w:cs="Times New Roman" w:hint="eastAsia"/>
          <w:shd w:val="clear" w:color="auto" w:fill="FFFFFF"/>
        </w:rPr>
        <w:t>*P &lt; 0.05; **P &lt; 0.01; ***P &lt; 0.001</w:t>
      </w:r>
      <w:r>
        <w:rPr>
          <w:rFonts w:cs="Times New Roman" w:hint="eastAsia"/>
          <w:shd w:val="clear" w:color="auto" w:fill="FFFFFF"/>
        </w:rPr>
        <w:t>.</w:t>
      </w:r>
    </w:p>
    <w:p w14:paraId="3360F063" w14:textId="77777777" w:rsidR="0075156F" w:rsidRDefault="0075156F">
      <w:pPr>
        <w:rPr>
          <w:rFonts w:eastAsiaTheme="minorEastAsia"/>
        </w:rPr>
      </w:pPr>
    </w:p>
    <w:p w14:paraId="1BFDEBB5" w14:textId="77777777" w:rsidR="00A31EAF" w:rsidRDefault="00A31EAF">
      <w:pPr>
        <w:rPr>
          <w:rFonts w:eastAsiaTheme="minorEastAsia"/>
        </w:rPr>
      </w:pPr>
    </w:p>
    <w:p w14:paraId="2BF7825A" w14:textId="77777777" w:rsidR="00A31EAF" w:rsidRDefault="00A31EAF">
      <w:pPr>
        <w:rPr>
          <w:rFonts w:eastAsiaTheme="minorEastAsia"/>
        </w:rPr>
      </w:pPr>
    </w:p>
    <w:p w14:paraId="17DA4B12" w14:textId="77777777" w:rsidR="00A31EAF" w:rsidRDefault="00A31EAF">
      <w:pPr>
        <w:rPr>
          <w:rFonts w:eastAsiaTheme="minorEastAsia"/>
        </w:rPr>
      </w:pPr>
    </w:p>
    <w:p w14:paraId="1114A18F" w14:textId="77777777" w:rsidR="00A31EAF" w:rsidRDefault="00A31EAF">
      <w:pPr>
        <w:rPr>
          <w:rFonts w:eastAsiaTheme="minorEastAsia"/>
        </w:rPr>
      </w:pPr>
    </w:p>
    <w:p w14:paraId="33FBC327" w14:textId="57F2E774" w:rsidR="00A31EAF" w:rsidRPr="00A31EAF" w:rsidRDefault="00CF50E9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2BF6CDBF" wp14:editId="1CA62290">
            <wp:extent cx="5270500" cy="4495800"/>
            <wp:effectExtent l="0" t="0" r="6350" b="0"/>
            <wp:docPr id="72229398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D6E5A" w14:textId="4AFC753A" w:rsidR="0075156F" w:rsidRPr="001F6380" w:rsidRDefault="0075156F" w:rsidP="001F6380">
      <w:pPr>
        <w:jc w:val="both"/>
        <w:rPr>
          <w:rFonts w:eastAsiaTheme="minorEastAsia" w:cs="Times New Roman"/>
          <w:shd w:val="clear" w:color="auto" w:fill="FFFFFF"/>
        </w:rPr>
      </w:pPr>
      <w:r w:rsidRPr="0075156F">
        <w:rPr>
          <w:rFonts w:cs="Times New Roman" w:hint="eastAsia"/>
          <w:b/>
          <w:bCs/>
        </w:rPr>
        <w:t>Supplementary</w:t>
      </w:r>
      <w:r w:rsidRPr="0075156F">
        <w:rPr>
          <w:rFonts w:cs="Times New Roman"/>
          <w:b/>
          <w:bCs/>
        </w:rPr>
        <w:t xml:space="preserve"> Fig.</w:t>
      </w:r>
      <w:r w:rsidRPr="0075156F">
        <w:rPr>
          <w:rFonts w:cs="Times New Roman" w:hint="eastAsia"/>
          <w:b/>
          <w:bCs/>
        </w:rPr>
        <w:t xml:space="preserve"> 4</w:t>
      </w:r>
      <w:r w:rsidRPr="008E355C">
        <w:rPr>
          <w:rFonts w:cs="Times New Roman" w:hint="eastAsia"/>
        </w:rPr>
        <w:t xml:space="preserve"> </w:t>
      </w:r>
      <w:r w:rsidRPr="008E355C">
        <w:rPr>
          <w:rFonts w:cs="Times New Roman"/>
          <w:b/>
          <w:bCs/>
          <w:shd w:val="clear" w:color="auto" w:fill="FFFFFF"/>
        </w:rPr>
        <w:t>A</w:t>
      </w:r>
      <w:r w:rsidR="000A1891">
        <w:rPr>
          <w:rFonts w:eastAsiaTheme="minorEastAsia" w:cs="Times New Roman" w:hint="eastAsia"/>
          <w:shd w:val="clear" w:color="auto" w:fill="FFFFFF"/>
        </w:rPr>
        <w:t xml:space="preserve"> </w:t>
      </w:r>
      <w:r w:rsidR="000A1891" w:rsidRPr="000A1891">
        <w:rPr>
          <w:rFonts w:eastAsiaTheme="minorEastAsia" w:cs="Times New Roman"/>
          <w:shd w:val="clear" w:color="auto" w:fill="FFFFFF"/>
        </w:rPr>
        <w:t>Western blot analysis of TEP1 knockdown efficiency in T98G and U251 cell lines.</w:t>
      </w:r>
      <w:r w:rsidRPr="008E355C">
        <w:rPr>
          <w:rFonts w:cs="Times New Roman"/>
          <w:shd w:val="clear" w:color="auto" w:fill="FFFFFF"/>
        </w:rPr>
        <w:t> </w:t>
      </w:r>
      <w:r w:rsidRPr="008E355C">
        <w:rPr>
          <w:rFonts w:cs="Times New Roman" w:hint="eastAsia"/>
          <w:shd w:val="clear" w:color="auto" w:fill="FFFFFF"/>
        </w:rPr>
        <w:t xml:space="preserve"> </w:t>
      </w:r>
      <w:r w:rsidRPr="008E355C">
        <w:rPr>
          <w:rFonts w:cs="Times New Roman"/>
          <w:b/>
          <w:bCs/>
          <w:shd w:val="clear" w:color="auto" w:fill="FFFFFF"/>
        </w:rPr>
        <w:t>B</w:t>
      </w:r>
      <w:r w:rsidRPr="008E355C">
        <w:rPr>
          <w:rFonts w:cs="Times New Roman"/>
          <w:shd w:val="clear" w:color="auto" w:fill="FFFFFF"/>
        </w:rPr>
        <w:t xml:space="preserve"> </w:t>
      </w:r>
      <w:r w:rsidR="000A1891" w:rsidRPr="000A1891">
        <w:rPr>
          <w:rFonts w:cs="Times New Roman"/>
          <w:shd w:val="clear" w:color="auto" w:fill="FFFFFF"/>
        </w:rPr>
        <w:t>Western blot analysis of TEP1 overexpression in U87MG and LN229 cell lines.</w:t>
      </w:r>
      <w:r w:rsidR="000A1891">
        <w:rPr>
          <w:rFonts w:eastAsiaTheme="minorEastAsia" w:cs="Times New Roman" w:hint="eastAsia"/>
          <w:shd w:val="clear" w:color="auto" w:fill="FFFFFF"/>
        </w:rPr>
        <w:t xml:space="preserve"> </w:t>
      </w:r>
      <w:r w:rsidRPr="008E355C">
        <w:rPr>
          <w:rFonts w:cs="Times New Roman"/>
          <w:b/>
          <w:bCs/>
          <w:shd w:val="clear" w:color="auto" w:fill="FFFFFF"/>
        </w:rPr>
        <w:t>C</w:t>
      </w:r>
      <w:r w:rsidRPr="008E355C">
        <w:rPr>
          <w:rFonts w:cs="Times New Roman"/>
          <w:shd w:val="clear" w:color="auto" w:fill="FFFFFF"/>
        </w:rPr>
        <w:t xml:space="preserve"> </w:t>
      </w:r>
      <w:r w:rsidR="003223B7" w:rsidRPr="003223B7">
        <w:rPr>
          <w:rFonts w:cs="Times New Roman"/>
          <w:shd w:val="clear" w:color="auto" w:fill="FFFFFF"/>
        </w:rPr>
        <w:t xml:space="preserve">Representative phase-contrast microscopy images of U87MG and LN229 cells treated with RSL3 (1 </w:t>
      </w:r>
      <w:proofErr w:type="spellStart"/>
      <w:r w:rsidR="003223B7" w:rsidRPr="003223B7">
        <w:rPr>
          <w:rFonts w:cs="Times New Roman"/>
          <w:shd w:val="clear" w:color="auto" w:fill="FFFFFF"/>
        </w:rPr>
        <w:t>μM</w:t>
      </w:r>
      <w:proofErr w:type="spellEnd"/>
      <w:r w:rsidR="003223B7" w:rsidRPr="003223B7">
        <w:rPr>
          <w:rFonts w:cs="Times New Roman"/>
          <w:shd w:val="clear" w:color="auto" w:fill="FFFFFF"/>
        </w:rPr>
        <w:t>) under oe-TEP1 or vector control conditions.</w:t>
      </w:r>
      <w:r w:rsidR="003223B7">
        <w:rPr>
          <w:rFonts w:eastAsiaTheme="minorEastAsia" w:cs="Times New Roman" w:hint="eastAsia"/>
          <w:shd w:val="clear" w:color="auto" w:fill="FFFFFF"/>
        </w:rPr>
        <w:t xml:space="preserve"> </w:t>
      </w:r>
      <w:r w:rsidRPr="008E355C">
        <w:rPr>
          <w:rFonts w:cs="Times New Roman"/>
          <w:shd w:val="clear" w:color="auto" w:fill="FFFFFF"/>
        </w:rPr>
        <w:t>Scale bar:</w:t>
      </w:r>
      <w:r w:rsidRPr="008E355C">
        <w:rPr>
          <w:rFonts w:cs="Times New Roman" w:hint="eastAsia"/>
          <w:shd w:val="clear" w:color="auto" w:fill="FFFFFF"/>
        </w:rPr>
        <w:t xml:space="preserve"> </w:t>
      </w:r>
      <w:r w:rsidRPr="008E355C">
        <w:rPr>
          <w:rFonts w:cs="Times New Roman"/>
          <w:shd w:val="clear" w:color="auto" w:fill="FFFFFF"/>
        </w:rPr>
        <w:t xml:space="preserve">50 </w:t>
      </w:r>
      <w:proofErr w:type="spellStart"/>
      <w:r w:rsidRPr="008E355C">
        <w:rPr>
          <w:rFonts w:cs="Times New Roman"/>
          <w:shd w:val="clear" w:color="auto" w:fill="FFFFFF"/>
        </w:rPr>
        <w:t>μm</w:t>
      </w:r>
      <w:proofErr w:type="spellEnd"/>
      <w:r w:rsidRPr="008E355C">
        <w:rPr>
          <w:rFonts w:cs="Times New Roman"/>
          <w:shd w:val="clear" w:color="auto" w:fill="FFFFFF"/>
        </w:rPr>
        <w:t xml:space="preserve">.  </w:t>
      </w:r>
      <w:r w:rsidR="005A03C9">
        <w:rPr>
          <w:rFonts w:eastAsiaTheme="minorEastAsia" w:cs="Times New Roman" w:hint="eastAsia"/>
          <w:shd w:val="clear" w:color="auto" w:fill="FFFFFF"/>
        </w:rPr>
        <w:t>C</w:t>
      </w:r>
      <w:r w:rsidR="005A03C9" w:rsidRPr="005A03C9">
        <w:rPr>
          <w:rFonts w:cs="Times New Roman"/>
          <w:shd w:val="clear" w:color="auto" w:fill="FFFFFF"/>
        </w:rPr>
        <w:t xml:space="preserve">olony formation </w:t>
      </w:r>
      <w:proofErr w:type="gramStart"/>
      <w:r w:rsidR="005A03C9" w:rsidRPr="005A03C9">
        <w:rPr>
          <w:rFonts w:cs="Times New Roman"/>
          <w:shd w:val="clear" w:color="auto" w:fill="FFFFFF"/>
        </w:rPr>
        <w:t>assays</w:t>
      </w:r>
      <w:proofErr w:type="gramEnd"/>
      <w:r w:rsidR="005A03C9" w:rsidRPr="005A03C9">
        <w:rPr>
          <w:rFonts w:cs="Times New Roman"/>
          <w:shd w:val="clear" w:color="auto" w:fill="FFFFFF"/>
        </w:rPr>
        <w:t xml:space="preserve"> with corresponding colony counts (</w:t>
      </w:r>
      <w:r w:rsidR="005A03C9" w:rsidRPr="005A03C9">
        <w:rPr>
          <w:rFonts w:cs="Times New Roman"/>
          <w:b/>
          <w:bCs/>
          <w:shd w:val="clear" w:color="auto" w:fill="FFFFFF"/>
        </w:rPr>
        <w:t>D</w:t>
      </w:r>
      <w:r w:rsidR="005A03C9" w:rsidRPr="005A03C9">
        <w:rPr>
          <w:rFonts w:cs="Times New Roman"/>
          <w:shd w:val="clear" w:color="auto" w:fill="FFFFFF"/>
        </w:rPr>
        <w:t>), cell viability (</w:t>
      </w:r>
      <w:r w:rsidR="005A03C9" w:rsidRPr="005A03C9">
        <w:rPr>
          <w:rFonts w:cs="Times New Roman"/>
          <w:b/>
          <w:bCs/>
          <w:shd w:val="clear" w:color="auto" w:fill="FFFFFF"/>
        </w:rPr>
        <w:t>E</w:t>
      </w:r>
      <w:r w:rsidR="005A03C9" w:rsidRPr="005A03C9">
        <w:rPr>
          <w:rFonts w:cs="Times New Roman"/>
          <w:shd w:val="clear" w:color="auto" w:fill="FFFFFF"/>
        </w:rPr>
        <w:t>), and intracellular levels of GSH (</w:t>
      </w:r>
      <w:r w:rsidR="005A03C9" w:rsidRPr="005A03C9">
        <w:rPr>
          <w:rFonts w:cs="Times New Roman"/>
          <w:b/>
          <w:bCs/>
          <w:shd w:val="clear" w:color="auto" w:fill="FFFFFF"/>
        </w:rPr>
        <w:t>F</w:t>
      </w:r>
      <w:r w:rsidR="005A03C9" w:rsidRPr="005A03C9">
        <w:rPr>
          <w:rFonts w:cs="Times New Roman"/>
          <w:shd w:val="clear" w:color="auto" w:fill="FFFFFF"/>
        </w:rPr>
        <w:t>) and MDA (</w:t>
      </w:r>
      <w:r w:rsidR="005A03C9" w:rsidRPr="005A03C9">
        <w:rPr>
          <w:rFonts w:cs="Times New Roman"/>
          <w:b/>
          <w:bCs/>
          <w:shd w:val="clear" w:color="auto" w:fill="FFFFFF"/>
        </w:rPr>
        <w:t>G</w:t>
      </w:r>
      <w:r w:rsidR="005A03C9" w:rsidRPr="005A03C9">
        <w:rPr>
          <w:rFonts w:cs="Times New Roman"/>
          <w:shd w:val="clear" w:color="auto" w:fill="FFFFFF"/>
        </w:rPr>
        <w:t>) in U87MG and LN229 cells treated with</w:t>
      </w:r>
      <w:r w:rsidR="005A03C9">
        <w:rPr>
          <w:rFonts w:eastAsiaTheme="minorEastAsia" w:cs="Times New Roman" w:hint="eastAsia"/>
          <w:shd w:val="clear" w:color="auto" w:fill="FFFFFF"/>
        </w:rPr>
        <w:t xml:space="preserve"> or without</w:t>
      </w:r>
      <w:r w:rsidR="005A03C9" w:rsidRPr="005A03C9">
        <w:rPr>
          <w:rFonts w:cs="Times New Roman"/>
          <w:shd w:val="clear" w:color="auto" w:fill="FFFFFF"/>
        </w:rPr>
        <w:t xml:space="preserve"> RSL3 (0.3 </w:t>
      </w:r>
      <w:proofErr w:type="spellStart"/>
      <w:r w:rsidR="005A03C9" w:rsidRPr="005A03C9">
        <w:rPr>
          <w:rFonts w:cs="Times New Roman"/>
          <w:shd w:val="clear" w:color="auto" w:fill="FFFFFF"/>
        </w:rPr>
        <w:t>μM</w:t>
      </w:r>
      <w:proofErr w:type="spellEnd"/>
      <w:r w:rsidR="005A03C9" w:rsidRPr="005A03C9">
        <w:rPr>
          <w:rFonts w:cs="Times New Roman"/>
          <w:shd w:val="clear" w:color="auto" w:fill="FFFFFF"/>
        </w:rPr>
        <w:t xml:space="preserve">) </w:t>
      </w:r>
      <w:r w:rsidR="005A03C9">
        <w:rPr>
          <w:rFonts w:eastAsiaTheme="minorEastAsia" w:cs="Times New Roman" w:hint="eastAsia"/>
          <w:shd w:val="clear" w:color="auto" w:fill="FFFFFF"/>
        </w:rPr>
        <w:t>u</w:t>
      </w:r>
      <w:r w:rsidR="005A03C9" w:rsidRPr="005A03C9">
        <w:rPr>
          <w:rFonts w:cs="Times New Roman"/>
          <w:shd w:val="clear" w:color="auto" w:fill="FFFFFF"/>
        </w:rPr>
        <w:t>nder oeTEP1 or vector control conditions have been quantified and are presented as histograms.</w:t>
      </w:r>
      <w:r w:rsidR="005A03C9">
        <w:rPr>
          <w:rFonts w:eastAsiaTheme="minorEastAsia" w:cs="Times New Roman" w:hint="eastAsia"/>
          <w:shd w:val="clear" w:color="auto" w:fill="FFFFFF"/>
        </w:rPr>
        <w:t xml:space="preserve"> </w:t>
      </w:r>
      <w:r w:rsidR="001F6380">
        <w:rPr>
          <w:rFonts w:eastAsiaTheme="minorEastAsia" w:cs="Times New Roman" w:hint="eastAsia"/>
          <w:shd w:val="clear" w:color="auto" w:fill="FFFFFF"/>
        </w:rPr>
        <w:t>(</w:t>
      </w:r>
      <w:r w:rsidR="001F6380" w:rsidRPr="001F6380">
        <w:rPr>
          <w:rFonts w:eastAsiaTheme="minorEastAsia" w:cs="Times New Roman" w:hint="eastAsia"/>
          <w:b/>
          <w:bCs/>
          <w:shd w:val="clear" w:color="auto" w:fill="FFFFFF"/>
        </w:rPr>
        <w:t>H</w:t>
      </w:r>
      <w:r w:rsidR="001F6380">
        <w:rPr>
          <w:rFonts w:eastAsiaTheme="minorEastAsia" w:cs="Times New Roman" w:hint="eastAsia"/>
          <w:shd w:val="clear" w:color="auto" w:fill="FFFFFF"/>
        </w:rPr>
        <w:t>)</w:t>
      </w:r>
      <w:r w:rsidR="001F6380" w:rsidRPr="001F6380">
        <w:rPr>
          <w:rFonts w:cs="Times New Roman"/>
          <w:shd w:val="clear" w:color="auto" w:fill="FFFFFF"/>
        </w:rPr>
        <w:t xml:space="preserve"> </w:t>
      </w:r>
      <w:r w:rsidR="001F6380">
        <w:rPr>
          <w:rFonts w:eastAsiaTheme="minorEastAsia" w:cs="Times New Roman" w:hint="eastAsia"/>
          <w:shd w:val="clear" w:color="auto" w:fill="FFFFFF"/>
        </w:rPr>
        <w:t>C</w:t>
      </w:r>
      <w:r w:rsidR="001F6380" w:rsidRPr="005A03C9">
        <w:rPr>
          <w:rFonts w:cs="Times New Roman"/>
          <w:shd w:val="clear" w:color="auto" w:fill="FFFFFF"/>
        </w:rPr>
        <w:t>ell viability</w:t>
      </w:r>
      <w:r w:rsidR="001F6380">
        <w:rPr>
          <w:rFonts w:eastAsiaTheme="minorEastAsia" w:cs="Times New Roman" w:hint="eastAsia"/>
          <w:shd w:val="clear" w:color="auto" w:fill="FFFFFF"/>
        </w:rPr>
        <w:t xml:space="preserve"> </w:t>
      </w:r>
      <w:r w:rsidR="001F6380" w:rsidRPr="005A03C9">
        <w:rPr>
          <w:rFonts w:cs="Times New Roman"/>
          <w:shd w:val="clear" w:color="auto" w:fill="FFFFFF"/>
        </w:rPr>
        <w:t xml:space="preserve">in </w:t>
      </w:r>
      <w:r w:rsidR="001F6380">
        <w:rPr>
          <w:rFonts w:eastAsiaTheme="minorEastAsia" w:cs="Times New Roman" w:hint="eastAsia"/>
          <w:shd w:val="clear" w:color="auto" w:fill="FFFFFF"/>
        </w:rPr>
        <w:t xml:space="preserve">T98 </w:t>
      </w:r>
      <w:r w:rsidR="001F6380" w:rsidRPr="005A03C9">
        <w:rPr>
          <w:rFonts w:cs="Times New Roman"/>
          <w:shd w:val="clear" w:color="auto" w:fill="FFFFFF"/>
        </w:rPr>
        <w:t xml:space="preserve">and </w:t>
      </w:r>
      <w:r w:rsidR="001F6380">
        <w:rPr>
          <w:rFonts w:eastAsiaTheme="minorEastAsia" w:cs="Times New Roman" w:hint="eastAsia"/>
          <w:shd w:val="clear" w:color="auto" w:fill="FFFFFF"/>
        </w:rPr>
        <w:t xml:space="preserve">U251 </w:t>
      </w:r>
      <w:r w:rsidR="001F6380" w:rsidRPr="005A03C9">
        <w:rPr>
          <w:rFonts w:cs="Times New Roman"/>
          <w:shd w:val="clear" w:color="auto" w:fill="FFFFFF"/>
        </w:rPr>
        <w:t>cells treated with</w:t>
      </w:r>
      <w:r w:rsidR="001F6380">
        <w:rPr>
          <w:rFonts w:eastAsiaTheme="minorEastAsia" w:cs="Times New Roman" w:hint="eastAsia"/>
          <w:shd w:val="clear" w:color="auto" w:fill="FFFFFF"/>
        </w:rPr>
        <w:t xml:space="preserve"> or without</w:t>
      </w:r>
      <w:r w:rsidR="001F6380" w:rsidRPr="005A03C9">
        <w:rPr>
          <w:rFonts w:cs="Times New Roman"/>
          <w:shd w:val="clear" w:color="auto" w:fill="FFFFFF"/>
        </w:rPr>
        <w:t xml:space="preserve"> RSL3 (0.3 </w:t>
      </w:r>
      <w:proofErr w:type="spellStart"/>
      <w:r w:rsidR="001F6380" w:rsidRPr="005A03C9">
        <w:rPr>
          <w:rFonts w:cs="Times New Roman"/>
          <w:shd w:val="clear" w:color="auto" w:fill="FFFFFF"/>
        </w:rPr>
        <w:t>μM</w:t>
      </w:r>
      <w:proofErr w:type="spellEnd"/>
      <w:r w:rsidR="001F6380" w:rsidRPr="005A03C9">
        <w:rPr>
          <w:rFonts w:cs="Times New Roman"/>
          <w:shd w:val="clear" w:color="auto" w:fill="FFFFFF"/>
        </w:rPr>
        <w:t>)</w:t>
      </w:r>
      <w:r w:rsidR="001F6380">
        <w:rPr>
          <w:rFonts w:eastAsiaTheme="minorEastAsia" w:cs="Times New Roman" w:hint="eastAsia"/>
          <w:shd w:val="clear" w:color="auto" w:fill="FFFFFF"/>
        </w:rPr>
        <w:t xml:space="preserve">, </w:t>
      </w:r>
      <w:proofErr w:type="spellStart"/>
      <w:r w:rsidR="001F6380">
        <w:rPr>
          <w:rFonts w:eastAsiaTheme="minorEastAsia" w:cs="Times New Roman" w:hint="eastAsia"/>
          <w:shd w:val="clear" w:color="auto" w:fill="FFFFFF"/>
        </w:rPr>
        <w:t>d</w:t>
      </w:r>
      <w:r w:rsidR="001F6380" w:rsidRPr="001F6380">
        <w:rPr>
          <w:rFonts w:eastAsiaTheme="minorEastAsia" w:cs="Times New Roman"/>
          <w:shd w:val="clear" w:color="auto" w:fill="FFFFFF"/>
        </w:rPr>
        <w:t>asatinib</w:t>
      </w:r>
      <w:proofErr w:type="spellEnd"/>
      <w:r w:rsidR="001F6380">
        <w:rPr>
          <w:rFonts w:eastAsiaTheme="minorEastAsia" w:cs="Times New Roman" w:hint="eastAsia"/>
          <w:shd w:val="clear" w:color="auto" w:fill="FFFFFF"/>
        </w:rPr>
        <w:t xml:space="preserve"> (0.5</w:t>
      </w:r>
      <w:r w:rsidR="001F6380" w:rsidRPr="005A03C9">
        <w:rPr>
          <w:rFonts w:cs="Times New Roman"/>
          <w:shd w:val="clear" w:color="auto" w:fill="FFFFFF"/>
        </w:rPr>
        <w:t>μM</w:t>
      </w:r>
      <w:r w:rsidR="001F6380">
        <w:rPr>
          <w:rFonts w:eastAsiaTheme="minorEastAsia" w:cs="Times New Roman" w:hint="eastAsia"/>
          <w:shd w:val="clear" w:color="auto" w:fill="FFFFFF"/>
        </w:rPr>
        <w:t xml:space="preserve">) or </w:t>
      </w:r>
      <w:r w:rsidR="001F6380" w:rsidRPr="001F6380">
        <w:rPr>
          <w:rFonts w:eastAsiaTheme="minorEastAsia"/>
          <w:bCs/>
          <w:color w:val="000000" w:themeColor="text1"/>
          <w:shd w:val="clear" w:color="auto" w:fill="FFFFFF"/>
        </w:rPr>
        <w:t>Combination</w:t>
      </w:r>
      <w:r w:rsidR="001F6380">
        <w:rPr>
          <w:rFonts w:eastAsiaTheme="minorEastAsia" w:hint="eastAsia"/>
          <w:bCs/>
          <w:color w:val="000000" w:themeColor="text1"/>
          <w:shd w:val="clear" w:color="auto" w:fill="FFFFFF"/>
        </w:rPr>
        <w:t xml:space="preserve"> </w:t>
      </w:r>
      <w:r w:rsidR="001F6380" w:rsidRPr="005A03C9">
        <w:rPr>
          <w:rFonts w:cs="Times New Roman"/>
          <w:shd w:val="clear" w:color="auto" w:fill="FFFFFF"/>
        </w:rPr>
        <w:t>ha</w:t>
      </w:r>
      <w:r w:rsidR="001F6380">
        <w:rPr>
          <w:rFonts w:eastAsiaTheme="minorEastAsia" w:cs="Times New Roman" w:hint="eastAsia"/>
          <w:shd w:val="clear" w:color="auto" w:fill="FFFFFF"/>
        </w:rPr>
        <w:t>s</w:t>
      </w:r>
      <w:r w:rsidR="001F6380" w:rsidRPr="005A03C9">
        <w:rPr>
          <w:rFonts w:cs="Times New Roman"/>
          <w:shd w:val="clear" w:color="auto" w:fill="FFFFFF"/>
        </w:rPr>
        <w:t xml:space="preserve"> been quantified and are presented as histograms</w:t>
      </w:r>
      <w:r w:rsidR="001F6380">
        <w:rPr>
          <w:rFonts w:eastAsiaTheme="minorEastAsia" w:cs="Times New Roman" w:hint="eastAsia"/>
          <w:shd w:val="clear" w:color="auto" w:fill="FFFFFF"/>
        </w:rPr>
        <w:t xml:space="preserve">. </w:t>
      </w:r>
      <w:r w:rsidRPr="008E355C">
        <w:rPr>
          <w:rFonts w:cs="Times New Roman" w:hint="eastAsia"/>
          <w:shd w:val="clear" w:color="auto" w:fill="FFFFFF"/>
        </w:rPr>
        <w:t xml:space="preserve">All data are presented as mean ±SD. </w:t>
      </w:r>
      <w:r w:rsidRPr="002D267D">
        <w:rPr>
          <w:rFonts w:cs="Times New Roman" w:hint="eastAsia"/>
          <w:shd w:val="clear" w:color="auto" w:fill="FFFFFF"/>
        </w:rPr>
        <w:t>ns, P ≥ 0.05; *P &lt; 0.05; **P &lt; 0.01; ***P &lt; 0.001</w:t>
      </w:r>
    </w:p>
    <w:sectPr w:rsidR="0075156F" w:rsidRPr="001F63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1E52C" w14:textId="77777777" w:rsidR="009358AC" w:rsidRDefault="009358AC" w:rsidP="002B143A">
      <w:pPr>
        <w:spacing w:line="240" w:lineRule="auto"/>
      </w:pPr>
      <w:r>
        <w:separator/>
      </w:r>
    </w:p>
  </w:endnote>
  <w:endnote w:type="continuationSeparator" w:id="0">
    <w:p w14:paraId="598DB552" w14:textId="77777777" w:rsidR="009358AC" w:rsidRDefault="009358AC" w:rsidP="002B14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EF2AD" w14:textId="77777777" w:rsidR="009358AC" w:rsidRDefault="009358AC" w:rsidP="002B143A">
      <w:pPr>
        <w:spacing w:line="240" w:lineRule="auto"/>
      </w:pPr>
      <w:r>
        <w:separator/>
      </w:r>
    </w:p>
  </w:footnote>
  <w:footnote w:type="continuationSeparator" w:id="0">
    <w:p w14:paraId="05078F57" w14:textId="77777777" w:rsidR="009358AC" w:rsidRDefault="009358AC" w:rsidP="002B143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6F"/>
    <w:rsid w:val="000A1891"/>
    <w:rsid w:val="001F6380"/>
    <w:rsid w:val="002A0225"/>
    <w:rsid w:val="002B143A"/>
    <w:rsid w:val="003223B7"/>
    <w:rsid w:val="005A03C9"/>
    <w:rsid w:val="006C0D18"/>
    <w:rsid w:val="006E0475"/>
    <w:rsid w:val="0075156F"/>
    <w:rsid w:val="009358AC"/>
    <w:rsid w:val="009E2155"/>
    <w:rsid w:val="00A047AD"/>
    <w:rsid w:val="00A31EAF"/>
    <w:rsid w:val="00BB6100"/>
    <w:rsid w:val="00C84A41"/>
    <w:rsid w:val="00CF50E9"/>
    <w:rsid w:val="00E27057"/>
    <w:rsid w:val="00E7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B65B5"/>
  <w15:chartTrackingRefBased/>
  <w15:docId w15:val="{7B8A9096-06AC-4C05-9595-B822CD1D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057"/>
    <w:pPr>
      <w:widowControl w:val="0"/>
      <w:spacing w:after="0" w:line="48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5156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5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56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56F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56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56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56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56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156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1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1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156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156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5156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156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156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156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15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1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5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15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1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515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15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15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1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515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156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B143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B143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B143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B143A"/>
    <w:rPr>
      <w:sz w:val="18"/>
      <w:szCs w:val="18"/>
    </w:rPr>
  </w:style>
  <w:style w:type="paragraph" w:styleId="af2">
    <w:name w:val="Normal (Web)"/>
    <w:basedOn w:val="a"/>
    <w:uiPriority w:val="99"/>
    <w:unhideWhenUsed/>
    <w:rsid w:val="00A31EAF"/>
    <w:rPr>
      <w:rFonts w:eastAsia="宋体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羽流 子</dc:creator>
  <cp:keywords/>
  <dc:description/>
  <cp:lastModifiedBy>羽流 子</cp:lastModifiedBy>
  <cp:revision>7</cp:revision>
  <dcterms:created xsi:type="dcterms:W3CDTF">2025-03-02T10:53:00Z</dcterms:created>
  <dcterms:modified xsi:type="dcterms:W3CDTF">2025-10-04T16:13:00Z</dcterms:modified>
</cp:coreProperties>
</file>