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C0AF7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OLE_LINK1"/>
      <w:bookmarkStart w:id="26" w:name="_GoBack"/>
      <w:bookmarkEnd w:id="26"/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Supplementary materials and methods</w:t>
      </w:r>
    </w:p>
    <w:p w14:paraId="6311B501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Primary GBM </w:t>
      </w:r>
      <w:r>
        <w:rPr>
          <w:rFonts w:ascii="Times New Roman" w:hAnsi="Times New Roman"/>
          <w:b/>
          <w:color w:val="000000"/>
        </w:rPr>
        <w:t>cell</w:t>
      </w: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isolation and culture</w:t>
      </w:r>
    </w:p>
    <w:p w14:paraId="3959E039">
      <w:pPr>
        <w:spacing w:before="0" w:beforeAutospacing="0" w:after="0" w:line="360" w:lineRule="auto"/>
        <w:ind w:firstLine="420"/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GBM tissues were minced and digested in </w:t>
      </w:r>
      <w:r>
        <w:rPr>
          <w:rFonts w:ascii="Times New Roman" w:hAnsi="Times New Roman"/>
          <w:bCs/>
          <w:color w:val="000000"/>
        </w:rPr>
        <w:t>a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suspension </w:t>
      </w:r>
      <w:r>
        <w:rPr>
          <w:rFonts w:ascii="Times New Roman" w:hAnsi="Times New Roman"/>
          <w:bCs/>
          <w:color w:val="000000"/>
        </w:rPr>
        <w:t>containing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0.25% trypsin and 10 U/ml−1 DNase I (HyClone, USA) for 60 min at 37°C. ACK lysis buffer (Beyotime Biotechnology, China) was added to lyse red blood cells. </w:t>
      </w:r>
      <w:r>
        <w:rPr>
          <w:rFonts w:ascii="Times New Roman" w:hAnsi="Times New Roman"/>
          <w:bCs/>
          <w:color w:val="000000"/>
        </w:rPr>
        <w:t>Afterwards, the above suspensions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were washed and filtered </w:t>
      </w:r>
      <w:r>
        <w:rPr>
          <w:rFonts w:ascii="Times New Roman" w:hAnsi="Times New Roman"/>
          <w:bCs/>
          <w:color w:val="000000"/>
        </w:rPr>
        <w:t>through a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100 μm strainer. </w:t>
      </w:r>
      <w:r>
        <w:rPr>
          <w:rFonts w:ascii="Times New Roman" w:hAnsi="Times New Roman"/>
          <w:bCs/>
          <w:color w:val="000000"/>
        </w:rPr>
        <w:t>Primary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GBM cells </w:t>
      </w:r>
      <w:r>
        <w:rPr>
          <w:rFonts w:ascii="Times New Roman" w:hAnsi="Times New Roman"/>
          <w:bCs/>
          <w:color w:val="000000"/>
        </w:rPr>
        <w:t xml:space="preserve">were cultured 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in DMEM/F12 (HyClone, USA) </w:t>
      </w:r>
      <w:r>
        <w:rPr>
          <w:rFonts w:ascii="Times New Roman" w:hAnsi="Times New Roman"/>
          <w:bCs/>
          <w:color w:val="000000"/>
        </w:rPr>
        <w:t xml:space="preserve">supplemented 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with 10% foetal bovine serum (FBS, HyClone, USA) to maintain growth</w:t>
      </w:r>
      <w:r>
        <w:rPr>
          <w:rFonts w:ascii="Times New Roman" w:hAnsi="Times New Roman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bCs/>
          <w:color w:val="000000"/>
        </w:rPr>
        <w:t>for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further </w:t>
      </w:r>
      <w:r>
        <w:rPr>
          <w:rFonts w:ascii="Times New Roman" w:hAnsi="Times New Roman"/>
          <w:bCs/>
          <w:color w:val="000000"/>
        </w:rPr>
        <w:t>assays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 w14:paraId="01B25CA0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Identification of miR-652-5p</w:t>
      </w:r>
    </w:p>
    <w:p w14:paraId="6ECE2134">
      <w:pPr>
        <w:spacing w:before="0" w:beforeAutospacing="0" w:after="0" w:line="360" w:lineRule="auto"/>
        <w:ind w:firstLine="420" w:firstLineChars="200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Control and </w:t>
      </w:r>
      <w:bookmarkStart w:id="1" w:name="OLE_LINK28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HIF2α-ko cells were cultured under normoxic or hypoxic conditions for 24 h prior to measurement of miR-652-5p expression using RT‒qPCR. The </w:t>
      </w:r>
      <w:r>
        <w:rPr>
          <w:rFonts w:ascii="Times New Roman" w:hAnsi="Times New Roman"/>
          <w:color w:val="000000"/>
        </w:rPr>
        <w:t>sequences of the primers used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for miR-652-5p amplification </w:t>
      </w:r>
      <w:r>
        <w:rPr>
          <w:rFonts w:ascii="Times New Roman" w:hAnsi="Times New Roman"/>
          <w:color w:val="000000"/>
        </w:rPr>
        <w:t>are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</w:rPr>
        <w:t>shown in Supplementary Table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S6. The miR-</w:t>
      </w:r>
      <w:bookmarkEnd w:id="1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652-5p mimic and inhibitor fragments were purchased from Sangon Biotechnology (Shanghai, China)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the </w:t>
      </w:r>
      <w:r>
        <w:rPr>
          <w:rFonts w:ascii="Times New Roman" w:hAnsi="Times New Roman"/>
          <w:color w:val="000000"/>
        </w:rPr>
        <w:t>detailed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sequences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are shown in </w:t>
      </w:r>
      <w:r>
        <w:rPr>
          <w:rFonts w:ascii="Times New Roman" w:hAnsi="Times New Roman"/>
          <w:color w:val="000000"/>
        </w:rPr>
        <w:t>Supplementary Table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S7. 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ascii="Times New Roman" w:hAnsi="Times New Roman" w:eastAsia="宋体"/>
          <w:color w:val="000000"/>
          <w:kern w:val="0"/>
        </w:rPr>
        <w:t>detailed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steps for </w:t>
      </w:r>
      <w:r>
        <w:rPr>
          <w:rFonts w:ascii="Times New Roman" w:hAnsi="Times New Roman" w:eastAsia="宋体"/>
          <w:color w:val="000000"/>
          <w:kern w:val="0"/>
        </w:rPr>
        <w:t xml:space="preserve">the 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transfection of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these fragments into GBM cells </w:t>
      </w:r>
      <w:r>
        <w:rPr>
          <w:rFonts w:ascii="Times New Roman" w:hAnsi="Times New Roman"/>
          <w:color w:val="000000"/>
        </w:rPr>
        <w:t>were performed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according to the relevant instructions.</w:t>
      </w:r>
    </w:p>
    <w:p w14:paraId="0B63114C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Detection of miR-652-5p promoter methylation</w:t>
      </w:r>
    </w:p>
    <w:p w14:paraId="7D20979B">
      <w:pPr>
        <w:spacing w:before="0" w:beforeAutospacing="0" w:after="0" w:line="360" w:lineRule="auto"/>
        <w:ind w:firstLine="420" w:firstLineChars="20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The correlation between HIF2α and DNMT1 expression was </w:t>
      </w:r>
      <w:r>
        <w:rPr>
          <w:rFonts w:ascii="Times New Roman" w:hAnsi="Times New Roman"/>
          <w:color w:val="000000"/>
        </w:rPr>
        <w:t>analysed on the basis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of mRNA expression in samples from 40 patients. RT‒qPCR was used to measure the expression of miR-652-5p </w:t>
      </w:r>
      <w:r>
        <w:rPr>
          <w:rFonts w:ascii="Times New Roman" w:hAnsi="Times New Roman"/>
          <w:color w:val="000000"/>
        </w:rPr>
        <w:t>in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vector control, HIF2α-ko, </w:t>
      </w:r>
      <w:r>
        <w:rPr>
          <w:rFonts w:ascii="Times New Roman" w:hAnsi="Times New Roman"/>
          <w:color w:val="000000"/>
          <w:lang w:bidi="ar"/>
        </w:rPr>
        <w:t>5-aza-CdR-treated and DNMT1-ko cells under hypoxic conditions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. The genomic DNA of GBM cells was extracted using </w:t>
      </w:r>
      <w:r>
        <w:rPr>
          <w:rFonts w:ascii="Times New Roman" w:hAnsi="Times New Roman"/>
          <w:color w:val="000000"/>
        </w:rPr>
        <w:t>a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genomic DNA extraction kit (Tiangen, China)</w:t>
      </w:r>
      <w:r>
        <w:rPr>
          <w:rFonts w:ascii="Times New Roman" w:hAnsi="Times New Roman"/>
          <w:color w:val="000000"/>
        </w:rPr>
        <w:t xml:space="preserve"> and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then denatured and </w:t>
      </w:r>
      <w:r>
        <w:rPr>
          <w:rFonts w:ascii="Times New Roman" w:hAnsi="Times New Roman"/>
          <w:color w:val="000000"/>
        </w:rPr>
        <w:t xml:space="preserve">subjected to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bisulphite conversion using</w:t>
      </w:r>
      <w:r>
        <w:rPr>
          <w:rFonts w:ascii="Times New Roman" w:hAnsi="Times New Roman"/>
          <w:color w:val="000000"/>
        </w:rPr>
        <w:t xml:space="preserve"> a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bisulphite conversion kit (Tiangen, China). The transformed DNA was used as a template for PCR amplification</w:t>
      </w:r>
      <w:r>
        <w:rPr>
          <w:rFonts w:ascii="Times New Roman" w:hAnsi="Times New Roman"/>
          <w:color w:val="000000"/>
        </w:rPr>
        <w:t xml:space="preserve"> with an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MSP Kit (Tiangen, China), </w:t>
      </w:r>
      <w:r>
        <w:rPr>
          <w:rFonts w:ascii="Times New Roman" w:hAnsi="Times New Roman"/>
          <w:color w:val="000000"/>
        </w:rPr>
        <w:t xml:space="preserve">and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the sequences of the primers used are shown in </w:t>
      </w:r>
      <w:r>
        <w:rPr>
          <w:rFonts w:ascii="Times New Roman" w:hAnsi="Times New Roman"/>
          <w:color w:val="000000"/>
        </w:rPr>
        <w:t>Supplementary Table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S8. The reaction conditions were as follows: </w:t>
      </w:r>
      <w:r>
        <w:rPr>
          <w:rFonts w:ascii="Times New Roman" w:hAnsi="Times New Roman"/>
          <w:color w:val="000000"/>
        </w:rPr>
        <w:t>95°C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for 5 min; 35 cycles at </w:t>
      </w:r>
      <w:r>
        <w:rPr>
          <w:rFonts w:ascii="Times New Roman" w:hAnsi="Times New Roman"/>
          <w:color w:val="000000"/>
        </w:rPr>
        <w:t>94°C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for 20 s, </w:t>
      </w:r>
      <w:r>
        <w:rPr>
          <w:rFonts w:ascii="Times New Roman" w:hAnsi="Times New Roman"/>
          <w:color w:val="000000"/>
        </w:rPr>
        <w:t>60°C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for 30 s, and </w:t>
      </w:r>
      <w:r>
        <w:rPr>
          <w:rFonts w:ascii="Times New Roman" w:hAnsi="Times New Roman"/>
          <w:color w:val="000000"/>
        </w:rPr>
        <w:t>72°C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for 20 s; and 72°C for 5 min. The reaction products were subjected to agarose gel electrophoresis, and the gel was photographed for analysis. To further </w:t>
      </w:r>
      <w:r>
        <w:rPr>
          <w:rFonts w:ascii="Times New Roman" w:hAnsi="Times New Roman"/>
          <w:color w:val="000000"/>
        </w:rPr>
        <w:t>analyse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the changes in the methylation level of </w:t>
      </w:r>
      <w:r>
        <w:rPr>
          <w:rFonts w:ascii="Times New Roman" w:hAnsi="Times New Roman"/>
          <w:color w:val="000000"/>
        </w:rPr>
        <w:t xml:space="preserve">the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miR-652-5p promoter, we performed MeDIP assays using </w:t>
      </w:r>
      <w:r>
        <w:rPr>
          <w:rFonts w:ascii="Times New Roman" w:hAnsi="Times New Roman"/>
          <w:color w:val="000000"/>
        </w:rPr>
        <w:t xml:space="preserve">a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EpiQuik™ Methylated DNA Immunoprecipitation Kit (Epigentek, USA). Cells were fixed and sonicated to isolate chromatin, immunoprecipitation was performed using a specific primary antibody against 5'-methylcytosine, and DNA–protein complexes were subjected to decrosslinking and purified to obtain methylated DNA, which was used as a template for RT‒qPCR. The primers used for </w:t>
      </w:r>
      <w:r>
        <w:rPr>
          <w:rFonts w:ascii="Times New Roman" w:hAnsi="Times New Roman"/>
          <w:color w:val="000000"/>
        </w:rPr>
        <w:t xml:space="preserve">the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detection of miR-652-5p promoter methylation by MeDIP are shown in </w:t>
      </w:r>
      <w:r>
        <w:rPr>
          <w:rFonts w:ascii="Times New Roman" w:hAnsi="Times New Roman"/>
          <w:color w:val="000000"/>
        </w:rPr>
        <w:t>Supplementary Table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S9.</w:t>
      </w:r>
    </w:p>
    <w:p w14:paraId="38F9A51B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RT‒qPCR and western</w:t>
      </w:r>
      <w:r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blot analyses</w:t>
      </w:r>
    </w:p>
    <w:p w14:paraId="09DEDB05">
      <w:pPr>
        <w:spacing w:before="0" w:beforeAutospacing="0" w:after="0" w:line="360" w:lineRule="auto"/>
        <w:ind w:firstLine="420" w:firstLineChars="20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Glioma tissues</w:t>
      </w:r>
      <w:bookmarkStart w:id="2" w:name="OLE_LINK4"/>
      <w:r>
        <w:rPr>
          <w:rFonts w:ascii="Times New Roman" w:hAnsi="Times New Roman"/>
          <w:color w:val="000000"/>
        </w:rPr>
        <w:t xml:space="preserve"> and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GBM cells cultured in 21% O</w:t>
      </w:r>
      <w:r>
        <w:rPr>
          <w:rFonts w:ascii="Times New Roman" w:hAnsi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or 1% O</w:t>
      </w:r>
      <w:bookmarkEnd w:id="2"/>
      <w:r>
        <w:rPr>
          <w:rFonts w:ascii="Times New Roman" w:hAnsi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bookmarkStart w:id="3" w:name="OLE_LINK59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for 72 h</w:t>
      </w:r>
      <w:r>
        <w:rPr>
          <w:rFonts w:ascii="Times New Roman" w:hAnsi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were used </w:t>
      </w:r>
      <w:r>
        <w:rPr>
          <w:rFonts w:ascii="Times New Roman" w:hAnsi="Times New Roman"/>
          <w:color w:val="000000"/>
        </w:rPr>
        <w:t>to measure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HIF2α, SDC1, </w:t>
      </w:r>
      <w:r>
        <w:rPr>
          <w:rFonts w:ascii="Times New Roman" w:hAnsi="Times New Roman"/>
          <w:color w:val="000000"/>
        </w:rPr>
        <w:t>TGFβ2, MMP9, ERBB4 and pERBB4 protein levels via western blotting.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</w:rPr>
        <w:t xml:space="preserve">GBM cells expressing the </w:t>
      </w:r>
      <w:r>
        <w:rPr>
          <w:rFonts w:ascii="Times New Roman" w:hAnsi="Times New Roman"/>
          <w:color w:val="000000"/>
          <w:lang w:bidi="ar"/>
        </w:rPr>
        <w:t>miRNA-652-5p mimic were cultured in 2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1% O</w:t>
      </w:r>
      <w:r>
        <w:rPr>
          <w:rFonts w:ascii="Times New Roman" w:hAnsi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/>
          <w:color w:val="000000"/>
          <w:lang w:bidi="ar"/>
        </w:rPr>
        <w:t xml:space="preserve"> or the miRNA-652-5p inhibitor and cultured in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1% O</w:t>
      </w:r>
      <w:r>
        <w:rPr>
          <w:rFonts w:ascii="Times New Roman" w:hAnsi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/>
          <w:color w:val="000000"/>
          <w:vertAlign w:val="subscript"/>
        </w:rPr>
        <w:t xml:space="preserve"> </w:t>
      </w:r>
      <w:r>
        <w:rPr>
          <w:rFonts w:ascii="Times New Roman" w:hAnsi="Times New Roman"/>
          <w:color w:val="000000"/>
        </w:rPr>
        <w:t>for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72 h</w:t>
      </w:r>
      <w:r>
        <w:rPr>
          <w:rFonts w:ascii="Times New Roman" w:hAnsi="Times New Roman"/>
          <w:color w:val="000000"/>
        </w:rPr>
        <w:t>, after which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SDC1 and </w:t>
      </w:r>
      <w:r>
        <w:rPr>
          <w:rFonts w:ascii="Times New Roman" w:hAnsi="Times New Roman"/>
          <w:color w:val="000000"/>
        </w:rPr>
        <w:t>TGFβ2 expression was measured by RT‒qPCR, and SDC1, SDC1-Intra, TGFβ2</w:t>
      </w:r>
      <w:bookmarkEnd w:id="3"/>
      <w:r>
        <w:rPr>
          <w:rFonts w:ascii="Times New Roman" w:hAnsi="Times New Roman"/>
          <w:color w:val="000000"/>
        </w:rPr>
        <w:t>, ERBB4, pERBB4 and MMP-9 protein level</w:t>
      </w:r>
      <w:bookmarkStart w:id="4" w:name="OLE_LINK20"/>
      <w:r>
        <w:rPr>
          <w:rFonts w:ascii="Times New Roman" w:hAnsi="Times New Roman"/>
          <w:color w:val="000000"/>
        </w:rPr>
        <w:t>s were measured by western blotting. Negative control, SDC1-knockdown and TGFβ2</w:t>
      </w:r>
      <w:bookmarkEnd w:id="4"/>
      <w:r>
        <w:rPr>
          <w:rFonts w:ascii="Times New Roman" w:hAnsi="Times New Roman"/>
          <w:color w:val="000000"/>
        </w:rPr>
        <w:t>-knockdown</w:t>
      </w:r>
      <w:bookmarkStart w:id="5" w:name="OLE_LINK19"/>
      <w:r>
        <w:rPr>
          <w:rFonts w:ascii="Times New Roman" w:hAnsi="Times New Roman"/>
          <w:color w:val="000000"/>
        </w:rPr>
        <w:t xml:space="preserve"> cells were cultured in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1% O</w:t>
      </w:r>
      <w:r>
        <w:rPr>
          <w:rFonts w:ascii="Times New Roman" w:hAnsi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imes New Roman" w:hAnsi="Times New Roman"/>
          <w:color w:val="000000"/>
        </w:rPr>
        <w:t>for</w:t>
      </w:r>
      <w:r>
        <w:rPr>
          <w:rFonts w:ascii="Times New Roman" w:hAnsi="Times New Roman"/>
          <w:color w:val="000000"/>
          <w:vertAlign w:val="subscript"/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72 h</w:t>
      </w:r>
      <w:r>
        <w:rPr>
          <w:rFonts w:ascii="Times New Roman" w:hAnsi="Times New Roman"/>
          <w:color w:val="000000"/>
        </w:rPr>
        <w:t>, after which the protein levels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ascii="Times New Roman" w:hAnsi="Times New Roman"/>
          <w:color w:val="000000"/>
        </w:rPr>
        <w:t>SDC1, TGFβ2</w:t>
      </w:r>
      <w:bookmarkEnd w:id="5"/>
      <w:r>
        <w:rPr>
          <w:rFonts w:ascii="Times New Roman" w:hAnsi="Times New Roman"/>
          <w:color w:val="000000"/>
        </w:rPr>
        <w:t xml:space="preserve">, CD63, PI3K, PDK1, p-PDK1, AKT, p-AKT, mTOR, </w:t>
      </w:r>
      <w:r>
        <w:rPr>
          <w:rFonts w:ascii="Times New Roman" w:hAnsi="Times New Roman"/>
        </w:rPr>
        <w:t>PCNA, N-cadherin, ERB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B4 and pERBB4 </w:t>
      </w:r>
      <w:r>
        <w:rPr>
          <w:rFonts w:ascii="Times New Roman" w:hAnsi="Times New Roman"/>
          <w:color w:val="000000"/>
        </w:rPr>
        <w:t>were measured by western blotting. We also collected exosomes from the culture medium of negative control, SDC1-knockdown and TGFβ2-knockdown cells to measure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</w:rPr>
        <w:t>SDC1, CD63 and TGFβ2 expression by western blotting.</w:t>
      </w:r>
    </w:p>
    <w:p w14:paraId="4A0D6263">
      <w:pPr>
        <w:spacing w:before="0" w:beforeAutospacing="0" w:after="0" w:line="360" w:lineRule="auto"/>
        <w:ind w:firstLine="420" w:firstLineChars="200"/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/>
        </w:rPr>
        <w:t>In accordance with the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manufacturer’s instructions, total RNA was </w:t>
      </w:r>
      <w:r>
        <w:rPr>
          <w:rFonts w:ascii="Times New Roman" w:hAnsi="Times New Roman"/>
          <w:bCs/>
          <w:color w:val="000000"/>
        </w:rPr>
        <w:t xml:space="preserve">first 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prepared with TRIzol (Invitrogen, USA)</w:t>
      </w:r>
      <w:r>
        <w:rPr>
          <w:rFonts w:ascii="Times New Roman" w:hAnsi="Times New Roman"/>
          <w:bCs/>
          <w:color w:val="000000"/>
        </w:rPr>
        <w:t>, followed by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melting (94°C for 5 min), denaturing (94°C for 30 s), annealing (57°C for 30 s), and extension (72°C for 30 s) for a total of 40 cycles</w:t>
      </w:r>
      <w:r>
        <w:rPr>
          <w:rFonts w:ascii="Times New Roman" w:hAnsi="Times New Roman"/>
          <w:bCs/>
          <w:color w:val="000000"/>
        </w:rPr>
        <w:t>,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and the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sequences of the primers used </w:t>
      </w:r>
      <w:r>
        <w:rPr>
          <w:rFonts w:ascii="Times New Roman" w:hAnsi="Times New Roman"/>
          <w:color w:val="000000"/>
        </w:rPr>
        <w:t>for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RT‒qPCR analysis are shown in </w:t>
      </w:r>
      <w:r>
        <w:rPr>
          <w:rFonts w:ascii="Times New Roman" w:hAnsi="Times New Roman"/>
          <w:color w:val="000000"/>
        </w:rPr>
        <w:t>Supplementary Table S6.</w:t>
      </w:r>
    </w:p>
    <w:p w14:paraId="380116A4">
      <w:pPr>
        <w:spacing w:before="0" w:beforeAutospacing="0" w:after="0" w:line="360" w:lineRule="auto"/>
        <w:ind w:firstLine="420"/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Prechilled RIPA buffer (Beyotime Biotechnology, China) was used to prepare the total protein, </w:t>
      </w:r>
      <w:r>
        <w:rPr>
          <w:rFonts w:ascii="Times New Roman" w:hAnsi="Times New Roman"/>
          <w:bCs/>
          <w:color w:val="000000"/>
        </w:rPr>
        <w:t>which was subjected to SDS‒PAGE and transferred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to nitrocellulose membranes, which were blocked with 5% non-fat milk and incubated with antibodies against HIF2α, SDC1, TGFβ2, MMP9, ERBB4, pERBB4, PI3K, PDK1, p-PDK1, AKT, p-AKT, mTOR, CD63, SDC1-Intra and PCNA at 4°C overnight</w:t>
      </w:r>
      <w:r>
        <w:rPr>
          <w:rFonts w:ascii="Times New Roman" w:hAnsi="Times New Roman"/>
          <w:bCs/>
          <w:color w:val="000000"/>
        </w:rPr>
        <w:t>,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and t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he related information regarding primary antibodies is presented in Supplementary Table S10.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HRP-labelled secondary antibodies (Beyotime Biotechnology, China) </w:t>
      </w:r>
      <w:r>
        <w:rPr>
          <w:rFonts w:ascii="Times New Roman" w:hAnsi="Times New Roman"/>
          <w:bCs/>
          <w:color w:val="000000"/>
        </w:rPr>
        <w:t>were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added to </w:t>
      </w:r>
      <w:r>
        <w:rPr>
          <w:rFonts w:ascii="Times New Roman" w:hAnsi="Times New Roman"/>
          <w:bCs/>
          <w:color w:val="000000"/>
        </w:rPr>
        <w:t xml:space="preserve">the 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medium and incubated at 37°C for 1 h. Enhanced chemiluminescence was </w:t>
      </w:r>
      <w:r>
        <w:rPr>
          <w:rFonts w:ascii="Times New Roman" w:hAnsi="Times New Roman"/>
          <w:bCs/>
          <w:color w:val="000000"/>
        </w:rPr>
        <w:t>used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for visualization.</w:t>
      </w:r>
    </w:p>
    <w:p w14:paraId="0A03C8A5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Immunofluorescence detection</w:t>
      </w:r>
    </w:p>
    <w:p w14:paraId="2DE31396">
      <w:pPr>
        <w:spacing w:before="0" w:beforeAutospacing="0" w:after="0" w:line="360" w:lineRule="auto"/>
        <w:ind w:firstLine="420"/>
        <w:rPr>
          <w:rFonts w:ascii="Times New Roman" w:hAnsi="Times New Roman" w:eastAsiaTheme="minorEastAsia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/>
        </w:rPr>
        <w:t>The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cells and tissues </w:t>
      </w:r>
      <w:r>
        <w:rPr>
          <w:rFonts w:ascii="Times New Roman" w:hAnsi="Times New Roman"/>
          <w:bCs/>
          <w:color w:val="000000"/>
        </w:rPr>
        <w:t xml:space="preserve">were fixed 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in 4% paraformaldehyde at 4°C for 30 min, washed with PBS </w:t>
      </w:r>
      <w:r>
        <w:rPr>
          <w:rFonts w:ascii="Times New Roman" w:hAnsi="Times New Roman"/>
          <w:bCs/>
          <w:color w:val="000000"/>
        </w:rPr>
        <w:t>supplemented with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0.5% Triton X-100 (Sigma, USA), and blocked with 10% normal serum. Primary antibodies against HIF2α, SDC1, TGFβ2, CD63 and ERBB4 were incubated at 4°C for 24 h. </w:t>
      </w:r>
      <w:r>
        <w:rPr>
          <w:rFonts w:ascii="Times New Roman" w:hAnsi="Times New Roman"/>
          <w:bCs/>
          <w:color w:val="000000"/>
        </w:rPr>
        <w:t>The cells were then washed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with PBS for 5 min and incubated for 2 h at 37°C with fluorophore-labelled secondary antibodies (CST, USA), </w:t>
      </w:r>
      <w:r>
        <w:rPr>
          <w:rFonts w:ascii="Times New Roman" w:hAnsi="Times New Roman"/>
          <w:bCs/>
          <w:color w:val="000000"/>
        </w:rPr>
        <w:t>after which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images </w:t>
      </w:r>
      <w:r>
        <w:rPr>
          <w:rFonts w:ascii="Times New Roman" w:hAnsi="Times New Roman"/>
          <w:bCs/>
          <w:color w:val="000000"/>
        </w:rPr>
        <w:t xml:space="preserve">were acquired 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using </w:t>
      </w:r>
      <w:r>
        <w:rPr>
          <w:rFonts w:ascii="Times New Roman" w:hAnsi="Times New Roman"/>
          <w:bCs/>
          <w:color w:val="000000"/>
        </w:rPr>
        <w:t>a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laser scanning confocal microscope (LSM780, ZEISS, Germany).</w:t>
      </w:r>
    </w:p>
    <w:p w14:paraId="13F630C9">
      <w:pPr>
        <w:spacing w:before="0" w:beforeAutospacing="0" w:after="0" w:line="360" w:lineRule="auto"/>
        <w:rPr>
          <w:rFonts w:ascii="Times New Roman" w:hAnsi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Binding sequences between SDC1 and TGFβ2 and miR-652-5p</w:t>
      </w:r>
    </w:p>
    <w:p w14:paraId="60B0CD2B">
      <w:pPr>
        <w:spacing w:before="0" w:beforeAutospacing="0" w:after="0" w:line="360" w:lineRule="auto"/>
        <w:ind w:firstLine="420" w:firstLineChars="20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TargetScan (</w:t>
      </w:r>
      <w:r>
        <w:fldChar w:fldCharType="begin"/>
      </w:r>
      <w:r>
        <w:instrText xml:space="preserve"> HYPERLINK </w:instrText>
      </w:r>
      <w:r>
        <w:fldChar w:fldCharType="separate"/>
      </w:r>
      <w:r>
        <w:rPr>
          <w:rStyle w:val="242"/>
          <w:rFonts w:ascii="Times New Roman" w:hAnsi="Times New Roman" w:eastAsia="宋体"/>
          <w:color w:val="000000" w:themeColor="text1"/>
          <w:u w:val="none"/>
          <w14:textFill>
            <w14:solidFill>
              <w14:schemeClr w14:val="tx1"/>
            </w14:solidFill>
          </w14:textFill>
        </w:rPr>
        <w:t>Https://www.targetscan.org/vert_72/</w:t>
      </w:r>
      <w:r>
        <w:rPr>
          <w:rStyle w:val="242"/>
          <w:rFonts w:ascii="Times New Roman" w:hAnsi="Times New Roman" w:eastAsia="宋体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/>
        </w:rPr>
        <w:t>)</w:t>
      </w:r>
      <w:bookmarkStart w:id="6" w:name="OLE_LINK38"/>
      <w:r>
        <w:rPr>
          <w:rStyle w:val="242"/>
          <w:rFonts w:ascii="Times New Roman" w:hAnsi="Times New Roman" w:eastAsia="宋体"/>
          <w:color w:val="000000" w:themeColor="text1"/>
          <w:u w:val="none"/>
          <w14:textFill>
            <w14:solidFill>
              <w14:schemeClr w14:val="tx1"/>
            </w14:solidFill>
          </w14:textFill>
        </w:rPr>
        <w:t xml:space="preserve"> was used to predict the miR-652-5p </w:t>
      </w:r>
      <w:r>
        <w:rPr>
          <w:rStyle w:val="242"/>
          <w:rFonts w:ascii="Times New Roman" w:hAnsi="Times New Roman" w:eastAsia="宋体"/>
          <w:color w:val="000000"/>
          <w:u w:val="none"/>
        </w:rPr>
        <w:t>binding</w:t>
      </w:r>
      <w:r>
        <w:rPr>
          <w:rStyle w:val="242"/>
          <w:rFonts w:ascii="Times New Roman" w:hAnsi="Times New Roman" w:eastAsia="宋体"/>
          <w:color w:val="000000" w:themeColor="text1"/>
          <w:u w:val="none"/>
          <w14:textFill>
            <w14:solidFill>
              <w14:schemeClr w14:val="tx1"/>
            </w14:solidFill>
          </w14:textFill>
        </w:rPr>
        <w:t xml:space="preserve"> sequences in SDC1 and TGFβ2, and the highest scoring</w:t>
      </w:r>
      <w:r>
        <w:rPr>
          <w:rStyle w:val="242"/>
          <w:rFonts w:ascii="Times New Roman" w:hAnsi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 xml:space="preserve"> predicted sequence</w:t>
      </w:r>
      <w:r>
        <w:rPr>
          <w:rStyle w:val="242"/>
          <w:rFonts w:ascii="Times New Roman" w:hAnsi="Times New Roman" w:eastAsia="宋体"/>
          <w:color w:val="000000" w:themeColor="text1"/>
          <w:u w:val="none"/>
          <w14:textFill>
            <w14:solidFill>
              <w14:schemeClr w14:val="tx1"/>
            </w14:solidFill>
          </w14:textFill>
        </w:rPr>
        <w:t xml:space="preserve"> was </w:t>
      </w:r>
      <w:r>
        <w:rPr>
          <w:rFonts w:ascii="Times New Roman" w:hAnsi="Times New Roman"/>
          <w:color w:val="000000"/>
        </w:rPr>
        <w:t>chosen for verification. The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wild-type and mutated promoter sequences of the SDC1 and TGFβ2</w:t>
      </w:r>
      <w:r>
        <w:rPr>
          <w:rFonts w:ascii="Times New Roman" w:hAnsi="Times New Roman"/>
          <w:color w:val="000000"/>
        </w:rPr>
        <w:t xml:space="preserve"> genes were inserted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into </w:t>
      </w:r>
      <w:r>
        <w:rPr>
          <w:rFonts w:ascii="Times New Roman" w:hAnsi="Times New Roman"/>
          <w:color w:val="000000"/>
        </w:rPr>
        <w:t xml:space="preserve">the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pGL3-basic luciferase reporter vector. The promoter reporter plasmids described above were transfected with a PRL plasmid (Promega) into HEK293T, HEK293T-miR-652-5p-mimic</w:t>
      </w:r>
      <w:bookmarkEnd w:id="6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HEK293T-miR-652-5p-inhibitor cells using Lipofectamine 2000 reagent. After</w:t>
      </w:r>
      <w:r>
        <w:rPr>
          <w:rFonts w:ascii="Times New Roman" w:hAnsi="Times New Roman"/>
          <w:color w:val="000000"/>
        </w:rPr>
        <w:t xml:space="preserve"> transfection for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24 h, </w:t>
      </w:r>
      <w:r>
        <w:rPr>
          <w:rFonts w:ascii="Times New Roman" w:hAnsi="Times New Roman"/>
          <w:color w:val="000000"/>
        </w:rPr>
        <w:t xml:space="preserve">a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Dual-Luciferase Assay Kit was used </w:t>
      </w:r>
      <w:r>
        <w:rPr>
          <w:rFonts w:ascii="Times New Roman" w:hAnsi="Times New Roman"/>
          <w:color w:val="000000"/>
        </w:rPr>
        <w:t xml:space="preserve">to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measure luciferase activity in the lysed cells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promoter activity was evaluated through the measurement of luciferase activity in each group.</w:t>
      </w:r>
    </w:p>
    <w:p w14:paraId="764D7E5C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bookmarkStart w:id="7" w:name="OLE_LINK124"/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sSDC1 and TGFβ2 measurement by ELISA</w:t>
      </w:r>
    </w:p>
    <w:bookmarkEnd w:id="7"/>
    <w:p w14:paraId="0EAC9B31">
      <w:pPr>
        <w:spacing w:before="0" w:beforeAutospacing="0" w:after="0" w:line="360" w:lineRule="auto"/>
        <w:ind w:firstLine="420" w:firstLineChars="20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miR-652-5p mimic </w:t>
      </w:r>
      <w:bookmarkStart w:id="8" w:name="OLE_LINK47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and inhibitor cells were seeded </w:t>
      </w:r>
      <w:bookmarkEnd w:id="8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at a density of 2×10</w:t>
      </w:r>
      <w:r>
        <w:rPr>
          <w:rFonts w:ascii="Times New Roman" w:hAnsi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cells per well in 6-well plates with DMEM+10% FBS and </w:t>
      </w:r>
      <w:bookmarkStart w:id="9" w:name="OLE_LINK8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cultured in 1% O</w:t>
      </w:r>
      <w:bookmarkEnd w:id="9"/>
      <w:r>
        <w:rPr>
          <w:rFonts w:ascii="Times New Roman" w:hAnsi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for </w:t>
      </w:r>
      <w:bookmarkStart w:id="10" w:name="OLE_LINK60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72 h</w:t>
      </w:r>
      <w:r>
        <w:rPr>
          <w:rFonts w:ascii="Times New Roman" w:hAnsi="Times New Roman"/>
          <w:color w:val="000000"/>
        </w:rPr>
        <w:t xml:space="preserve">. The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medium of</w:t>
      </w:r>
      <w:r>
        <w:rPr>
          <w:rFonts w:ascii="Times New Roman" w:hAnsi="Times New Roman"/>
          <w:color w:val="000000"/>
        </w:rPr>
        <w:t xml:space="preserve"> the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cells </w:t>
      </w:r>
      <w:r>
        <w:rPr>
          <w:rFonts w:ascii="Times New Roman" w:hAnsi="Times New Roman"/>
          <w:color w:val="000000"/>
        </w:rPr>
        <w:t xml:space="preserve">described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above </w:t>
      </w:r>
      <w:r>
        <w:rPr>
          <w:rFonts w:ascii="Times New Roman" w:hAnsi="Times New Roman"/>
          <w:color w:val="000000"/>
        </w:rPr>
        <w:t xml:space="preserve">was collected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for measurement of sSDC1 and </w:t>
      </w:r>
      <w:r>
        <w:rPr>
          <w:rFonts w:ascii="Times New Roman" w:hAnsi="Times New Roman"/>
          <w:color w:val="000000"/>
        </w:rPr>
        <w:t xml:space="preserve">TGFβ2 levels using ELISA. In addition,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2×10</w:t>
      </w:r>
      <w:r>
        <w:rPr>
          <w:rFonts w:ascii="Times New Roman" w:hAnsi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cells from the negative control, SDC1-</w:t>
      </w:r>
      <w:r>
        <w:rPr>
          <w:rFonts w:ascii="Times New Roman" w:hAnsi="Times New Roman"/>
          <w:color w:val="000000"/>
        </w:rPr>
        <w:t>knockdown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TGFβ2-</w:t>
      </w:r>
      <w:r>
        <w:rPr>
          <w:rFonts w:ascii="Times New Roman" w:hAnsi="Times New Roman"/>
          <w:color w:val="000000"/>
        </w:rPr>
        <w:t>knockdown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GBM groups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were </w:t>
      </w:r>
      <w:r>
        <w:rPr>
          <w:rFonts w:ascii="Times New Roman" w:hAnsi="Times New Roman"/>
          <w:color w:val="000000"/>
        </w:rPr>
        <w:t>cultu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red in 1% O</w:t>
      </w:r>
      <w:r>
        <w:rPr>
          <w:rFonts w:ascii="Times New Roman" w:hAnsi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imes New Roman" w:hAnsi="Times New Roman"/>
          <w:color w:val="000000"/>
        </w:rPr>
        <w:t>for</w:t>
      </w:r>
      <w:r>
        <w:rPr>
          <w:rFonts w:ascii="Times New Roman" w:hAnsi="Times New Roman"/>
          <w:color w:val="000000"/>
          <w:vertAlign w:val="subscript"/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72 h and used for the collection of exosomes, which were used for the measurement of </w:t>
      </w:r>
      <w:r>
        <w:rPr>
          <w:rFonts w:ascii="Times New Roman" w:hAnsi="Times New Roman"/>
          <w:color w:val="000000"/>
        </w:rPr>
        <w:t>TGFβ2 levels via ELISA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. Exosomes were extracted and purified using </w:t>
      </w:r>
      <w:r>
        <w:rPr>
          <w:rFonts w:ascii="Times New Roman" w:hAnsi="Times New Roman"/>
          <w:color w:val="000000"/>
        </w:rPr>
        <w:t>an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extraction and purification kit (Umibio, UR52121, </w:t>
      </w:r>
      <w:r>
        <w:rPr>
          <w:rFonts w:ascii="Times New Roman" w:hAnsi="Times New Roman"/>
          <w:color w:val="000000"/>
        </w:rPr>
        <w:t>Shanghai). In the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first step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</w:rPr>
        <w:t>the samples were centrifuged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for 10 min </w:t>
      </w:r>
      <w:r>
        <w:rPr>
          <w:rFonts w:ascii="Times New Roman" w:hAnsi="Times New Roman"/>
          <w:color w:val="000000"/>
        </w:rPr>
        <w:t xml:space="preserve">at 3000 × </w:t>
      </w:r>
      <w:r>
        <w:rPr>
          <w:rFonts w:ascii="Times New Roman" w:hAnsi="Times New Roman"/>
          <w:i/>
          <w:iCs/>
          <w:color w:val="000000"/>
        </w:rPr>
        <w:t>g</w:t>
      </w:r>
      <w:r>
        <w:rPr>
          <w:rFonts w:ascii="Times New Roman" w:hAnsi="Times New Roman"/>
          <w:color w:val="000000"/>
        </w:rPr>
        <w:t xml:space="preserve"> and 4°C, and 5 ml of exosome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concentration solution was added to the supernatant for incubation at </w:t>
      </w:r>
      <w:r>
        <w:rPr>
          <w:rFonts w:ascii="Times New Roman" w:hAnsi="Times New Roman"/>
          <w:color w:val="000000"/>
        </w:rPr>
        <w:t>4°C</w:t>
      </w:r>
      <w:bookmarkEnd w:id="10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overnight.</w:t>
      </w:r>
      <w:bookmarkStart w:id="11" w:name="OLE_LINK42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Subsequently</w:t>
      </w:r>
      <w:r>
        <w:rPr>
          <w:rFonts w:ascii="Times New Roman" w:hAnsi="Times New Roman"/>
          <w:color w:val="000000"/>
        </w:rPr>
        <w:t xml:space="preserve">, the samples were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centrifuged</w:t>
      </w:r>
      <w:bookmarkEnd w:id="11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at 10000 </w:t>
      </w:r>
      <w:bookmarkStart w:id="12" w:name="OLE_LINK61"/>
      <w:r>
        <w:rPr>
          <w:rFonts w:ascii="Times New Roman" w:hAnsi="Times New Roman"/>
          <w:color w:val="000000"/>
        </w:rPr>
        <w:t xml:space="preserve">× </w:t>
      </w:r>
      <w:r>
        <w:rPr>
          <w:rFonts w:ascii="Times New Roman" w:hAnsi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for</w:t>
      </w:r>
      <w:r>
        <w:rPr>
          <w:rFonts w:ascii="Times New Roman" w:hAnsi="Times New Roman"/>
          <w:color w:val="000000"/>
        </w:rPr>
        <w:t xml:space="preserve"> 60 min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at </w:t>
      </w:r>
      <w:r>
        <w:rPr>
          <w:rFonts w:ascii="Times New Roman" w:hAnsi="Times New Roman"/>
          <w:color w:val="000000"/>
        </w:rPr>
        <w:t>4°C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the supernatant was removed, and the precipitate was </w:t>
      </w:r>
      <w:r>
        <w:rPr>
          <w:rFonts w:ascii="Times New Roman" w:hAnsi="Times New Roman"/>
          <w:color w:val="000000"/>
        </w:rPr>
        <w:t>resuspended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in PBS. After another centrifugation step at 12000 × </w:t>
      </w:r>
      <w:r>
        <w:rPr>
          <w:rFonts w:ascii="Times New Roman" w:hAnsi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for 2 min at </w:t>
      </w:r>
      <w:r>
        <w:rPr>
          <w:rFonts w:ascii="Times New Roman" w:hAnsi="Times New Roman"/>
          <w:color w:val="000000"/>
        </w:rPr>
        <w:t>4</w:t>
      </w:r>
      <w:bookmarkEnd w:id="12"/>
      <w:r>
        <w:rPr>
          <w:rFonts w:ascii="Times New Roman" w:hAnsi="Times New Roman"/>
          <w:color w:val="000000"/>
        </w:rPr>
        <w:t>°C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the supernatant was transferred to the exosome </w:t>
      </w:r>
      <w:bookmarkStart w:id="13" w:name="OLE_LINK62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purification filter. The exosomes were purified by centrifugation at 3000 × </w:t>
      </w:r>
      <w:r>
        <w:rPr>
          <w:rFonts w:ascii="Times New Roman" w:hAnsi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for 10 min at 4°C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the exosome precipitates were resuspended in PBS for TEM and NTA identification. A human TGFβ2</w:t>
      </w:r>
      <w:bookmarkEnd w:id="13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ELISA kit (Invitrogen, USA) and an SDC1 ELISA kit (BBI, Shanghai) were used to quantify expression using an ELISA plate reader (Varioskan Flash, Thermo Scientific, USA) at 450 nm.</w:t>
      </w:r>
    </w:p>
    <w:p w14:paraId="50C040DE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BiFC assay</w:t>
      </w:r>
    </w:p>
    <w:p w14:paraId="4BEFAC6E">
      <w:pPr>
        <w:spacing w:before="0" w:beforeAutospacing="0" w:after="0" w:line="360" w:lineRule="auto"/>
        <w:ind w:firstLine="42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In </w:t>
      </w:r>
      <w:bookmarkStart w:id="14" w:name="OLE_LINK34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this test, fusions with </w:t>
      </w:r>
      <w:r>
        <w:rPr>
          <w:rFonts w:ascii="Times New Roman" w:hAnsi="Times New Roman"/>
          <w:color w:val="000000"/>
        </w:rPr>
        <w:t>an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N-terminal mVenus (VN173) tag and a C-terminal mCerulean (CC155) tag were used for BiFC. The </w:t>
      </w:r>
      <w:r>
        <w:rPr>
          <w:rFonts w:ascii="Times New Roman" w:hAnsi="Times New Roman"/>
          <w:color w:val="000000"/>
        </w:rPr>
        <w:t>detailed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</w:rPr>
        <w:t>sequences inserted into the plasmid are presented in Supplementary Table S12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. The pBI</w:t>
      </w:r>
      <w:bookmarkEnd w:id="14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FC-VN173 and pBIFC-CC155 plasmids were purchased from Youbio Biology (Hunan, China). The plasmids were linearized by digestion with </w:t>
      </w:r>
      <w:r>
        <w:rPr>
          <w:rFonts w:ascii="Times New Roman" w:hAnsi="Times New Roman"/>
          <w:color w:val="000000"/>
        </w:rPr>
        <w:t>EcoRI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" w:hAnsi="Times New Roman"/>
          <w:color w:val="000000"/>
        </w:rPr>
        <w:t>KpnI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then ligated </w:t>
      </w:r>
      <w:r>
        <w:rPr>
          <w:rFonts w:ascii="Times New Roman" w:hAnsi="Times New Roman"/>
          <w:color w:val="000000"/>
        </w:rPr>
        <w:t>to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</w:rPr>
        <w:t>TGFβ2,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SDC1 or ERBB4 through seamless cloning. The sequence was verified by sequencing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subsequent experiments were performed. The pBiFC-VN173 and pBiFC-CC155 plasmids were transfected into 293 cells at a 1:1 ratio with </w:t>
      </w:r>
      <w:r>
        <w:rPr>
          <w:rFonts w:ascii="Times New Roman" w:hAnsi="Times New Roman"/>
          <w:color w:val="000000"/>
        </w:rPr>
        <w:t>Lipofectamine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. After the cells were cultured </w:t>
      </w:r>
      <w:r>
        <w:rPr>
          <w:rFonts w:ascii="Times New Roman" w:hAnsi="Times New Roman"/>
          <w:color w:val="000000"/>
        </w:rPr>
        <w:t xml:space="preserve">for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24 h, fluorescence images were acquired using </w:t>
      </w:r>
      <w:r>
        <w:rPr>
          <w:rFonts w:ascii="Times New Roman" w:hAnsi="Times New Roman"/>
          <w:color w:val="000000"/>
        </w:rPr>
        <w:t xml:space="preserve">a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laser scanning confocal microscope (LSM780</w:t>
      </w:r>
      <w:r>
        <w:rPr>
          <w:rFonts w:ascii="Times New Roman" w:hAnsi="Times New Roman"/>
          <w:color w:val="000000"/>
        </w:rPr>
        <w:t>;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Zeiss, Germany).</w:t>
      </w:r>
    </w:p>
    <w:p w14:paraId="3DFA78CC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Co-IP assay</w:t>
      </w:r>
    </w:p>
    <w:p w14:paraId="619F5092">
      <w:pPr>
        <w:spacing w:before="0" w:beforeAutospacing="0" w:after="0" w:line="360" w:lineRule="auto"/>
        <w:ind w:firstLine="420" w:firstLineChars="20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SDC1 or TGF</w:t>
      </w:r>
      <w:bookmarkStart w:id="15" w:name="OLE_LINK65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β2 </w:t>
      </w:r>
      <w:r>
        <w:rPr>
          <w:rFonts w:ascii="Times New Roman" w:hAnsi="Times New Roman"/>
          <w:color w:val="000000"/>
        </w:rPr>
        <w:t>was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overexpressed in U87 cells. To verify the critical role of</w:t>
      </w:r>
      <w:r>
        <w:rPr>
          <w:rFonts w:ascii="Times New Roman" w:hAnsi="Times New Roman"/>
          <w:color w:val="000000"/>
        </w:rPr>
        <w:t xml:space="preserve"> the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HS chains of SDC1 in protein binding, heparinase II (NEB, USA) was added to the culture medium </w:t>
      </w:r>
      <w:r>
        <w:rPr>
          <w:rFonts w:ascii="Times New Roman" w:hAnsi="Times New Roman"/>
          <w:color w:val="000000"/>
        </w:rPr>
        <w:t>and incubated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at </w:t>
      </w:r>
      <w:r>
        <w:rPr>
          <w:rFonts w:ascii="Times New Roman" w:hAnsi="Times New Roman"/>
          <w:color w:val="000000"/>
        </w:rPr>
        <w:t>37°C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overnight. The cells were then collected for protein immunoprecipitation with </w:t>
      </w:r>
      <w:r>
        <w:rPr>
          <w:rFonts w:ascii="Times New Roman" w:hAnsi="Times New Roman"/>
          <w:color w:val="000000"/>
        </w:rPr>
        <w:t>2 μg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of an anti-TGFβ</w:t>
      </w:r>
      <w:bookmarkEnd w:id="15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</w:t>
      </w:r>
      <w:bookmarkStart w:id="16" w:name="OLE_LINK63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antibody at </w:t>
      </w:r>
      <w:r>
        <w:rPr>
          <w:rFonts w:ascii="Times New Roman" w:hAnsi="Times New Roman"/>
          <w:color w:val="000000"/>
        </w:rPr>
        <w:t>4°C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overnight. The precipitated complexes were obtained after addition of </w:t>
      </w:r>
      <w:r>
        <w:rPr>
          <w:rFonts w:ascii="Times New Roman" w:hAnsi="Times New Roman"/>
          <w:color w:val="000000"/>
        </w:rPr>
        <w:t>protein A+G agarose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(Beyotime, </w:t>
      </w:r>
      <w:r>
        <w:rPr>
          <w:rFonts w:ascii="Times New Roman" w:hAnsi="Times New Roman"/>
          <w:color w:val="000000"/>
        </w:rPr>
        <w:t>Shanghai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/>
          <w:color w:val="000000"/>
        </w:rPr>
        <w:t>. After denaturation at high temperature, the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precipitated complexes were washed, an appropriate amount of </w:t>
      </w:r>
      <w:r>
        <w:rPr>
          <w:rFonts w:ascii="Times New Roman" w:hAnsi="Times New Roman"/>
          <w:color w:val="000000"/>
        </w:rPr>
        <w:t>1× loading buffer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was added, and electrophoresis </w:t>
      </w:r>
      <w:bookmarkEnd w:id="16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was performed </w:t>
      </w:r>
      <w:bookmarkStart w:id="17" w:name="OLE_LINK94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to measure the protein levels of SDC1, sSDC1, TGFβ2, ERBB4 and pERBB4. </w:t>
      </w:r>
      <w:r>
        <w:rPr>
          <w:rFonts w:ascii="Times New Roman" w:hAnsi="Times New Roman"/>
          <w:color w:val="000000"/>
        </w:rPr>
        <w:t>Detailed information regarding the primary antibodies used is presented in Supplementary Table S10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 w14:paraId="55BFA73A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bookmarkStart w:id="18" w:name="OLE_LINK125"/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Live cell imaging assay</w:t>
      </w:r>
    </w:p>
    <w:bookmarkEnd w:id="18"/>
    <w:p w14:paraId="3334F646">
      <w:pPr>
        <w:spacing w:before="0" w:beforeAutospacing="0" w:after="0" w:line="360" w:lineRule="auto"/>
        <w:ind w:firstLine="42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The human SDC1 or TGF</w:t>
      </w:r>
      <w:bookmarkStart w:id="19" w:name="OLE_LINK107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β2 gene with a C-terminal mScarlet tag was inserted </w:t>
      </w:r>
      <w:r>
        <w:rPr>
          <w:rFonts w:ascii="Times New Roman" w:hAnsi="Times New Roman"/>
          <w:color w:val="000000"/>
        </w:rPr>
        <w:t>into the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pCDH-CMV-MCS-EF1-Puro vector at the EcoRI and BamHI restriction sites. The pHluorin</w:t>
      </w:r>
      <w:bookmarkEnd w:id="19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protein was inserted into the first outer loop of</w:t>
      </w:r>
      <w:r>
        <w:rPr>
          <w:rFonts w:ascii="Times New Roman" w:hAnsi="Times New Roman"/>
          <w:color w:val="000000"/>
        </w:rPr>
        <w:t xml:space="preserve"> the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CD63 protein at amino acid 43. The mScarlet and pHluorin </w:t>
      </w:r>
      <w:r>
        <w:rPr>
          <w:rFonts w:ascii="Times New Roman" w:hAnsi="Times New Roman"/>
          <w:color w:val="000000"/>
        </w:rPr>
        <w:t>sequences were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synthesized by Sangon Biotech (Shanghai, </w:t>
      </w:r>
      <w:r>
        <w:rPr>
          <w:rFonts w:ascii="Times New Roman" w:hAnsi="Times New Roman"/>
          <w:color w:val="000000"/>
        </w:rPr>
        <w:t>China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) and </w:t>
      </w:r>
      <w:r>
        <w:rPr>
          <w:rFonts w:ascii="Times New Roman" w:hAnsi="Times New Roman"/>
          <w:color w:val="000000"/>
        </w:rPr>
        <w:t>are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presented in </w:t>
      </w:r>
      <w:r>
        <w:rPr>
          <w:rFonts w:ascii="Times New Roman" w:hAnsi="Times New Roman"/>
          <w:color w:val="000000"/>
        </w:rPr>
        <w:t>Supplementary Table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S13. </w:t>
      </w:r>
      <w:r>
        <w:rPr>
          <w:rFonts w:ascii="Times New Roman" w:hAnsi="Times New Roman"/>
          <w:color w:val="000000"/>
        </w:rPr>
        <w:t>The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sequences</w:t>
      </w:r>
      <w:r>
        <w:rPr>
          <w:rFonts w:ascii="Times New Roman" w:hAnsi="Times New Roman"/>
          <w:color w:val="000000"/>
        </w:rPr>
        <w:t xml:space="preserve"> were inserted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into </w:t>
      </w:r>
      <w:r>
        <w:rPr>
          <w:rFonts w:ascii="Times New Roman" w:hAnsi="Times New Roman"/>
          <w:color w:val="000000"/>
        </w:rPr>
        <w:t xml:space="preserve">the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pLV-EF1α-MCS-IRES-BSD vector at the EcoRI and BamHI restriction sites. The above-mentioned vectors were cotransfected with psPAX2 and pMD2.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G into 293T cells for lentivirus packaging. </w:t>
      </w:r>
      <w:r>
        <w:rPr>
          <w:rFonts w:ascii="Times New Roman" w:hAnsi="Times New Roman"/>
          <w:color w:val="000000"/>
        </w:rPr>
        <w:t>Blasticidin was added to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the medium of concentrated and purified virus</w:t>
      </w:r>
      <w:r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infected cells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" w:hAnsi="Times New Roman"/>
          <w:color w:val="000000"/>
        </w:rPr>
        <w:t>drug-resistant cells were identified by screening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. GBM cells expressing pHluorin-CD63 and SDC1-RFP and GBM cells expressing pHluorin-CD63 and TGFβ2-RFP were seeded at a ratio of 1:1 in 24-well plates. After the cells adhered to the wall, fluorescence imaging was performed using </w:t>
      </w:r>
      <w:r>
        <w:rPr>
          <w:rFonts w:ascii="Times New Roman" w:hAnsi="Times New Roman"/>
          <w:color w:val="000000"/>
        </w:rPr>
        <w:t xml:space="preserve">a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live cell workstation at 15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min intervals for 12 h.</w:t>
      </w:r>
    </w:p>
    <w:bookmarkEnd w:id="17"/>
    <w:p w14:paraId="28BCD9AC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/>
        </w:rPr>
        <w:t>Generation</w:t>
      </w: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of SDC1-kd, TGFβ2-kd, simultaneous SDC1/TGFβ2-kd, DNMT1-ko and HIF2α-ko cells</w:t>
      </w:r>
    </w:p>
    <w:p w14:paraId="596965BE">
      <w:pPr>
        <w:spacing w:before="0" w:beforeAutospacing="0" w:after="0" w:line="360" w:lineRule="auto"/>
        <w:ind w:firstLine="42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/>
        </w:rPr>
        <w:t>Lentiviral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SDC1 shRNA</w:t>
      </w:r>
      <w:bookmarkStart w:id="20" w:name="OLE_LINK31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, lentiviral TGFβ2 shRNA</w:t>
      </w:r>
      <w:bookmarkEnd w:id="20"/>
      <w:bookmarkStart w:id="21" w:name="OLE_LINK56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/>
          <w:color w:val="000000"/>
        </w:rPr>
        <w:t xml:space="preserve"> and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lentiviral negative control shRNA were </w:t>
      </w:r>
      <w:bookmarkEnd w:id="21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inserted into </w:t>
      </w:r>
      <w:bookmarkStart w:id="22" w:name="OLE_LINK72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pLVX-shRNA2 at the EcoRI and BamHI restriction sites. These lentiviral vectors were transfected </w:t>
      </w:r>
      <w:r>
        <w:rPr>
          <w:rFonts w:ascii="Times New Roman" w:hAnsi="Times New Roman"/>
          <w:color w:val="000000"/>
        </w:rPr>
        <w:t>into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293T cells with </w:t>
      </w:r>
      <w:r>
        <w:rPr>
          <w:rFonts w:ascii="Times New Roman" w:hAnsi="Times New Roman"/>
          <w:color w:val="000000"/>
        </w:rPr>
        <w:t xml:space="preserve">the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packaging plasmid psPAX2 and the envelope plasmid pMD2.G. After transfection </w:t>
      </w:r>
      <w:r>
        <w:rPr>
          <w:rFonts w:ascii="Times New Roman" w:hAnsi="Times New Roman"/>
          <w:color w:val="000000"/>
        </w:rPr>
        <w:t xml:space="preserve">for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48 h, the virus particles</w:t>
      </w:r>
      <w:r>
        <w:rPr>
          <w:rFonts w:ascii="Times New Roman" w:hAnsi="Times New Roman"/>
          <w:color w:val="000000"/>
        </w:rPr>
        <w:t xml:space="preserve"> in the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supernatant </w:t>
      </w:r>
      <w:r>
        <w:rPr>
          <w:rFonts w:ascii="Times New Roman" w:hAnsi="Times New Roman"/>
          <w:color w:val="000000"/>
        </w:rPr>
        <w:t>were collected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filtered and used for transduction of GBM cells. GBM cells were seeded in DMEM </w:t>
      </w:r>
      <w:bookmarkEnd w:id="22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supplemented with 10% FBS. Cells in </w:t>
      </w:r>
      <w:r>
        <w:rPr>
          <w:rFonts w:ascii="Times New Roman" w:hAnsi="Times New Roman"/>
          <w:color w:val="000000"/>
        </w:rPr>
        <w:t xml:space="preserve">the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logarithmic phase were used for liposomal transfection with SDC1-shRNA, TGFβ2-shRNA and Nc-shRNA according to the relevant instructions. After 6 h of transient transfection, the culture </w:t>
      </w:r>
      <w:r>
        <w:rPr>
          <w:rFonts w:ascii="Times New Roman" w:hAnsi="Times New Roman"/>
          <w:color w:val="000000"/>
        </w:rPr>
        <w:t xml:space="preserve">medium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was replaced with fresh DMEM </w:t>
      </w:r>
      <w:r>
        <w:rPr>
          <w:rFonts w:ascii="Times New Roman" w:hAnsi="Times New Roman"/>
          <w:color w:val="000000"/>
        </w:rPr>
        <w:t>supplemented with 10%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FBS. After culture </w:t>
      </w:r>
      <w:r>
        <w:rPr>
          <w:rFonts w:ascii="Times New Roman" w:hAnsi="Times New Roman"/>
          <w:color w:val="000000"/>
        </w:rPr>
        <w:t>for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another 24 h, the cells were collected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the expression of SDC1 and TGFβ2 </w:t>
      </w:r>
      <w:r>
        <w:rPr>
          <w:rFonts w:ascii="Times New Roman" w:hAnsi="Times New Roman"/>
          <w:color w:val="000000"/>
        </w:rPr>
        <w:t>was measured by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western</w:t>
      </w:r>
      <w:r>
        <w:rPr>
          <w:rFonts w:ascii="Times New Roman" w:hAnsi="Times New Roman"/>
          <w:color w:val="000000"/>
        </w:rPr>
        <w:t xml:space="preserve"> blotting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. The cells with the lowest expression after interference were used for subsequent experiments.</w:t>
      </w:r>
      <w:r>
        <w:rPr>
          <w:rFonts w:ascii="Times New Roman" w:hAnsi="Times New Roman"/>
          <w:color w:val="000000"/>
        </w:rPr>
        <w:t xml:space="preserve"> HIF2α and DN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MT1 lentiviral single-guide (sgRNA) and negative control sgRNA were inserted into </w:t>
      </w:r>
      <w:r>
        <w:rPr>
          <w:rFonts w:ascii="Times New Roman" w:hAnsi="Times New Roman"/>
          <w:color w:val="000000"/>
        </w:rPr>
        <w:t xml:space="preserve">the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lentiCRISPRv2 plasmid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the </w:t>
      </w:r>
      <w:r>
        <w:rPr>
          <w:rFonts w:ascii="Times New Roman" w:hAnsi="Times New Roman"/>
          <w:color w:val="000000"/>
        </w:rPr>
        <w:t>detailed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steps of lentiviral transduction</w:t>
      </w:r>
      <w:r>
        <w:rPr>
          <w:rFonts w:ascii="Times New Roman" w:hAnsi="Times New Roman"/>
          <w:color w:val="000000"/>
        </w:rPr>
        <w:t xml:space="preserve"> were similar to those described in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our last published article</w:t>
      </w:r>
      <w:r>
        <w:fldChar w:fldCharType="begin"/>
      </w:r>
      <w:r>
        <w:instrText xml:space="preserve"> HYPERLINK \l "_ENREF_1" \o "Wang, 2020 #122" </w:instrText>
      </w:r>
      <w:r>
        <w:fldChar w:fldCharType="separate"/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begin">
          <w:fldData xml:space="preserve">PEVuZE5vdGU+PENpdGU+PEF1dGhvcj5XYW5nPC9BdXRob3I+PFllYXI+MjAyMDwvWWVhcj48UmVj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</w:fldData>
        </w:fldChar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instrText xml:space="preserve"> ADDIN EN.CITE </w:instrTex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begin">
          <w:fldData xml:space="preserve">PEVuZE5vdGU+PENpdGU+PEF1dGhvcj5XYW5nPC9BdXRob3I+PFllYXI+MjAyMDwvWWVhcj48UmVj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</w:fldData>
        </w:fldChar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instrText xml:space="preserve"> ADDIN EN.CITE.DATA </w:instrTex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. The sequences of the lentiviral shRNA and sgRNA oligonucleotides described above are listed in Supplementary Tables S14 and S15. The cells </w:t>
      </w:r>
      <w:r>
        <w:rPr>
          <w:rFonts w:ascii="Times New Roman" w:hAnsi="Times New Roman"/>
          <w:color w:val="000000"/>
        </w:rPr>
        <w:t xml:space="preserve">described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above were cultured in DMEM+10% FBS to maintain growth.</w:t>
      </w:r>
    </w:p>
    <w:p w14:paraId="4D67B684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bookmarkStart w:id="23" w:name="OLE_LINK126"/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Statistical analysis</w:t>
      </w:r>
    </w:p>
    <w:bookmarkEnd w:id="23"/>
    <w:p w14:paraId="76112D3E">
      <w:pPr>
        <w:spacing w:before="0" w:beforeAutospacing="0" w:after="0" w:line="360" w:lineRule="auto"/>
        <w:ind w:firstLine="420" w:firstLineChars="20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SPSS </w:t>
      </w:r>
      <w:bookmarkStart w:id="24" w:name="OLE_LINK66"/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22.0 was used for statistical analysis. The data </w:t>
      </w:r>
      <w:r>
        <w:rPr>
          <w:rFonts w:ascii="Times New Roman" w:hAnsi="Times New Roman"/>
          <w:color w:val="000000"/>
        </w:rPr>
        <w:t>are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</w:rPr>
        <w:t>shown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as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means±standard deviations (SDs). The significance of differences between two groups was </w:t>
      </w:r>
      <w:r>
        <w:rPr>
          <w:rFonts w:ascii="Times New Roman" w:hAnsi="Times New Roman"/>
          <w:color w:val="000000"/>
        </w:rPr>
        <w:t>analysed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using </w:t>
      </w:r>
      <w:r>
        <w:rPr>
          <w:rFonts w:ascii="Times New Roman" w:hAnsi="Times New Roman"/>
          <w:color w:val="000000"/>
        </w:rPr>
        <w:t xml:space="preserve">a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paired samples t test</w:t>
      </w:r>
      <w:bookmarkEnd w:id="24"/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one-way ANOVA was used for</w:t>
      </w:r>
      <w:r>
        <w:rPr>
          <w:rFonts w:ascii="Times New Roman" w:hAnsi="Times New Roman"/>
          <w:color w:val="000000"/>
        </w:rPr>
        <w:t xml:space="preserve"> comparisons among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three groups.</w:t>
      </w:r>
      <w:r>
        <w:rPr>
          <w:rFonts w:ascii="Times New Roman" w:hAnsi="Times New Roman"/>
          <w:color w:val="000000"/>
        </w:rPr>
        <w:t xml:space="preserve"> The log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-rank test was used to </w:t>
      </w:r>
      <w:r>
        <w:rPr>
          <w:rFonts w:ascii="Times New Roman" w:hAnsi="Times New Roman"/>
          <w:color w:val="000000"/>
        </w:rPr>
        <w:t>analyse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the significance of differences in survival time. The </w:t>
      </w:r>
      <w:r>
        <w:rPr>
          <w:rFonts w:ascii="Times New Roman" w:hAnsi="Times New Roman"/>
          <w:color w:val="000000"/>
        </w:rPr>
        <w:t>Pearson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correlation coefficient was used to </w:t>
      </w:r>
      <w:r>
        <w:rPr>
          <w:rFonts w:ascii="Times New Roman" w:hAnsi="Times New Roman"/>
          <w:color w:val="000000"/>
        </w:rPr>
        <w:t>analyse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correlations between genes. </w:t>
      </w:r>
      <w:r>
        <w:rPr>
          <w:rFonts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&lt;0.05 was considered to indicate a statistically significant difference.</w:t>
      </w:r>
    </w:p>
    <w:bookmarkEnd w:id="0"/>
    <w:p w14:paraId="2280947D">
      <w:pPr>
        <w:spacing w:before="0" w:beforeAutospacing="0" w:after="0" w:line="360" w:lineRule="auto"/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References</w:t>
      </w:r>
    </w:p>
    <w:p w14:paraId="50BD5945">
      <w:pPr>
        <w:spacing w:line="360" w:lineRule="auto"/>
        <w:ind w:left="720" w:hanging="720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ADDIN EN.REFLIST </w:instrText>
      </w:r>
      <w:r>
        <w:rPr>
          <w:rFonts w:ascii="Times New Roman" w:hAnsi="Times New Roman"/>
        </w:rPr>
        <w:fldChar w:fldCharType="separate"/>
      </w:r>
      <w:bookmarkStart w:id="25" w:name="_ENREF_1"/>
      <w:r>
        <w:rPr>
          <w:rFonts w:ascii="Times New Roman" w:hAnsi="Times New Roman"/>
          <w:sz w:val="20"/>
        </w:rPr>
        <w:t>1.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Wang P, Yan Q, Liao B, Zhao L, Xiong S, Wang J</w:t>
      </w:r>
      <w:r>
        <w:rPr>
          <w:rFonts w:ascii="Times New Roman" w:hAnsi="Times New Roman"/>
          <w:i/>
          <w:sz w:val="20"/>
        </w:rPr>
        <w:t>, et al.</w:t>
      </w:r>
      <w:r>
        <w:rPr>
          <w:rFonts w:ascii="Times New Roman" w:hAnsi="Times New Roman"/>
          <w:sz w:val="20"/>
        </w:rPr>
        <w:t xml:space="preserve"> The HIF1α/HIF2α-miR210-3p network regulates glioblastoma cell proliferation, dedifferentiation and chemoresistance through EGF under hypoxic conditions. </w:t>
      </w:r>
      <w:r>
        <w:rPr>
          <w:rFonts w:ascii="Times New Roman" w:hAnsi="Times New Roman"/>
          <w:i/>
          <w:sz w:val="20"/>
        </w:rPr>
        <w:t>Cell death &amp; disease</w:t>
      </w:r>
      <w:r>
        <w:rPr>
          <w:rFonts w:ascii="Times New Roman" w:hAnsi="Times New Roman"/>
          <w:sz w:val="20"/>
        </w:rPr>
        <w:t xml:space="preserve"> 2020, </w:t>
      </w:r>
      <w:r>
        <w:rPr>
          <w:rFonts w:ascii="Times New Roman" w:hAnsi="Times New Roman"/>
          <w:b/>
          <w:sz w:val="20"/>
        </w:rPr>
        <w:t>11</w:t>
      </w:r>
      <w:r>
        <w:rPr>
          <w:rFonts w:ascii="Times New Roman" w:hAnsi="Times New Roman"/>
          <w:sz w:val="20"/>
        </w:rPr>
        <w:t>(11)</w:t>
      </w:r>
      <w:r>
        <w:rPr>
          <w:rFonts w:ascii="Times New Roman" w:hAnsi="Times New Roman"/>
          <w:b/>
          <w:sz w:val="20"/>
        </w:rPr>
        <w:t>:</w:t>
      </w:r>
      <w:r>
        <w:rPr>
          <w:rFonts w:ascii="Times New Roman" w:hAnsi="Times New Roman"/>
          <w:sz w:val="20"/>
        </w:rPr>
        <w:t xml:space="preserve"> 992.</w:t>
      </w:r>
    </w:p>
    <w:bookmarkEnd w:id="25"/>
    <w:p w14:paraId="55E9C18A">
      <w:pPr>
        <w:spacing w:line="360" w:lineRule="auto"/>
        <w:rPr>
          <w:rFonts w:ascii="Times New Roman" w:hAnsi="Times New Roman"/>
          <w:sz w:val="20"/>
        </w:rPr>
      </w:pPr>
    </w:p>
    <w:p w14:paraId="50C212BC">
      <w:pPr>
        <w:spacing w:line="360" w:lineRule="auto"/>
        <w:rPr>
          <w:rFonts w:ascii="Times New Roman" w:hAnsi="Times New Roman"/>
        </w:rPr>
      </w:pPr>
    </w:p>
    <w:p w14:paraId="14D8DD16">
      <w:pPr>
        <w:spacing w:line="360" w:lineRule="auto"/>
      </w:pPr>
      <w:r>
        <w:rPr>
          <w:rFonts w:ascii="Times New Roman" w:hAnsi="Times New Roman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jZjJiYjkxNmZkYzIxMmQzYzUxMDA3NGY5NjdkOWM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ff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s0v2pdf8wwdwxe55a5vppvq9xs5wvprsfzz&quot;&gt;My EndNote Library&lt;record-ids&gt;&lt;item&gt;122&lt;/item&gt;&lt;/record-ids&gt;&lt;/item&gt;&lt;/Libraries&gt;"/>
    <w:docVar w:name="MachineID" w:val="198|188|197|201|200|197|187|201|197|206|198|197|206|185|197|202|203|"/>
    <w:docVar w:name="Username" w:val="Quality Control Editor"/>
  </w:docVars>
  <w:rsids>
    <w:rsidRoot w:val="76C61F14"/>
    <w:rsid w:val="00014FC2"/>
    <w:rsid w:val="00044F67"/>
    <w:rsid w:val="000F3DAF"/>
    <w:rsid w:val="00162C6E"/>
    <w:rsid w:val="00180789"/>
    <w:rsid w:val="00303C5D"/>
    <w:rsid w:val="00327F19"/>
    <w:rsid w:val="00435B66"/>
    <w:rsid w:val="004A3C25"/>
    <w:rsid w:val="00583299"/>
    <w:rsid w:val="005F6DB8"/>
    <w:rsid w:val="006A7637"/>
    <w:rsid w:val="00774DEE"/>
    <w:rsid w:val="007C41E6"/>
    <w:rsid w:val="007E11B8"/>
    <w:rsid w:val="008D2A22"/>
    <w:rsid w:val="00902CE7"/>
    <w:rsid w:val="009E76B5"/>
    <w:rsid w:val="00A34F10"/>
    <w:rsid w:val="00AB25B5"/>
    <w:rsid w:val="00BF4FA7"/>
    <w:rsid w:val="00C052D9"/>
    <w:rsid w:val="00C57C50"/>
    <w:rsid w:val="00D5401D"/>
    <w:rsid w:val="00E73EC5"/>
    <w:rsid w:val="00F63EF5"/>
    <w:rsid w:val="00F8397B"/>
    <w:rsid w:val="00F86575"/>
    <w:rsid w:val="00F90644"/>
    <w:rsid w:val="03B15391"/>
    <w:rsid w:val="048F5BDC"/>
    <w:rsid w:val="06B43673"/>
    <w:rsid w:val="07AF0ABE"/>
    <w:rsid w:val="0C0510BE"/>
    <w:rsid w:val="0C8E1C75"/>
    <w:rsid w:val="0F190F09"/>
    <w:rsid w:val="153B0F5F"/>
    <w:rsid w:val="259911B7"/>
    <w:rsid w:val="2876452B"/>
    <w:rsid w:val="3DD66EFC"/>
    <w:rsid w:val="3F485EA2"/>
    <w:rsid w:val="47D96626"/>
    <w:rsid w:val="48270D4B"/>
    <w:rsid w:val="49927B74"/>
    <w:rsid w:val="4CE444B6"/>
    <w:rsid w:val="4DD21759"/>
    <w:rsid w:val="4FB8497E"/>
    <w:rsid w:val="5C1B7BBD"/>
    <w:rsid w:val="5CE2128D"/>
    <w:rsid w:val="5D56212C"/>
    <w:rsid w:val="642E6D83"/>
    <w:rsid w:val="64850E7B"/>
    <w:rsid w:val="6C040C5F"/>
    <w:rsid w:val="70B84386"/>
    <w:rsid w:val="714B167F"/>
    <w:rsid w:val="76C61F14"/>
    <w:rsid w:val="77BC29AE"/>
    <w:rsid w:val="781A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qFormat="1" w:uiPriority="0" w:name="Table Simple 1"/>
    <w:lsdException w:qFormat="1" w:uiPriority="0" w:name="Table Simple 2"/>
    <w:lsdException w:qFormat="1" w:uiPriority="0" w:name="Table Simple 3"/>
    <w:lsdException w:qFormat="1" w:uiPriority="0" w:name="Table Classic 1"/>
    <w:lsdException w:qFormat="1" w:uiPriority="0" w:name="Table Classic 2"/>
    <w:lsdException w:qFormat="1" w:uiPriority="0" w:name="Table Classic 3"/>
    <w:lsdException w:qFormat="1" w:uiPriority="0" w:name="Table Classic 4"/>
    <w:lsdException w:qFormat="1" w:uiPriority="0" w:name="Table Colorful 1"/>
    <w:lsdException w:qFormat="1" w:uiPriority="0" w:name="Table Colorful 2"/>
    <w:lsdException w:uiPriority="0" w:name="Table Colorful 3"/>
    <w:lsdException w:qFormat="1" w:uiPriority="0" w:name="Table Columns 1"/>
    <w:lsdException w:qFormat="1" w:uiPriority="0" w:name="Table Columns 2"/>
    <w:lsdException w:qFormat="1" w:uiPriority="0" w:name="Table Columns 3"/>
    <w:lsdException w:uiPriority="0" w:name="Table Columns 4"/>
    <w:lsdException w:qFormat="1" w:uiPriority="0" w:name="Table Columns 5"/>
    <w:lsdException w:qFormat="1" w:uiPriority="0" w:name="Table Grid 1"/>
    <w:lsdException w:qFormat="1" w:uiPriority="0" w:name="Table Grid 2"/>
    <w:lsdException w:qFormat="1" w:uiPriority="0" w:name="Table Grid 3"/>
    <w:lsdException w:qFormat="1" w:uiPriority="0" w:name="Table Grid 4"/>
    <w:lsdException w:qFormat="1" w:uiPriority="0" w:name="Table Grid 5"/>
    <w:lsdException w:qFormat="1" w:uiPriority="0" w:name="Table Grid 6"/>
    <w:lsdException w:qFormat="1" w:uiPriority="0" w:name="Table Grid 7"/>
    <w:lsdException w:qFormat="1" w:uiPriority="0" w:name="Table Grid 8"/>
    <w:lsdException w:qFormat="1" w:uiPriority="0" w:name="Table List 1"/>
    <w:lsdException w:qFormat="1" w:uiPriority="0" w:name="Table List 2"/>
    <w:lsdException w:qFormat="1" w:uiPriority="0" w:name="Table List 3"/>
    <w:lsdException w:qFormat="1" w:uiPriority="0" w:name="Table List 4"/>
    <w:lsdException w:qFormat="1" w:uiPriority="0" w:name="Table List 5"/>
    <w:lsdException w:qFormat="1" w:uiPriority="0" w:name="Table List 6"/>
    <w:lsdException w:qFormat="1" w:uiPriority="0" w:name="Table List 7"/>
    <w:lsdException w:qFormat="1" w:uiPriority="0" w:name="Table List 8"/>
    <w:lsdException w:qFormat="1" w:uiPriority="0" w:name="Table 3D effects 1"/>
    <w:lsdException w:qFormat="1" w:uiPriority="0" w:name="Table 3D effects 2"/>
    <w:lsdException w:qFormat="1" w:uiPriority="0" w:name="Table 3D effects 3"/>
    <w:lsdException w:qFormat="1" w:uiPriority="0" w:name="Table Contemporary"/>
    <w:lsdException w:uiPriority="0" w:name="Table Elegant"/>
    <w:lsdException w:qFormat="1" w:uiPriority="0" w:name="Table Professional"/>
    <w:lsdException w:qFormat="1" w:uiPriority="0" w:name="Table Subtle 1"/>
    <w:lsdException w:qFormat="1" w:uiPriority="0" w:name="Table Subtle 2"/>
    <w:lsdException w:qFormat="1" w:uiPriority="0" w:name="Table Web 1"/>
    <w:lsdException w:qFormat="1" w:uiPriority="0" w:name="Table Web 2"/>
    <w:lsdException w:qFormat="1"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iPriority="0" w:name="Table Theme"/>
    <w:lsdException w:qFormat="1" w:uiPriority="99" w:name="Placeholder Text"/>
    <w:lsdException w:qFormat="1" w:uiPriority="99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iPriority="99" w:name="List Paragraph"/>
    <w:lsdException w:qFormat="1" w:uiPriority="99" w:name="Quote"/>
    <w:lsdException w:qFormat="1" w:uiPriority="99" w:name="Intense Quote"/>
    <w:lsdException w:qFormat="1" w:uiPriority="66" w:name="Medium List 2 Accent 1"/>
    <w:lsdException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200" w:line="273" w:lineRule="auto"/>
      <w:jc w:val="both"/>
    </w:pPr>
    <w:rPr>
      <w:rFonts w:ascii="等线" w:hAnsi="等线" w:eastAsia="等线" w:cs="Times New Roman"/>
      <w:kern w:val="2"/>
      <w:sz w:val="21"/>
      <w:szCs w:val="21"/>
      <w:lang w:val="en-GB" w:eastAsia="zh-CN" w:bidi="ar-SA"/>
    </w:rPr>
  </w:style>
  <w:style w:type="paragraph" w:styleId="3">
    <w:name w:val="heading 1"/>
    <w:basedOn w:val="1"/>
    <w:next w:val="1"/>
    <w:link w:val="252"/>
    <w:qFormat/>
    <w:uiPriority w:val="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4">
    <w:name w:val="heading 2"/>
    <w:basedOn w:val="1"/>
    <w:next w:val="1"/>
    <w:link w:val="253"/>
    <w:semiHidden/>
    <w:unhideWhenUsed/>
    <w:qFormat/>
    <w:uiPriority w:val="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5">
    <w:name w:val="heading 3"/>
    <w:basedOn w:val="1"/>
    <w:next w:val="1"/>
    <w:link w:val="254"/>
    <w:semiHidden/>
    <w:unhideWhenUsed/>
    <w:qFormat/>
    <w:uiPriority w:val="0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paragraph" w:styleId="6">
    <w:name w:val="heading 4"/>
    <w:basedOn w:val="1"/>
    <w:next w:val="1"/>
    <w:link w:val="255"/>
    <w:semiHidden/>
    <w:unhideWhenUsed/>
    <w:qFormat/>
    <w:uiPriority w:val="0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paragraph" w:styleId="7">
    <w:name w:val="heading 5"/>
    <w:basedOn w:val="1"/>
    <w:next w:val="1"/>
    <w:link w:val="256"/>
    <w:semiHidden/>
    <w:unhideWhenUsed/>
    <w:qFormat/>
    <w:uiPriority w:val="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paragraph" w:styleId="8">
    <w:name w:val="heading 6"/>
    <w:basedOn w:val="1"/>
    <w:next w:val="1"/>
    <w:link w:val="257"/>
    <w:semiHidden/>
    <w:unhideWhenUsed/>
    <w:qFormat/>
    <w:uiPriority w:val="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4E79" w:themeColor="accent1" w:themeShade="80"/>
    </w:rPr>
  </w:style>
  <w:style w:type="paragraph" w:styleId="9">
    <w:name w:val="heading 7"/>
    <w:basedOn w:val="1"/>
    <w:next w:val="1"/>
    <w:link w:val="258"/>
    <w:semiHidden/>
    <w:unhideWhenUsed/>
    <w:qFormat/>
    <w:uiPriority w:val="0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4E79" w:themeColor="accent1" w:themeShade="80"/>
    </w:rPr>
  </w:style>
  <w:style w:type="paragraph" w:styleId="10">
    <w:name w:val="heading 8"/>
    <w:basedOn w:val="1"/>
    <w:next w:val="1"/>
    <w:link w:val="259"/>
    <w:semiHidden/>
    <w:unhideWhenUsed/>
    <w:qFormat/>
    <w:uiPriority w:val="0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60"/>
    <w:semiHidden/>
    <w:unhideWhenUsed/>
    <w:qFormat/>
    <w:uiPriority w:val="0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86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00" w:beforeAutospacing="1" w:line="273" w:lineRule="auto"/>
      <w:jc w:val="both"/>
    </w:pPr>
    <w:rPr>
      <w:rFonts w:ascii="Consolas" w:hAnsi="Consolas" w:eastAsia="等线" w:cs="Times New Roman"/>
      <w:kern w:val="2"/>
      <w:lang w:val="en-GB" w:eastAsia="zh-CN" w:bidi="ar-SA"/>
    </w:rPr>
  </w:style>
  <w:style w:type="paragraph" w:styleId="12">
    <w:name w:val="List 3"/>
    <w:basedOn w:val="1"/>
    <w:qFormat/>
    <w:uiPriority w:val="0"/>
    <w:pPr>
      <w:ind w:left="849" w:hanging="283"/>
      <w:contextualSpacing/>
    </w:pPr>
  </w:style>
  <w:style w:type="paragraph" w:styleId="13">
    <w:name w:val="toc 7"/>
    <w:basedOn w:val="1"/>
    <w:next w:val="1"/>
    <w:qFormat/>
    <w:uiPriority w:val="0"/>
    <w:pPr>
      <w:spacing w:after="100"/>
      <w:ind w:left="1260"/>
    </w:pPr>
  </w:style>
  <w:style w:type="paragraph" w:styleId="14">
    <w:name w:val="List Number 2"/>
    <w:basedOn w:val="1"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spacing w:after="0"/>
      <w:ind w:left="210" w:hanging="210"/>
    </w:pPr>
  </w:style>
  <w:style w:type="paragraph" w:styleId="16">
    <w:name w:val="Note Heading"/>
    <w:basedOn w:val="1"/>
    <w:next w:val="1"/>
    <w:link w:val="390"/>
    <w:qFormat/>
    <w:uiPriority w:val="0"/>
    <w:pPr>
      <w:spacing w:before="0" w:after="0" w:line="240" w:lineRule="auto"/>
    </w:pPr>
  </w:style>
  <w:style w:type="paragraph" w:styleId="17">
    <w:name w:val="List Bullet 4"/>
    <w:basedOn w:val="1"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qFormat/>
    <w:uiPriority w:val="0"/>
    <w:pPr>
      <w:spacing w:before="0" w:after="0" w:line="240" w:lineRule="auto"/>
      <w:ind w:left="1680" w:hanging="210"/>
    </w:pPr>
  </w:style>
  <w:style w:type="paragraph" w:styleId="19">
    <w:name w:val="E-mail Signature"/>
    <w:basedOn w:val="1"/>
    <w:link w:val="275"/>
    <w:qFormat/>
    <w:uiPriority w:val="0"/>
    <w:pPr>
      <w:spacing w:before="0" w:after="0" w:line="240" w:lineRule="auto"/>
    </w:pPr>
  </w:style>
  <w:style w:type="paragraph" w:styleId="20">
    <w:name w:val="List Number"/>
    <w:basedOn w:val="1"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qFormat/>
    <w:uiPriority w:val="0"/>
    <w:pPr>
      <w:ind w:left="720"/>
    </w:pPr>
  </w:style>
  <w:style w:type="paragraph" w:styleId="22">
    <w:name w:val="caption"/>
    <w:basedOn w:val="1"/>
    <w:next w:val="1"/>
    <w:semiHidden/>
    <w:unhideWhenUsed/>
    <w:qFormat/>
    <w:uiPriority w:val="0"/>
    <w:pPr>
      <w:spacing w:before="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23">
    <w:name w:val="index 5"/>
    <w:basedOn w:val="1"/>
    <w:next w:val="1"/>
    <w:qFormat/>
    <w:uiPriority w:val="0"/>
    <w:pPr>
      <w:spacing w:before="0" w:after="0" w:line="240" w:lineRule="auto"/>
      <w:ind w:left="1050" w:hanging="21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pacing w:before="0"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26">
    <w:name w:val="Document Map"/>
    <w:basedOn w:val="1"/>
    <w:link w:val="274"/>
    <w:qFormat/>
    <w:uiPriority w:val="0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28">
    <w:name w:val="annotation text"/>
    <w:basedOn w:val="1"/>
    <w:link w:val="249"/>
    <w:qFormat/>
    <w:uiPriority w:val="0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paragraph" w:styleId="29">
    <w:name w:val="index 6"/>
    <w:basedOn w:val="1"/>
    <w:next w:val="1"/>
    <w:qFormat/>
    <w:uiPriority w:val="0"/>
    <w:pPr>
      <w:spacing w:before="0" w:after="0" w:line="240" w:lineRule="auto"/>
      <w:ind w:left="1260" w:hanging="210"/>
    </w:pPr>
  </w:style>
  <w:style w:type="paragraph" w:styleId="30">
    <w:name w:val="Salutation"/>
    <w:basedOn w:val="1"/>
    <w:next w:val="1"/>
    <w:link w:val="400"/>
    <w:uiPriority w:val="0"/>
  </w:style>
  <w:style w:type="paragraph" w:styleId="31">
    <w:name w:val="Body Text 3"/>
    <w:basedOn w:val="1"/>
    <w:link w:val="265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272"/>
    <w:qFormat/>
    <w:uiPriority w:val="0"/>
    <w:pPr>
      <w:spacing w:before="0" w:after="0" w:line="240" w:lineRule="auto"/>
      <w:ind w:left="4252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263"/>
    <w:qFormat/>
    <w:uiPriority w:val="0"/>
    <w:pPr>
      <w:spacing w:after="120"/>
    </w:pPr>
  </w:style>
  <w:style w:type="paragraph" w:styleId="35">
    <w:name w:val="Body Text Indent"/>
    <w:basedOn w:val="1"/>
    <w:link w:val="267"/>
    <w:qFormat/>
    <w:uiPriority w:val="0"/>
    <w:pPr>
      <w:spacing w:after="120"/>
      <w:ind w:left="283"/>
    </w:pPr>
  </w:style>
  <w:style w:type="paragraph" w:styleId="36">
    <w:name w:val="List Number 3"/>
    <w:basedOn w:val="1"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qFormat/>
    <w:uiPriority w:val="0"/>
    <w:pPr>
      <w:ind w:left="566" w:hanging="283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283"/>
      <w:contextualSpacing/>
    </w:pPr>
  </w:style>
  <w:style w:type="paragraph" w:styleId="39">
    <w:name w:val="Block Text"/>
    <w:basedOn w:val="1"/>
    <w:qFormat/>
    <w:uiPriority w:val="0"/>
    <w:pPr>
      <w:pBdr>
        <w:top w:val="single" w:color="5B9BD5" w:themeColor="accent1" w:sz="2" w:space="10"/>
        <w:left w:val="single" w:color="5B9BD5" w:themeColor="accent1" w:sz="2" w:space="10"/>
        <w:bottom w:val="single" w:color="5B9BD5" w:themeColor="accent1" w:sz="2" w:space="10"/>
        <w:right w:val="single" w:color="5B9BD5" w:themeColor="accent1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40">
    <w:name w:val="List Bullet 2"/>
    <w:basedOn w:val="1"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330"/>
    <w:qFormat/>
    <w:uiPriority w:val="0"/>
    <w:pPr>
      <w:spacing w:before="0" w:after="0" w:line="240" w:lineRule="auto"/>
    </w:pPr>
    <w:rPr>
      <w:i/>
      <w:iCs/>
    </w:rPr>
  </w:style>
  <w:style w:type="paragraph" w:styleId="42">
    <w:name w:val="index 4"/>
    <w:basedOn w:val="1"/>
    <w:next w:val="1"/>
    <w:qFormat/>
    <w:uiPriority w:val="0"/>
    <w:pPr>
      <w:spacing w:before="0" w:after="0" w:line="240" w:lineRule="auto"/>
      <w:ind w:left="840" w:hanging="210"/>
    </w:pPr>
  </w:style>
  <w:style w:type="paragraph" w:styleId="43">
    <w:name w:val="toc 5"/>
    <w:basedOn w:val="1"/>
    <w:next w:val="1"/>
    <w:qFormat/>
    <w:uiPriority w:val="0"/>
    <w:pPr>
      <w:spacing w:after="100"/>
      <w:ind w:left="840"/>
    </w:pPr>
  </w:style>
  <w:style w:type="paragraph" w:styleId="44">
    <w:name w:val="toc 3"/>
    <w:basedOn w:val="1"/>
    <w:next w:val="1"/>
    <w:qFormat/>
    <w:uiPriority w:val="0"/>
    <w:pPr>
      <w:spacing w:after="100"/>
      <w:ind w:left="420"/>
    </w:pPr>
  </w:style>
  <w:style w:type="paragraph" w:styleId="45">
    <w:name w:val="Plain Text"/>
    <w:basedOn w:val="1"/>
    <w:link w:val="397"/>
    <w:qFormat/>
    <w:uiPriority w:val="0"/>
    <w:pPr>
      <w:spacing w:before="0" w:after="0" w:line="240" w:lineRule="auto"/>
    </w:pPr>
    <w:rPr>
      <w:rFonts w:ascii="Consolas" w:hAnsi="Consolas"/>
    </w:rPr>
  </w:style>
  <w:style w:type="paragraph" w:styleId="46">
    <w:name w:val="List Bullet 5"/>
    <w:basedOn w:val="1"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qFormat/>
    <w:uiPriority w:val="0"/>
    <w:pPr>
      <w:spacing w:after="100"/>
      <w:ind w:left="1470"/>
    </w:pPr>
  </w:style>
  <w:style w:type="paragraph" w:styleId="49">
    <w:name w:val="index 3"/>
    <w:basedOn w:val="1"/>
    <w:next w:val="1"/>
    <w:uiPriority w:val="0"/>
    <w:pPr>
      <w:spacing w:before="0" w:after="0" w:line="240" w:lineRule="auto"/>
      <w:ind w:left="630" w:hanging="210"/>
    </w:pPr>
  </w:style>
  <w:style w:type="paragraph" w:styleId="50">
    <w:name w:val="Date"/>
    <w:basedOn w:val="1"/>
    <w:next w:val="1"/>
    <w:link w:val="273"/>
    <w:qFormat/>
    <w:uiPriority w:val="0"/>
  </w:style>
  <w:style w:type="paragraph" w:styleId="51">
    <w:name w:val="Body Text Indent 2"/>
    <w:basedOn w:val="1"/>
    <w:link w:val="269"/>
    <w:qFormat/>
    <w:uiPriority w:val="0"/>
    <w:pPr>
      <w:spacing w:after="120" w:line="480" w:lineRule="auto"/>
      <w:ind w:left="283"/>
    </w:pPr>
  </w:style>
  <w:style w:type="paragraph" w:styleId="52">
    <w:name w:val="endnote text"/>
    <w:basedOn w:val="1"/>
    <w:link w:val="276"/>
    <w:qFormat/>
    <w:uiPriority w:val="0"/>
    <w:pPr>
      <w:spacing w:before="0" w:after="0" w:line="240" w:lineRule="auto"/>
    </w:pPr>
    <w:rPr>
      <w:sz w:val="20"/>
      <w:szCs w:val="20"/>
    </w:rPr>
  </w:style>
  <w:style w:type="paragraph" w:styleId="53">
    <w:name w:val="List Continue 5"/>
    <w:basedOn w:val="1"/>
    <w:qFormat/>
    <w:uiPriority w:val="0"/>
    <w:pPr>
      <w:spacing w:after="120"/>
      <w:ind w:left="1415"/>
      <w:contextualSpacing/>
    </w:pPr>
  </w:style>
  <w:style w:type="paragraph" w:styleId="54">
    <w:name w:val="Balloon Text"/>
    <w:basedOn w:val="1"/>
    <w:link w:val="261"/>
    <w:qFormat/>
    <w:uiPriority w:val="0"/>
    <w:pPr>
      <w:spacing w:before="0" w:after="0" w:line="240" w:lineRule="auto"/>
    </w:pPr>
    <w:rPr>
      <w:rFonts w:ascii="Tahoma" w:hAnsi="Tahoma" w:cs="Tahoma"/>
      <w:sz w:val="16"/>
      <w:szCs w:val="18"/>
      <w:lang w:val="en-US"/>
    </w:rPr>
  </w:style>
  <w:style w:type="paragraph" w:styleId="55">
    <w:name w:val="footer"/>
    <w:basedOn w:val="1"/>
    <w:link w:val="277"/>
    <w:qFormat/>
    <w:uiPriority w:val="0"/>
    <w:pPr>
      <w:tabs>
        <w:tab w:val="center" w:pos="4513"/>
        <w:tab w:val="right" w:pos="9026"/>
      </w:tabs>
      <w:spacing w:before="0" w:after="0" w:line="240" w:lineRule="auto"/>
    </w:pPr>
  </w:style>
  <w:style w:type="paragraph" w:styleId="56">
    <w:name w:val="envelope return"/>
    <w:basedOn w:val="1"/>
    <w:qFormat/>
    <w:uiPriority w:val="0"/>
    <w:pPr>
      <w:spacing w:before="0" w:after="0"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paragraph" w:styleId="57">
    <w:name w:val="header"/>
    <w:basedOn w:val="1"/>
    <w:link w:val="329"/>
    <w:qFormat/>
    <w:uiPriority w:val="0"/>
    <w:pPr>
      <w:tabs>
        <w:tab w:val="center" w:pos="4513"/>
        <w:tab w:val="right" w:pos="9026"/>
      </w:tabs>
      <w:spacing w:before="0" w:after="0" w:line="240" w:lineRule="auto"/>
    </w:pPr>
  </w:style>
  <w:style w:type="paragraph" w:styleId="58">
    <w:name w:val="Signature"/>
    <w:basedOn w:val="1"/>
    <w:link w:val="401"/>
    <w:uiPriority w:val="0"/>
    <w:pPr>
      <w:spacing w:before="0" w:after="0" w:line="240" w:lineRule="auto"/>
      <w:ind w:left="4252"/>
    </w:pPr>
  </w:style>
  <w:style w:type="paragraph" w:styleId="59">
    <w:name w:val="toc 1"/>
    <w:basedOn w:val="1"/>
    <w:next w:val="1"/>
    <w:qFormat/>
    <w:uiPriority w:val="0"/>
    <w:pPr>
      <w:spacing w:after="100"/>
    </w:pPr>
  </w:style>
  <w:style w:type="paragraph" w:styleId="60">
    <w:name w:val="List Continue 4"/>
    <w:basedOn w:val="1"/>
    <w:qFormat/>
    <w:uiPriority w:val="0"/>
    <w:pPr>
      <w:spacing w:after="120"/>
      <w:ind w:left="1132"/>
      <w:contextualSpacing/>
    </w:pPr>
  </w:style>
  <w:style w:type="paragraph" w:styleId="61">
    <w:name w:val="toc 4"/>
    <w:basedOn w:val="1"/>
    <w:next w:val="1"/>
    <w:uiPriority w:val="0"/>
    <w:pPr>
      <w:spacing w:after="100"/>
      <w:ind w:left="630"/>
    </w:pPr>
  </w:style>
  <w:style w:type="paragraph" w:styleId="62">
    <w:name w:val="index heading"/>
    <w:basedOn w:val="1"/>
    <w:next w:val="63"/>
    <w:qFormat/>
    <w:uiPriority w:val="0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qFormat/>
    <w:uiPriority w:val="0"/>
    <w:pPr>
      <w:spacing w:before="0" w:after="0" w:line="240" w:lineRule="auto"/>
      <w:ind w:left="210" w:hanging="210"/>
    </w:pPr>
  </w:style>
  <w:style w:type="paragraph" w:styleId="64">
    <w:name w:val="Subtitle"/>
    <w:basedOn w:val="1"/>
    <w:next w:val="1"/>
    <w:link w:val="404"/>
    <w:qFormat/>
    <w:uiPriority w:val="0"/>
    <w:pPr>
      <w:spacing w:after="160"/>
    </w:pPr>
    <w:rPr>
      <w:rFonts w:asciiTheme="minorHAnsi" w:hAnsiTheme="minorHAnsi" w:eastAsiaTheme="minorEastAsia" w:cstheme="minorBidi"/>
      <w:color w:val="595959" w:themeColor="text1" w:themeTint="A6"/>
      <w:spacing w:val="15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qFormat/>
    <w:uiPriority w:val="0"/>
    <w:pPr>
      <w:ind w:left="283" w:hanging="283"/>
      <w:contextualSpacing/>
    </w:pPr>
  </w:style>
  <w:style w:type="paragraph" w:styleId="67">
    <w:name w:val="footnote text"/>
    <w:basedOn w:val="1"/>
    <w:link w:val="278"/>
    <w:qFormat/>
    <w:uiPriority w:val="0"/>
    <w:pPr>
      <w:spacing w:before="0" w:after="0" w:line="240" w:lineRule="auto"/>
    </w:pPr>
    <w:rPr>
      <w:sz w:val="20"/>
      <w:szCs w:val="20"/>
    </w:rPr>
  </w:style>
  <w:style w:type="paragraph" w:styleId="68">
    <w:name w:val="toc 6"/>
    <w:basedOn w:val="1"/>
    <w:next w:val="1"/>
    <w:qFormat/>
    <w:uiPriority w:val="0"/>
    <w:pPr>
      <w:spacing w:after="100"/>
      <w:ind w:left="1050"/>
    </w:pPr>
  </w:style>
  <w:style w:type="paragraph" w:styleId="69">
    <w:name w:val="List 5"/>
    <w:basedOn w:val="1"/>
    <w:qFormat/>
    <w:uiPriority w:val="0"/>
    <w:pPr>
      <w:ind w:left="1415" w:hanging="283"/>
      <w:contextualSpacing/>
    </w:pPr>
  </w:style>
  <w:style w:type="paragraph" w:styleId="70">
    <w:name w:val="Body Text Indent 3"/>
    <w:basedOn w:val="1"/>
    <w:link w:val="270"/>
    <w:uiPriority w:val="0"/>
    <w:pPr>
      <w:spacing w:after="120"/>
      <w:ind w:left="283"/>
    </w:pPr>
    <w:rPr>
      <w:sz w:val="16"/>
      <w:szCs w:val="16"/>
    </w:rPr>
  </w:style>
  <w:style w:type="paragraph" w:styleId="71">
    <w:name w:val="index 7"/>
    <w:basedOn w:val="1"/>
    <w:next w:val="1"/>
    <w:uiPriority w:val="0"/>
    <w:pPr>
      <w:spacing w:before="0" w:after="0" w:line="240" w:lineRule="auto"/>
      <w:ind w:left="1470" w:hanging="210"/>
    </w:pPr>
  </w:style>
  <w:style w:type="paragraph" w:styleId="72">
    <w:name w:val="index 9"/>
    <w:basedOn w:val="1"/>
    <w:next w:val="1"/>
    <w:qFormat/>
    <w:uiPriority w:val="0"/>
    <w:pPr>
      <w:spacing w:before="0" w:after="0" w:line="240" w:lineRule="auto"/>
      <w:ind w:left="1890" w:hanging="210"/>
    </w:pPr>
  </w:style>
  <w:style w:type="paragraph" w:styleId="73">
    <w:name w:val="table of figures"/>
    <w:basedOn w:val="1"/>
    <w:next w:val="1"/>
    <w:uiPriority w:val="0"/>
    <w:pPr>
      <w:spacing w:after="0"/>
    </w:pPr>
  </w:style>
  <w:style w:type="paragraph" w:styleId="74">
    <w:name w:val="toc 2"/>
    <w:basedOn w:val="1"/>
    <w:next w:val="1"/>
    <w:uiPriority w:val="0"/>
    <w:pPr>
      <w:spacing w:after="100"/>
      <w:ind w:left="210"/>
    </w:pPr>
  </w:style>
  <w:style w:type="paragraph" w:styleId="75">
    <w:name w:val="toc 9"/>
    <w:basedOn w:val="1"/>
    <w:next w:val="1"/>
    <w:qFormat/>
    <w:uiPriority w:val="0"/>
    <w:pPr>
      <w:spacing w:after="100"/>
      <w:ind w:left="1680"/>
    </w:pPr>
  </w:style>
  <w:style w:type="paragraph" w:styleId="76">
    <w:name w:val="Body Text 2"/>
    <w:basedOn w:val="1"/>
    <w:link w:val="264"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132" w:hanging="283"/>
      <w:contextualSpacing/>
    </w:pPr>
  </w:style>
  <w:style w:type="paragraph" w:styleId="78">
    <w:name w:val="List Continue 2"/>
    <w:basedOn w:val="1"/>
    <w:uiPriority w:val="0"/>
    <w:pPr>
      <w:spacing w:after="120"/>
      <w:ind w:left="566"/>
      <w:contextualSpacing/>
    </w:pPr>
  </w:style>
  <w:style w:type="paragraph" w:styleId="79">
    <w:name w:val="Message Header"/>
    <w:basedOn w:val="1"/>
    <w:link w:val="388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before="0" w:after="0"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paragraph" w:styleId="80">
    <w:name w:val="HTML Preformatted"/>
    <w:basedOn w:val="1"/>
    <w:link w:val="331"/>
    <w:qFormat/>
    <w:uiPriority w:val="0"/>
    <w:pPr>
      <w:spacing w:before="0" w:after="0" w:line="240" w:lineRule="auto"/>
    </w:pPr>
    <w:rPr>
      <w:rFonts w:ascii="Consolas" w:hAnsi="Consolas"/>
      <w:sz w:val="20"/>
      <w:szCs w:val="20"/>
    </w:rPr>
  </w:style>
  <w:style w:type="paragraph" w:styleId="81">
    <w:name w:val="Normal (Web)"/>
    <w:basedOn w:val="1"/>
    <w:qFormat/>
    <w:uiPriority w:val="0"/>
    <w:rPr>
      <w:rFonts w:ascii="Times New Roman" w:hAnsi="Times New Roman"/>
      <w:sz w:val="24"/>
      <w:szCs w:val="24"/>
    </w:rPr>
  </w:style>
  <w:style w:type="paragraph" w:styleId="82">
    <w:name w:val="List Continue 3"/>
    <w:basedOn w:val="1"/>
    <w:uiPriority w:val="0"/>
    <w:pPr>
      <w:spacing w:after="120"/>
      <w:ind w:left="849"/>
      <w:contextualSpacing/>
    </w:pPr>
  </w:style>
  <w:style w:type="paragraph" w:styleId="83">
    <w:name w:val="index 2"/>
    <w:basedOn w:val="1"/>
    <w:next w:val="1"/>
    <w:qFormat/>
    <w:uiPriority w:val="0"/>
    <w:pPr>
      <w:spacing w:before="0" w:after="0" w:line="240" w:lineRule="auto"/>
      <w:ind w:left="420" w:hanging="210"/>
    </w:pPr>
  </w:style>
  <w:style w:type="paragraph" w:styleId="84">
    <w:name w:val="Title"/>
    <w:basedOn w:val="1"/>
    <w:next w:val="1"/>
    <w:link w:val="408"/>
    <w:qFormat/>
    <w:uiPriority w:val="0"/>
    <w:pPr>
      <w:spacing w:before="0"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85">
    <w:name w:val="annotation subject"/>
    <w:basedOn w:val="28"/>
    <w:next w:val="28"/>
    <w:link w:val="251"/>
    <w:qFormat/>
    <w:uiPriority w:val="0"/>
    <w:rPr>
      <w:b/>
      <w:bCs/>
    </w:rPr>
  </w:style>
  <w:style w:type="paragraph" w:styleId="86">
    <w:name w:val="Body Text First Indent"/>
    <w:basedOn w:val="34"/>
    <w:link w:val="266"/>
    <w:qFormat/>
    <w:uiPriority w:val="0"/>
    <w:pPr>
      <w:spacing w:after="200"/>
      <w:ind w:firstLine="360"/>
    </w:pPr>
  </w:style>
  <w:style w:type="paragraph" w:styleId="87">
    <w:name w:val="Body Text First Indent 2"/>
    <w:basedOn w:val="35"/>
    <w:link w:val="268"/>
    <w:uiPriority w:val="0"/>
    <w:pPr>
      <w:spacing w:after="200"/>
      <w:ind w:left="360" w:firstLine="360"/>
    </w:pPr>
  </w:style>
  <w:style w:type="table" w:styleId="89">
    <w:name w:val="Table Grid"/>
    <w:basedOn w:val="8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uiPriority w:val="0"/>
    <w:pPr>
      <w:widowControl w:val="0"/>
      <w:spacing w:before="100" w:beforeAutospacing="1" w:after="200" w:line="273" w:lineRule="auto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uiPriority w:val="0"/>
    <w:pPr>
      <w:widowControl w:val="0"/>
      <w:spacing w:before="100" w:beforeAutospacing="1" w:after="200" w:line="273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0"/>
    <w:pPr>
      <w:widowControl w:val="0"/>
      <w:spacing w:before="100" w:beforeAutospacing="1" w:after="200" w:line="273" w:lineRule="auto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2E75B6" w:themeColor="accent1" w:themeShade="BF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C55A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7C7C7C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BF90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2F5597" w:themeColor="accent5" w:themeShade="BF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</w:style>
  <w:style w:type="table" w:styleId="139">
    <w:name w:val="Light Shading Accent 6"/>
    <w:basedOn w:val="88"/>
    <w:semiHidden/>
    <w:unhideWhenUsed/>
    <w:qFormat/>
    <w:uiPriority w:val="60"/>
    <w:rPr>
      <w:color w:val="5482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  <w:shd w:val="clear" w:color="auto" w:fill="D0DC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4B4DF" w:themeColor="accent1" w:themeTint="BF" w:sz="8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4DF" w:themeColor="accent1" w:themeTint="BF" w:sz="6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shd w:val="clear" w:color="auto" w:fill="D0DCF0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uiPriority w:val="67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  <w:insideV w:val="single" w:color="84B4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86">
    <w:name w:val="Medium Grid 1 Accent 4"/>
    <w:basedOn w:val="88"/>
    <w:semiHidden/>
    <w:unhideWhenUsed/>
    <w:uiPriority w:val="67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87">
    <w:name w:val="Medium Grid 1 Accent 5"/>
    <w:basedOn w:val="88"/>
    <w:semiHidden/>
    <w:unhideWhenUsed/>
    <w:uiPriority w:val="67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EF5FA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</w:style>
  <w:style w:type="table" w:styleId="205">
    <w:name w:val="Dark List Accent 2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208">
    <w:name w:val="Dark List Accent 5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210">
    <w:name w:val="Colorful Shading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DEA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4378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EF5FA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A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A8A39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23">
    <w:name w:val="Colorful List Accent 6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25AA0" w:themeFill="accent5" w:themeFillShade="CC"/>
      </w:tcPr>
    </w:tblStylePr>
    <w:tblStylePr w:type="lastRow">
      <w:rPr>
        <w:b/>
        <w:bCs/>
        <w:color w:val="335AA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4">
    <w:name w:val="Colorful Grid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226">
    <w:name w:val="Colorful Grid Accent 2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27">
    <w:name w:val="Colorful Grid Accent 3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232">
    <w:name w:val="Strong"/>
    <w:basedOn w:val="231"/>
    <w:qFormat/>
    <w:uiPriority w:val="0"/>
    <w:rPr>
      <w:b/>
      <w:bCs/>
    </w:rPr>
  </w:style>
  <w:style w:type="character" w:styleId="233">
    <w:name w:val="endnote reference"/>
    <w:basedOn w:val="231"/>
    <w:qFormat/>
    <w:uiPriority w:val="0"/>
    <w:rPr>
      <w:vertAlign w:val="superscript"/>
    </w:rPr>
  </w:style>
  <w:style w:type="character" w:styleId="234">
    <w:name w:val="page number"/>
    <w:basedOn w:val="231"/>
    <w:qFormat/>
    <w:uiPriority w:val="0"/>
  </w:style>
  <w:style w:type="character" w:styleId="235">
    <w:name w:val="FollowedHyperlink"/>
    <w:basedOn w:val="231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qFormat/>
    <w:uiPriority w:val="0"/>
    <w:rPr>
      <w:i/>
      <w:iCs/>
    </w:rPr>
  </w:style>
  <w:style w:type="character" w:styleId="237">
    <w:name w:val="line number"/>
    <w:basedOn w:val="231"/>
    <w:qFormat/>
    <w:uiPriority w:val="0"/>
  </w:style>
  <w:style w:type="character" w:styleId="238">
    <w:name w:val="HTML Definition"/>
    <w:basedOn w:val="231"/>
    <w:qFormat/>
    <w:uiPriority w:val="0"/>
    <w:rPr>
      <w:i/>
      <w:iCs/>
    </w:rPr>
  </w:style>
  <w:style w:type="character" w:styleId="239">
    <w:name w:val="HTML Typewriter"/>
    <w:basedOn w:val="231"/>
    <w:qFormat/>
    <w:uiPriority w:val="0"/>
    <w:rPr>
      <w:rFonts w:ascii="Consolas" w:hAnsi="Consolas"/>
      <w:sz w:val="20"/>
      <w:szCs w:val="20"/>
    </w:rPr>
  </w:style>
  <w:style w:type="character" w:styleId="240">
    <w:name w:val="HTML Acronym"/>
    <w:basedOn w:val="231"/>
    <w:qFormat/>
    <w:uiPriority w:val="0"/>
  </w:style>
  <w:style w:type="character" w:styleId="241">
    <w:name w:val="HTML Variable"/>
    <w:basedOn w:val="231"/>
    <w:qFormat/>
    <w:uiPriority w:val="0"/>
    <w:rPr>
      <w:i/>
      <w:iCs/>
    </w:rPr>
  </w:style>
  <w:style w:type="character" w:styleId="242">
    <w:name w:val="Hyperlink"/>
    <w:basedOn w:val="231"/>
    <w:unhideWhenUsed/>
    <w:qFormat/>
    <w:uiPriority w:val="99"/>
    <w:rPr>
      <w:color w:val="0000FF"/>
      <w:u w:val="single"/>
    </w:rPr>
  </w:style>
  <w:style w:type="character" w:styleId="243">
    <w:name w:val="HTML Code"/>
    <w:basedOn w:val="231"/>
    <w:qFormat/>
    <w:uiPriority w:val="0"/>
    <w:rPr>
      <w:rFonts w:ascii="Consolas" w:hAnsi="Consolas"/>
      <w:sz w:val="20"/>
      <w:szCs w:val="20"/>
    </w:rPr>
  </w:style>
  <w:style w:type="character" w:styleId="244">
    <w:name w:val="annotation reference"/>
    <w:basedOn w:val="231"/>
    <w:qFormat/>
    <w:uiPriority w:val="0"/>
    <w:rPr>
      <w:sz w:val="16"/>
      <w:szCs w:val="16"/>
    </w:rPr>
  </w:style>
  <w:style w:type="character" w:styleId="245">
    <w:name w:val="HTML Cite"/>
    <w:basedOn w:val="231"/>
    <w:qFormat/>
    <w:uiPriority w:val="0"/>
    <w:rPr>
      <w:i/>
      <w:iCs/>
    </w:rPr>
  </w:style>
  <w:style w:type="character" w:styleId="246">
    <w:name w:val="footnote reference"/>
    <w:basedOn w:val="231"/>
    <w:qFormat/>
    <w:uiPriority w:val="0"/>
    <w:rPr>
      <w:vertAlign w:val="superscript"/>
    </w:rPr>
  </w:style>
  <w:style w:type="character" w:styleId="247">
    <w:name w:val="HTML Keyboard"/>
    <w:basedOn w:val="231"/>
    <w:qFormat/>
    <w:uiPriority w:val="0"/>
    <w:rPr>
      <w:rFonts w:ascii="Consolas" w:hAnsi="Consolas"/>
      <w:sz w:val="20"/>
      <w:szCs w:val="20"/>
    </w:rPr>
  </w:style>
  <w:style w:type="character" w:styleId="248">
    <w:name w:val="HTML Sample"/>
    <w:basedOn w:val="231"/>
    <w:qFormat/>
    <w:uiPriority w:val="0"/>
    <w:rPr>
      <w:rFonts w:ascii="Consolas" w:hAnsi="Consolas"/>
      <w:sz w:val="24"/>
      <w:szCs w:val="24"/>
    </w:rPr>
  </w:style>
  <w:style w:type="character" w:customStyle="1" w:styleId="249">
    <w:name w:val="Comment Text Char"/>
    <w:basedOn w:val="231"/>
    <w:link w:val="28"/>
    <w:qFormat/>
    <w:uiPriority w:val="0"/>
    <w:rPr>
      <w:rFonts w:ascii="Tahoma" w:hAnsi="Tahoma" w:eastAsia="等线" w:cs="Tahoma"/>
      <w:kern w:val="2"/>
      <w:sz w:val="16"/>
      <w:lang w:eastAsia="zh-CN"/>
    </w:rPr>
  </w:style>
  <w:style w:type="paragraph" w:customStyle="1" w:styleId="250">
    <w:name w:val="Revision"/>
    <w:hidden/>
    <w:unhideWhenUsed/>
    <w:qFormat/>
    <w:uiPriority w:val="99"/>
    <w:rPr>
      <w:rFonts w:ascii="等线" w:hAnsi="等线" w:eastAsia="等线" w:cs="Times New Roman"/>
      <w:kern w:val="2"/>
      <w:sz w:val="21"/>
      <w:szCs w:val="21"/>
      <w:lang w:val="en-GB" w:eastAsia="zh-CN" w:bidi="ar-SA"/>
    </w:rPr>
  </w:style>
  <w:style w:type="character" w:customStyle="1" w:styleId="251">
    <w:name w:val="Comment Subject Char"/>
    <w:basedOn w:val="249"/>
    <w:link w:val="85"/>
    <w:qFormat/>
    <w:uiPriority w:val="0"/>
    <w:rPr>
      <w:rFonts w:ascii="Tahoma" w:hAnsi="Tahoma" w:eastAsia="等线" w:cs="Tahoma"/>
      <w:b/>
      <w:bCs/>
      <w:kern w:val="2"/>
      <w:sz w:val="16"/>
      <w:lang w:eastAsia="zh-CN"/>
    </w:rPr>
  </w:style>
  <w:style w:type="character" w:customStyle="1" w:styleId="252">
    <w:name w:val="Heading 1 Char"/>
    <w:basedOn w:val="231"/>
    <w:link w:val="3"/>
    <w:qFormat/>
    <w:uiPriority w:val="0"/>
    <w:rPr>
      <w:rFonts w:asciiTheme="majorHAnsi" w:hAnsiTheme="majorHAnsi" w:eastAsiaTheme="majorEastAsia" w:cstheme="majorBidi"/>
      <w:color w:val="2E75B6" w:themeColor="accent1" w:themeShade="BF"/>
      <w:kern w:val="2"/>
      <w:sz w:val="32"/>
      <w:szCs w:val="32"/>
      <w:lang w:val="en-GB" w:eastAsia="zh-CN"/>
    </w:rPr>
  </w:style>
  <w:style w:type="character" w:customStyle="1" w:styleId="253">
    <w:name w:val="Heading 2 Char"/>
    <w:basedOn w:val="231"/>
    <w:link w:val="4"/>
    <w:semiHidden/>
    <w:qFormat/>
    <w:uiPriority w:val="0"/>
    <w:rPr>
      <w:rFonts w:asciiTheme="majorHAnsi" w:hAnsiTheme="majorHAnsi" w:eastAsiaTheme="majorEastAsia" w:cstheme="majorBidi"/>
      <w:color w:val="2E75B6" w:themeColor="accent1" w:themeShade="BF"/>
      <w:kern w:val="2"/>
      <w:sz w:val="26"/>
      <w:szCs w:val="26"/>
      <w:lang w:val="en-GB" w:eastAsia="zh-CN"/>
    </w:rPr>
  </w:style>
  <w:style w:type="character" w:customStyle="1" w:styleId="254">
    <w:name w:val="Heading 3 Char"/>
    <w:basedOn w:val="231"/>
    <w:link w:val="5"/>
    <w:semiHidden/>
    <w:qFormat/>
    <w:uiPriority w:val="0"/>
    <w:rPr>
      <w:rFonts w:asciiTheme="majorHAnsi" w:hAnsiTheme="majorHAnsi" w:eastAsiaTheme="majorEastAsia" w:cstheme="majorBidi"/>
      <w:color w:val="1F4E79" w:themeColor="accent1" w:themeShade="80"/>
      <w:kern w:val="2"/>
      <w:sz w:val="24"/>
      <w:szCs w:val="24"/>
      <w:lang w:val="en-GB" w:eastAsia="zh-CN"/>
    </w:rPr>
  </w:style>
  <w:style w:type="character" w:customStyle="1" w:styleId="255">
    <w:name w:val="Heading 4 Char"/>
    <w:basedOn w:val="231"/>
    <w:link w:val="6"/>
    <w:semiHidden/>
    <w:qFormat/>
    <w:uiPriority w:val="0"/>
    <w:rPr>
      <w:rFonts w:asciiTheme="majorHAnsi" w:hAnsiTheme="majorHAnsi" w:eastAsiaTheme="majorEastAsia" w:cstheme="majorBidi"/>
      <w:i/>
      <w:iCs/>
      <w:color w:val="2E75B6" w:themeColor="accent1" w:themeShade="BF"/>
      <w:kern w:val="2"/>
      <w:sz w:val="21"/>
      <w:szCs w:val="21"/>
      <w:lang w:val="en-GB" w:eastAsia="zh-CN"/>
    </w:rPr>
  </w:style>
  <w:style w:type="character" w:customStyle="1" w:styleId="256">
    <w:name w:val="Heading 5 Char"/>
    <w:basedOn w:val="231"/>
    <w:link w:val="7"/>
    <w:semiHidden/>
    <w:qFormat/>
    <w:uiPriority w:val="0"/>
    <w:rPr>
      <w:rFonts w:asciiTheme="majorHAnsi" w:hAnsiTheme="majorHAnsi" w:eastAsiaTheme="majorEastAsia" w:cstheme="majorBidi"/>
      <w:color w:val="2E75B6" w:themeColor="accent1" w:themeShade="BF"/>
      <w:kern w:val="2"/>
      <w:sz w:val="21"/>
      <w:szCs w:val="21"/>
      <w:lang w:val="en-GB" w:eastAsia="zh-CN"/>
    </w:rPr>
  </w:style>
  <w:style w:type="character" w:customStyle="1" w:styleId="257">
    <w:name w:val="Heading 6 Char"/>
    <w:basedOn w:val="231"/>
    <w:link w:val="8"/>
    <w:semiHidden/>
    <w:qFormat/>
    <w:uiPriority w:val="0"/>
    <w:rPr>
      <w:rFonts w:asciiTheme="majorHAnsi" w:hAnsiTheme="majorHAnsi" w:eastAsiaTheme="majorEastAsia" w:cstheme="majorBidi"/>
      <w:color w:val="1F4E79" w:themeColor="accent1" w:themeShade="80"/>
      <w:kern w:val="2"/>
      <w:sz w:val="21"/>
      <w:szCs w:val="21"/>
      <w:lang w:val="en-GB" w:eastAsia="zh-CN"/>
    </w:rPr>
  </w:style>
  <w:style w:type="character" w:customStyle="1" w:styleId="258">
    <w:name w:val="Heading 7 Char"/>
    <w:basedOn w:val="231"/>
    <w:link w:val="9"/>
    <w:semiHidden/>
    <w:qFormat/>
    <w:uiPriority w:val="0"/>
    <w:rPr>
      <w:rFonts w:asciiTheme="majorHAnsi" w:hAnsiTheme="majorHAnsi" w:eastAsiaTheme="majorEastAsia" w:cstheme="majorBidi"/>
      <w:i/>
      <w:iCs/>
      <w:color w:val="1F4E79" w:themeColor="accent1" w:themeShade="80"/>
      <w:kern w:val="2"/>
      <w:sz w:val="21"/>
      <w:szCs w:val="21"/>
      <w:lang w:val="en-GB" w:eastAsia="zh-CN"/>
    </w:rPr>
  </w:style>
  <w:style w:type="character" w:customStyle="1" w:styleId="259">
    <w:name w:val="Heading 8 Char"/>
    <w:basedOn w:val="231"/>
    <w:link w:val="10"/>
    <w:semiHidden/>
    <w:qFormat/>
    <w:uiPriority w:val="0"/>
    <w:rPr>
      <w:rFonts w:asciiTheme="majorHAnsi" w:hAnsiTheme="majorHAnsi" w:eastAsiaTheme="majorEastAsia" w:cstheme="majorBidi"/>
      <w:color w:val="262626" w:themeColor="text1" w:themeTint="D9"/>
      <w:kern w:val="2"/>
      <w:sz w:val="21"/>
      <w:szCs w:val="21"/>
      <w:lang w:val="en-GB"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0">
    <w:name w:val="Heading 9 Char"/>
    <w:basedOn w:val="231"/>
    <w:link w:val="11"/>
    <w:semiHidden/>
    <w:qFormat/>
    <w:uiPriority w:val="0"/>
    <w:rPr>
      <w:rFonts w:asciiTheme="majorHAnsi" w:hAnsiTheme="majorHAnsi" w:eastAsiaTheme="majorEastAsia" w:cstheme="majorBidi"/>
      <w:i/>
      <w:iCs/>
      <w:color w:val="262626" w:themeColor="text1" w:themeTint="D9"/>
      <w:kern w:val="2"/>
      <w:sz w:val="21"/>
      <w:szCs w:val="21"/>
      <w:lang w:val="en-GB"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1">
    <w:name w:val="Balloon Text Char"/>
    <w:basedOn w:val="231"/>
    <w:link w:val="54"/>
    <w:qFormat/>
    <w:uiPriority w:val="0"/>
    <w:rPr>
      <w:rFonts w:ascii="Tahoma" w:hAnsi="Tahoma" w:eastAsia="等线" w:cs="Tahoma"/>
      <w:kern w:val="2"/>
      <w:sz w:val="16"/>
      <w:szCs w:val="18"/>
      <w:lang w:eastAsia="zh-CN"/>
    </w:rPr>
  </w:style>
  <w:style w:type="paragraph" w:customStyle="1" w:styleId="262">
    <w:name w:val="Bibliography"/>
    <w:basedOn w:val="1"/>
    <w:next w:val="1"/>
    <w:semiHidden/>
    <w:unhideWhenUsed/>
    <w:qFormat/>
    <w:uiPriority w:val="37"/>
  </w:style>
  <w:style w:type="character" w:customStyle="1" w:styleId="263">
    <w:name w:val="Body Text Char"/>
    <w:basedOn w:val="231"/>
    <w:link w:val="34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264">
    <w:name w:val="Body Text 2 Char"/>
    <w:basedOn w:val="231"/>
    <w:link w:val="76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265">
    <w:name w:val="Body Text 3 Char"/>
    <w:basedOn w:val="231"/>
    <w:link w:val="31"/>
    <w:qFormat/>
    <w:uiPriority w:val="0"/>
    <w:rPr>
      <w:rFonts w:ascii="等线" w:hAnsi="等线" w:eastAsia="等线" w:cs="Times New Roman"/>
      <w:kern w:val="2"/>
      <w:sz w:val="16"/>
      <w:szCs w:val="16"/>
      <w:lang w:val="en-GB" w:eastAsia="zh-CN"/>
    </w:rPr>
  </w:style>
  <w:style w:type="character" w:customStyle="1" w:styleId="266">
    <w:name w:val="Body Text First Indent Char"/>
    <w:basedOn w:val="263"/>
    <w:link w:val="86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267">
    <w:name w:val="Body Text Indent Char"/>
    <w:basedOn w:val="231"/>
    <w:link w:val="35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268">
    <w:name w:val="Body Text First Indent 2 Char"/>
    <w:basedOn w:val="267"/>
    <w:link w:val="87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269">
    <w:name w:val="Body Text Indent 2 Char"/>
    <w:basedOn w:val="231"/>
    <w:link w:val="51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270">
    <w:name w:val="Body Text Indent 3 Char"/>
    <w:basedOn w:val="231"/>
    <w:link w:val="70"/>
    <w:qFormat/>
    <w:uiPriority w:val="0"/>
    <w:rPr>
      <w:rFonts w:ascii="等线" w:hAnsi="等线" w:eastAsia="等线" w:cs="Times New Roman"/>
      <w:kern w:val="2"/>
      <w:sz w:val="16"/>
      <w:szCs w:val="16"/>
      <w:lang w:val="en-GB" w:eastAsia="zh-CN"/>
    </w:rPr>
  </w:style>
  <w:style w:type="character" w:customStyle="1" w:styleId="271">
    <w:name w:val="Book Title"/>
    <w:basedOn w:val="231"/>
    <w:qFormat/>
    <w:uiPriority w:val="33"/>
    <w:rPr>
      <w:b/>
      <w:bCs/>
      <w:i/>
      <w:iCs/>
      <w:spacing w:val="5"/>
    </w:rPr>
  </w:style>
  <w:style w:type="character" w:customStyle="1" w:styleId="272">
    <w:name w:val="Closing Char"/>
    <w:basedOn w:val="231"/>
    <w:link w:val="32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273">
    <w:name w:val="Date Char"/>
    <w:basedOn w:val="231"/>
    <w:link w:val="50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274">
    <w:name w:val="Document Map Char"/>
    <w:basedOn w:val="231"/>
    <w:link w:val="26"/>
    <w:qFormat/>
    <w:uiPriority w:val="0"/>
    <w:rPr>
      <w:rFonts w:ascii="Segoe UI" w:hAnsi="Segoe UI" w:eastAsia="等线" w:cs="Segoe UI"/>
      <w:kern w:val="2"/>
      <w:sz w:val="16"/>
      <w:szCs w:val="16"/>
      <w:lang w:val="en-GB" w:eastAsia="zh-CN"/>
    </w:rPr>
  </w:style>
  <w:style w:type="character" w:customStyle="1" w:styleId="275">
    <w:name w:val="E-mail Signature Char"/>
    <w:basedOn w:val="231"/>
    <w:link w:val="19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276">
    <w:name w:val="Endnote Text Char"/>
    <w:basedOn w:val="231"/>
    <w:link w:val="52"/>
    <w:qFormat/>
    <w:uiPriority w:val="0"/>
    <w:rPr>
      <w:rFonts w:ascii="等线" w:hAnsi="等线" w:eastAsia="等线" w:cs="Times New Roman"/>
      <w:kern w:val="2"/>
      <w:lang w:val="en-GB" w:eastAsia="zh-CN"/>
    </w:rPr>
  </w:style>
  <w:style w:type="character" w:customStyle="1" w:styleId="277">
    <w:name w:val="Footer Char"/>
    <w:basedOn w:val="231"/>
    <w:link w:val="55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278">
    <w:name w:val="Footnote Text Char"/>
    <w:basedOn w:val="231"/>
    <w:link w:val="67"/>
    <w:qFormat/>
    <w:uiPriority w:val="0"/>
    <w:rPr>
      <w:rFonts w:ascii="等线" w:hAnsi="等线" w:eastAsia="等线" w:cs="Times New Roman"/>
      <w:kern w:val="2"/>
      <w:lang w:val="en-GB" w:eastAsia="zh-CN"/>
    </w:rPr>
  </w:style>
  <w:style w:type="table" w:customStyle="1" w:styleId="279">
    <w:name w:val="Grid Table 1 Light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0">
    <w:name w:val="Grid Table 1 Light Accent 1"/>
    <w:basedOn w:val="88"/>
    <w:qFormat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1">
    <w:name w:val="Grid Table 1 Light Accent 2"/>
    <w:basedOn w:val="88"/>
    <w:qFormat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2">
    <w:name w:val="Grid Table 1 Light Accent 3"/>
    <w:basedOn w:val="88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3">
    <w:name w:val="Grid Table 1 Light Accent 4"/>
    <w:basedOn w:val="88"/>
    <w:qFormat/>
    <w:uiPriority w:val="46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4">
    <w:name w:val="Grid Table 1 Light Accent 5"/>
    <w:basedOn w:val="88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5">
    <w:name w:val="Grid Table 1 Light Accent 6"/>
    <w:basedOn w:val="88"/>
    <w:qFormat/>
    <w:uiPriority w:val="46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6">
    <w:name w:val="Grid Table 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287">
    <w:name w:val="Grid Table 2 Accent 1"/>
    <w:basedOn w:val="88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288">
    <w:name w:val="Grid Table 2 Accent 2"/>
    <w:basedOn w:val="88"/>
    <w:qFormat/>
    <w:uiPriority w:val="47"/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289">
    <w:name w:val="Grid Table 2 Accent 3"/>
    <w:basedOn w:val="88"/>
    <w:qFormat/>
    <w:uiPriority w:val="47"/>
    <w:tblPr>
      <w:tblBorders>
        <w:top w:val="single" w:color="C8C8C8" w:themeColor="accent3" w:themeTint="99" w:sz="2" w:space="0"/>
        <w:bottom w:val="single" w:color="C8C8C8" w:themeColor="accent3" w:themeTint="99" w:sz="2" w:space="0"/>
        <w:insideH w:val="single" w:color="C8C8C8" w:themeColor="accent3" w:themeTint="99" w:sz="2" w:space="0"/>
        <w:insideV w:val="single" w:color="C8C8C8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C8C8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290">
    <w:name w:val="Grid Table 2 Accent 4"/>
    <w:basedOn w:val="88"/>
    <w:qFormat/>
    <w:uiPriority w:val="47"/>
    <w:tblPr>
      <w:tblBorders>
        <w:top w:val="single" w:color="FFD965" w:themeColor="accent4" w:themeTint="99" w:sz="2" w:space="0"/>
        <w:bottom w:val="single" w:color="FFD965" w:themeColor="accent4" w:themeTint="99" w:sz="2" w:space="0"/>
        <w:insideH w:val="single" w:color="FFD965" w:themeColor="accent4" w:themeTint="99" w:sz="2" w:space="0"/>
        <w:insideV w:val="single" w:color="FFD965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FD965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291">
    <w:name w:val="Grid Table 2 Accent 5"/>
    <w:basedOn w:val="88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292">
    <w:name w:val="Grid Table 2 Accent 6"/>
    <w:basedOn w:val="88"/>
    <w:qFormat/>
    <w:uiPriority w:val="47"/>
    <w:tblPr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293">
    <w:name w:val="Grid Table 3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294">
    <w:name w:val="Grid Table 3 Accent 1"/>
    <w:basedOn w:val="88"/>
    <w:qFormat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295">
    <w:name w:val="Grid Table 3 Accent 2"/>
    <w:basedOn w:val="88"/>
    <w:qFormat/>
    <w:uiPriority w:val="48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296">
    <w:name w:val="Grid Table 3 Accent 3"/>
    <w:basedOn w:val="88"/>
    <w:qFormat/>
    <w:uiPriority w:val="48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297">
    <w:name w:val="Grid Table 3 Accent 4"/>
    <w:basedOn w:val="88"/>
    <w:qFormat/>
    <w:uiPriority w:val="48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298">
    <w:name w:val="Grid Table 3 Accent 5"/>
    <w:basedOn w:val="88"/>
    <w:qFormat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299">
    <w:name w:val="Grid Table 3 Accent 6"/>
    <w:basedOn w:val="88"/>
    <w:qFormat/>
    <w:uiPriority w:val="48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300">
    <w:name w:val="Grid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01">
    <w:name w:val="Grid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02">
    <w:name w:val="Grid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03">
    <w:name w:val="Grid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04">
    <w:name w:val="Grid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05">
    <w:name w:val="Grid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06">
    <w:name w:val="Grid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07">
    <w:name w:val="Grid Table 5 Dark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308">
    <w:name w:val="Grid Table 5 Dark Accent 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309">
    <w:name w:val="Grid Table 5 Dark Accent 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310">
    <w:name w:val="Grid Table 5 Dark Accent 3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311">
    <w:name w:val="Grid Table 5 Dark Accent 4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cPr>
        <w:shd w:val="clear" w:color="auto" w:fill="FFE599" w:themeFill="accent4" w:themeFillTint="66"/>
      </w:tcPr>
    </w:tblStylePr>
    <w:tblStylePr w:type="band1Horz">
      <w:tcPr>
        <w:shd w:val="clear" w:color="auto" w:fill="FFE599" w:themeFill="accent4" w:themeFillTint="66"/>
      </w:tcPr>
    </w:tblStylePr>
  </w:style>
  <w:style w:type="table" w:customStyle="1" w:styleId="312">
    <w:name w:val="Grid Table 5 Dark Accent 5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cPr>
        <w:shd w:val="clear" w:color="auto" w:fill="B4C6E7" w:themeFill="accent5" w:themeFillTint="66"/>
      </w:tcPr>
    </w:tblStylePr>
    <w:tblStylePr w:type="band1Horz">
      <w:tcPr>
        <w:shd w:val="clear" w:color="auto" w:fill="B4C6E7" w:themeFill="accent5" w:themeFillTint="66"/>
      </w:tcPr>
    </w:tblStylePr>
  </w:style>
  <w:style w:type="table" w:customStyle="1" w:styleId="313">
    <w:name w:val="Grid Table 5 Dark Accent 6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314">
    <w:name w:val="Grid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15">
    <w:name w:val="Grid Table 6 Colorful Accent 1"/>
    <w:basedOn w:val="88"/>
    <w:qFormat/>
    <w:uiPriority w:val="51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16">
    <w:name w:val="Grid Table 6 Colorful Accent 2"/>
    <w:basedOn w:val="88"/>
    <w:qFormat/>
    <w:uiPriority w:val="51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17">
    <w:name w:val="Grid Table 6 Colorful Accent 3"/>
    <w:basedOn w:val="88"/>
    <w:qFormat/>
    <w:uiPriority w:val="51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18">
    <w:name w:val="Grid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19">
    <w:name w:val="Grid Table 6 Colorful Accent 5"/>
    <w:basedOn w:val="88"/>
    <w:qFormat/>
    <w:uiPriority w:val="51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20">
    <w:name w:val="Grid Table 6 Colorful Accent 6"/>
    <w:basedOn w:val="88"/>
    <w:qFormat/>
    <w:uiPriority w:val="51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21">
    <w:name w:val="Grid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322">
    <w:name w:val="Grid Table 7 Colorful Accent 1"/>
    <w:basedOn w:val="88"/>
    <w:qFormat/>
    <w:uiPriority w:val="52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323">
    <w:name w:val="Grid Table 7 Colorful Accent 2"/>
    <w:basedOn w:val="88"/>
    <w:qFormat/>
    <w:uiPriority w:val="52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324">
    <w:name w:val="Grid Table 7 Colorful Accent 3"/>
    <w:basedOn w:val="88"/>
    <w:qFormat/>
    <w:uiPriority w:val="52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325">
    <w:name w:val="Grid Table 7 Colorful Accent 4"/>
    <w:basedOn w:val="88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326">
    <w:name w:val="Grid Table 7 Colorful Accent 5"/>
    <w:basedOn w:val="88"/>
    <w:qFormat/>
    <w:uiPriority w:val="52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327">
    <w:name w:val="Grid Table 7 Colorful Accent 6"/>
    <w:basedOn w:val="88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character" w:customStyle="1" w:styleId="328">
    <w:name w:val="Hashtag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29">
    <w:name w:val="Header Char"/>
    <w:basedOn w:val="231"/>
    <w:link w:val="57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330">
    <w:name w:val="HTML Address Char"/>
    <w:basedOn w:val="231"/>
    <w:link w:val="41"/>
    <w:qFormat/>
    <w:uiPriority w:val="0"/>
    <w:rPr>
      <w:rFonts w:ascii="等线" w:hAnsi="等线" w:eastAsia="等线" w:cs="Times New Roman"/>
      <w:i/>
      <w:iCs/>
      <w:kern w:val="2"/>
      <w:sz w:val="21"/>
      <w:szCs w:val="21"/>
      <w:lang w:val="en-GB" w:eastAsia="zh-CN"/>
    </w:rPr>
  </w:style>
  <w:style w:type="character" w:customStyle="1" w:styleId="331">
    <w:name w:val="HTML Preformatted Char"/>
    <w:basedOn w:val="231"/>
    <w:link w:val="80"/>
    <w:qFormat/>
    <w:uiPriority w:val="0"/>
    <w:rPr>
      <w:rFonts w:ascii="Consolas" w:hAnsi="Consolas" w:eastAsia="等线" w:cs="Times New Roman"/>
      <w:kern w:val="2"/>
      <w:lang w:val="en-GB" w:eastAsia="zh-CN"/>
    </w:rPr>
  </w:style>
  <w:style w:type="character" w:customStyle="1" w:styleId="332">
    <w:name w:val="Intense Emphasis"/>
    <w:basedOn w:val="23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333">
    <w:name w:val="Intense Quote"/>
    <w:basedOn w:val="1"/>
    <w:next w:val="1"/>
    <w:link w:val="334"/>
    <w:semiHidden/>
    <w:unhideWhenUsed/>
    <w:qFormat/>
    <w:uiPriority w:val="99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34">
    <w:name w:val="Intense Quote Char"/>
    <w:basedOn w:val="231"/>
    <w:link w:val="333"/>
    <w:semiHidden/>
    <w:qFormat/>
    <w:uiPriority w:val="99"/>
    <w:rPr>
      <w:rFonts w:ascii="等线" w:hAnsi="等线" w:eastAsia="等线" w:cs="Times New Roman"/>
      <w:i/>
      <w:iCs/>
      <w:color w:val="5B9BD5" w:themeColor="accent1"/>
      <w:kern w:val="2"/>
      <w:sz w:val="21"/>
      <w:szCs w:val="21"/>
      <w:lang w:val="en-GB" w:eastAsia="zh-CN"/>
      <w14:textFill>
        <w14:solidFill>
          <w14:schemeClr w14:val="accent1"/>
        </w14:solidFill>
      </w14:textFill>
    </w:rPr>
  </w:style>
  <w:style w:type="character" w:customStyle="1" w:styleId="335">
    <w:name w:val="Intense Reference"/>
    <w:basedOn w:val="23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paragraph" w:styleId="336">
    <w:name w:val="List Paragraph"/>
    <w:basedOn w:val="1"/>
    <w:semiHidden/>
    <w:unhideWhenUsed/>
    <w:qFormat/>
    <w:uiPriority w:val="99"/>
    <w:pPr>
      <w:ind w:left="720"/>
      <w:contextualSpacing/>
    </w:pPr>
  </w:style>
  <w:style w:type="table" w:customStyle="1" w:styleId="337">
    <w:name w:val="List Table 1 Light"/>
    <w:basedOn w:val="88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38">
    <w:name w:val="List Table 1 Light Accent 1"/>
    <w:basedOn w:val="88"/>
    <w:qFormat/>
    <w:uiPriority w:val="46"/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39">
    <w:name w:val="List Table 1 Light Accent 2"/>
    <w:basedOn w:val="88"/>
    <w:qFormat/>
    <w:uiPriority w:val="46"/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40">
    <w:name w:val="List Table 1 Light Accent 3"/>
    <w:basedOn w:val="88"/>
    <w:qFormat/>
    <w:uiPriority w:val="46"/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41">
    <w:name w:val="List Table 1 Light Accent 4"/>
    <w:basedOn w:val="88"/>
    <w:qFormat/>
    <w:uiPriority w:val="46"/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42">
    <w:name w:val="List Table 1 Light Accent 5"/>
    <w:basedOn w:val="88"/>
    <w:qFormat/>
    <w:uiPriority w:val="46"/>
    <w:tblStylePr w:type="firstRow">
      <w:rPr>
        <w:b/>
        <w:bCs/>
      </w:rPr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43">
    <w:name w:val="List Table 1 Light Accent 6"/>
    <w:basedOn w:val="88"/>
    <w:qFormat/>
    <w:uiPriority w:val="46"/>
    <w:tblStylePr w:type="firstRow">
      <w:rPr>
        <w:b/>
        <w:bCs/>
      </w:rPr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44">
    <w:name w:val="List Table 2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45">
    <w:name w:val="List Table 2 Accent 1"/>
    <w:basedOn w:val="88"/>
    <w:qFormat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46">
    <w:name w:val="List Table 2 Accent 2"/>
    <w:basedOn w:val="88"/>
    <w:qFormat/>
    <w:uiPriority w:val="47"/>
    <w:tblPr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47">
    <w:name w:val="List Table 2 Accent 3"/>
    <w:basedOn w:val="88"/>
    <w:qFormat/>
    <w:uiPriority w:val="47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48">
    <w:name w:val="List Table 2 Accent 4"/>
    <w:basedOn w:val="88"/>
    <w:qFormat/>
    <w:uiPriority w:val="47"/>
    <w:tblPr>
      <w:tblBorders>
        <w:top w:val="single" w:color="FFD965" w:themeColor="accent4" w:themeTint="99" w:sz="4" w:space="0"/>
        <w:bottom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49">
    <w:name w:val="List Table 2 Accent 5"/>
    <w:basedOn w:val="88"/>
    <w:qFormat/>
    <w:uiPriority w:val="47"/>
    <w:tblPr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50">
    <w:name w:val="List Table 2 Accent 6"/>
    <w:basedOn w:val="88"/>
    <w:qFormat/>
    <w:uiPriority w:val="47"/>
    <w:tblPr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51">
    <w:name w:val="List Table 3"/>
    <w:basedOn w:val="88"/>
    <w:qFormat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52">
    <w:name w:val="List Table 3 Accent 1"/>
    <w:basedOn w:val="88"/>
    <w:qFormat/>
    <w:uiPriority w:val="48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themeColor="accent1" w:sz="4" w:space="0"/>
          <w:left w:val="nil"/>
        </w:tcBorders>
      </w:tcPr>
    </w:tblStylePr>
    <w:tblStylePr w:type="swCell">
      <w:tcPr>
        <w:tcBorders>
          <w:top w:val="double" w:color="5B9BD5" w:themeColor="accent1" w:sz="4" w:space="0"/>
          <w:right w:val="nil"/>
        </w:tcBorders>
      </w:tcPr>
    </w:tblStylePr>
  </w:style>
  <w:style w:type="table" w:customStyle="1" w:styleId="353">
    <w:name w:val="List Table 3 Accent 2"/>
    <w:basedOn w:val="88"/>
    <w:qFormat/>
    <w:uiPriority w:val="48"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354">
    <w:name w:val="List Table 3 Accent 3"/>
    <w:basedOn w:val="88"/>
    <w:qFormat/>
    <w:uiPriority w:val="48"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A5A5A5" w:themeColor="accent3" w:sz="4" w:space="0"/>
          <w:left w:val="nil"/>
        </w:tcBorders>
      </w:tcPr>
    </w:tblStylePr>
    <w:tblStylePr w:type="swCell">
      <w:tcPr>
        <w:tcBorders>
          <w:top w:val="double" w:color="A5A5A5" w:themeColor="accent3" w:sz="4" w:space="0"/>
          <w:right w:val="nil"/>
        </w:tcBorders>
      </w:tcPr>
    </w:tblStylePr>
  </w:style>
  <w:style w:type="table" w:customStyle="1" w:styleId="355">
    <w:name w:val="List Table 3 Accent 4"/>
    <w:basedOn w:val="88"/>
    <w:qFormat/>
    <w:uiPriority w:val="48"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FC000" w:themeColor="accent4" w:sz="4" w:space="0"/>
          <w:left w:val="nil"/>
        </w:tcBorders>
      </w:tcPr>
    </w:tblStylePr>
    <w:tblStylePr w:type="swCell"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356">
    <w:name w:val="List Table 3 Accent 5"/>
    <w:basedOn w:val="88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table" w:customStyle="1" w:styleId="357">
    <w:name w:val="List Table 3 Accent 6"/>
    <w:basedOn w:val="88"/>
    <w:qFormat/>
    <w:uiPriority w:val="48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0AD47" w:themeColor="accent6" w:sz="4" w:space="0"/>
          <w:left w:val="nil"/>
        </w:tcBorders>
      </w:tcPr>
    </w:tblStylePr>
    <w:tblStylePr w:type="swCell"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358">
    <w:name w:val="List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59">
    <w:name w:val="List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60">
    <w:name w:val="List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61">
    <w:name w:val="List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62">
    <w:name w:val="List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63">
    <w:name w:val="List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64">
    <w:name w:val="List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65">
    <w:name w:val="List Table 5 Dark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6">
    <w:name w:val="List Table 5 Dark Accent 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7">
    <w:name w:val="List Table 5 Dark Accent 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8">
    <w:name w:val="List Table 5 Dark Accent 3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9">
    <w:name w:val="List Table 5 Dark Accent 4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0">
    <w:name w:val="List Table 5 Dark Accent 5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1">
    <w:name w:val="List Table 5 Dark Accent 6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2">
    <w:name w:val="List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3">
    <w:name w:val="List Table 6 Colorful Accent 1"/>
    <w:basedOn w:val="88"/>
    <w:qFormat/>
    <w:uiPriority w:val="51"/>
    <w:rPr>
      <w:color w:val="2E75B6" w:themeColor="accent1" w:themeShade="BF"/>
    </w:r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74">
    <w:name w:val="List Table 6 Colorful Accent 2"/>
    <w:basedOn w:val="88"/>
    <w:qFormat/>
    <w:uiPriority w:val="51"/>
    <w:rPr>
      <w:color w:val="C55A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75">
    <w:name w:val="List Table 6 Colorful Accent 3"/>
    <w:basedOn w:val="88"/>
    <w:qFormat/>
    <w:uiPriority w:val="51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76">
    <w:name w:val="List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77">
    <w:name w:val="List Table 6 Colorful Accent 5"/>
    <w:basedOn w:val="88"/>
    <w:qFormat/>
    <w:uiPriority w:val="51"/>
    <w:rPr>
      <w:color w:val="2F5597" w:themeColor="accent5" w:themeShade="BF"/>
    </w:rPr>
    <w:tblPr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78">
    <w:name w:val="List Table 6 Colorful Accent 6"/>
    <w:basedOn w:val="88"/>
    <w:qFormat/>
    <w:uiPriority w:val="51"/>
    <w:rPr>
      <w:color w:val="548235" w:themeColor="accent6" w:themeShade="BF"/>
    </w:rPr>
    <w:tblPr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79">
    <w:name w:val="List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0">
    <w:name w:val="List Table 7 Colorful Accent 1"/>
    <w:basedOn w:val="88"/>
    <w:qFormat/>
    <w:uiPriority w:val="52"/>
    <w:rPr>
      <w:color w:val="2E75B6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1">
    <w:name w:val="List Table 7 Colorful Accent 2"/>
    <w:basedOn w:val="88"/>
    <w:qFormat/>
    <w:uiPriority w:val="52"/>
    <w:rPr>
      <w:color w:val="C55A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2">
    <w:name w:val="List Table 7 Colorful Accent 3"/>
    <w:basedOn w:val="88"/>
    <w:qFormat/>
    <w:uiPriority w:val="52"/>
    <w:rPr>
      <w:color w:val="7C7C7C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3">
    <w:name w:val="List Table 7 Colorful Accent 4"/>
    <w:basedOn w:val="88"/>
    <w:qFormat/>
    <w:uiPriority w:val="52"/>
    <w:rPr>
      <w:color w:val="BF9000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4">
    <w:name w:val="List Table 7 Colorful Accent 5"/>
    <w:basedOn w:val="88"/>
    <w:qFormat/>
    <w:uiPriority w:val="52"/>
    <w:rPr>
      <w:color w:val="2F559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5">
    <w:name w:val="List Table 7 Colorful Accent 6"/>
    <w:basedOn w:val="88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86">
    <w:name w:val="Macro Text Char"/>
    <w:basedOn w:val="231"/>
    <w:link w:val="2"/>
    <w:qFormat/>
    <w:uiPriority w:val="0"/>
    <w:rPr>
      <w:rFonts w:ascii="Consolas" w:hAnsi="Consolas" w:eastAsia="等线" w:cs="Times New Roman"/>
      <w:kern w:val="2"/>
      <w:lang w:val="en-GB" w:eastAsia="zh-CN"/>
    </w:rPr>
  </w:style>
  <w:style w:type="character" w:customStyle="1" w:styleId="387">
    <w:name w:val="Mention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88">
    <w:name w:val="Message Header Char"/>
    <w:basedOn w:val="231"/>
    <w:link w:val="79"/>
    <w:qFormat/>
    <w:uiPriority w:val="0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  <w:lang w:val="en-GB" w:eastAsia="zh-CN"/>
    </w:rPr>
  </w:style>
  <w:style w:type="paragraph" w:styleId="389">
    <w:name w:val="No Spacing"/>
    <w:semiHidden/>
    <w:unhideWhenUsed/>
    <w:qFormat/>
    <w:uiPriority w:val="99"/>
    <w:pPr>
      <w:widowControl w:val="0"/>
      <w:spacing w:beforeAutospacing="1"/>
      <w:jc w:val="both"/>
    </w:pPr>
    <w:rPr>
      <w:rFonts w:ascii="等线" w:hAnsi="等线" w:eastAsia="等线" w:cs="Times New Roman"/>
      <w:kern w:val="2"/>
      <w:sz w:val="21"/>
      <w:szCs w:val="21"/>
      <w:lang w:val="en-GB" w:eastAsia="zh-CN" w:bidi="ar-SA"/>
    </w:rPr>
  </w:style>
  <w:style w:type="character" w:customStyle="1" w:styleId="390">
    <w:name w:val="Note Heading Char"/>
    <w:basedOn w:val="231"/>
    <w:link w:val="16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styleId="391">
    <w:name w:val="Placeholder Text"/>
    <w:basedOn w:val="231"/>
    <w:semiHidden/>
    <w:unhideWhenUsed/>
    <w:qFormat/>
    <w:uiPriority w:val="99"/>
    <w:rPr>
      <w:color w:val="666666"/>
    </w:rPr>
  </w:style>
  <w:style w:type="table" w:customStyle="1" w:styleId="392">
    <w:name w:val="Plain Table 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3">
    <w:name w:val="Plain Table 2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394">
    <w:name w:val="Plain Table 3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395">
    <w:name w:val="Plain Table 4"/>
    <w:basedOn w:val="88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6">
    <w:name w:val="Plain Table 5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97">
    <w:name w:val="Plain Text Char"/>
    <w:basedOn w:val="231"/>
    <w:link w:val="45"/>
    <w:qFormat/>
    <w:uiPriority w:val="0"/>
    <w:rPr>
      <w:rFonts w:ascii="Consolas" w:hAnsi="Consolas" w:eastAsia="等线" w:cs="Times New Roman"/>
      <w:kern w:val="2"/>
      <w:sz w:val="21"/>
      <w:szCs w:val="21"/>
      <w:lang w:val="en-GB" w:eastAsia="zh-CN"/>
    </w:rPr>
  </w:style>
  <w:style w:type="paragraph" w:styleId="398">
    <w:name w:val="Quote"/>
    <w:basedOn w:val="1"/>
    <w:next w:val="1"/>
    <w:link w:val="399"/>
    <w:semiHidden/>
    <w:unhideWhenUsed/>
    <w:qFormat/>
    <w:uiPriority w:val="9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9">
    <w:name w:val="Quote Char"/>
    <w:basedOn w:val="231"/>
    <w:link w:val="398"/>
    <w:semiHidden/>
    <w:qFormat/>
    <w:uiPriority w:val="99"/>
    <w:rPr>
      <w:rFonts w:ascii="等线" w:hAnsi="等线" w:eastAsia="等线" w:cs="Times New Roman"/>
      <w:i/>
      <w:iCs/>
      <w:color w:val="404040" w:themeColor="text1" w:themeTint="BF"/>
      <w:kern w:val="2"/>
      <w:sz w:val="21"/>
      <w:szCs w:val="21"/>
      <w:lang w:val="en-GB" w:eastAsia="zh-CN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0">
    <w:name w:val="Salutation Char"/>
    <w:basedOn w:val="231"/>
    <w:link w:val="30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401">
    <w:name w:val="Signature Char"/>
    <w:basedOn w:val="231"/>
    <w:link w:val="58"/>
    <w:qFormat/>
    <w:uiPriority w:val="0"/>
    <w:rPr>
      <w:rFonts w:ascii="等线" w:hAnsi="等线" w:eastAsia="等线" w:cs="Times New Roman"/>
      <w:kern w:val="2"/>
      <w:sz w:val="21"/>
      <w:szCs w:val="21"/>
      <w:lang w:val="en-GB" w:eastAsia="zh-CN"/>
    </w:rPr>
  </w:style>
  <w:style w:type="character" w:customStyle="1" w:styleId="402">
    <w:name w:val="Smart Hyperlink"/>
    <w:basedOn w:val="231"/>
    <w:semiHidden/>
    <w:unhideWhenUsed/>
    <w:qFormat/>
    <w:uiPriority w:val="99"/>
    <w:rPr>
      <w:u w:val="dotted"/>
    </w:rPr>
  </w:style>
  <w:style w:type="character" w:customStyle="1" w:styleId="403">
    <w:name w:val="Smart Link"/>
    <w:basedOn w:val="231"/>
    <w:semiHidden/>
    <w:unhideWhenUsed/>
    <w:qFormat/>
    <w:uiPriority w:val="99"/>
    <w:rPr>
      <w:color w:val="0000FF"/>
      <w:u w:val="single"/>
      <w:shd w:val="clear" w:color="auto" w:fill="F3F2F1"/>
    </w:rPr>
  </w:style>
  <w:style w:type="character" w:customStyle="1" w:styleId="404">
    <w:name w:val="Subtitle Char"/>
    <w:basedOn w:val="231"/>
    <w:link w:val="64"/>
    <w:qFormat/>
    <w:uiPriority w:val="0"/>
    <w:rPr>
      <w:color w:val="595959" w:themeColor="text1" w:themeTint="A6"/>
      <w:spacing w:val="15"/>
      <w:kern w:val="2"/>
      <w:sz w:val="22"/>
      <w:szCs w:val="22"/>
      <w:lang w:val="en-GB"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5">
    <w:name w:val="Subtle Emphasis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6">
    <w:name w:val="Subtle Reference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407">
    <w:name w:val="Grid Table Light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08">
    <w:name w:val="Title Char"/>
    <w:basedOn w:val="231"/>
    <w:link w:val="8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  <w:lang w:val="en-GB" w:eastAsia="zh-CN"/>
    </w:rPr>
  </w:style>
  <w:style w:type="paragraph" w:customStyle="1" w:styleId="409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410">
    <w:name w:val="Unresolved Mention"/>
    <w:basedOn w:val="23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1868</Words>
  <Characters>10399</Characters>
  <Lines>93</Lines>
  <Paragraphs>26</Paragraphs>
  <TotalTime>25</TotalTime>
  <ScaleCrop>false</ScaleCrop>
  <LinksUpToDate>false</LinksUpToDate>
  <CharactersWithSpaces>12238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2025-10-29T00:30:00Z</dcterms:created>
  <dc:creator>no</dc:creator>
  <cp:lastModifiedBy>no</cp:lastModifiedBy>
  <dcterms:modified xsi:type="dcterms:W3CDTF">2025-10-31T22:06:21Z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CCE5B1D12C6F4115A8AC436A537ABA1F_13</vt:lpwstr>
  </property>
  <property fmtid="{D5CDD505-2E9C-101B-9397-08002B2CF9AE}" pid="3" name="KSOProductBuildVer">
    <vt:lpwstr>2052-12.1.0.23125</vt:lpwstr>
  </property>
  <property fmtid="{D5CDD505-2E9C-101B-9397-08002B2CF9AE}" pid="4" name="KSOTemplateDocerSaveRecord">
    <vt:lpwstr>eyJoZGlkIjoiZTdjZjJiYjkxNmZkYzIxMmQzYzUxMDA3NGY5NjdkOWMiLCJ1c2VySWQiOiIyNTUxMDYzOTMifQ==</vt:lpwstr>
  </property>
  <property fmtid="{D5CDD505-2E9C-101B-9397-08002B2CF9AE}" pid="5" name="LE1">
    <vt:filetime>2025-10-26T10:17:39Z</vt:filetime>
  </property>
  <property fmtid="{D5CDD505-2E9C-101B-9397-08002B2CF9AE}" pid="6" name="RTID">
    <vt:lpwstr>{2F0A462D-D2B8-EE48-BD1B-C53399B7973B}</vt:lpwstr>
  </property>
  <property fmtid="{D5CDD505-2E9C-101B-9397-08002B2CF9AE}" pid="7" name="ReminderText">
    <vt:lpwstr>_C9KJRUFG</vt:lpwstr>
  </property>
  <property fmtid="{D5CDD505-2E9C-101B-9397-08002B2CF9AE}" pid="8" name="ViewstateID">
    <vt:lpwstr>8HC6O8UQDC</vt:lpwstr>
  </property>
  <property fmtid="{D5CDD505-2E9C-101B-9397-08002B2CF9AE}" pid="9" name="BackupSave">
    <vt:filetime>2025-10-31T10:25:03Z</vt:filetime>
  </property>
  <property fmtid="{D5CDD505-2E9C-101B-9397-08002B2CF9AE}" pid="10" name="backupFolderNumber">
    <vt:i4>2</vt:i4>
  </property>
</Properties>
</file>