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D36C" w14:textId="488D427D" w:rsidR="00083FE7" w:rsidRPr="00083FE7" w:rsidRDefault="00B34A32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 w:hint="eastAsia"/>
          <w:b/>
          <w:bCs/>
          <w:kern w:val="44"/>
          <w:sz w:val="24"/>
        </w:rPr>
      </w:pPr>
      <w:r>
        <w:rPr>
          <w:rFonts w:ascii="Times New Roman" w:eastAsia="宋体" w:hAnsi="Times New Roman" w:cs="Times New Roman"/>
          <w:b/>
          <w:bCs/>
          <w:noProof/>
          <w:kern w:val="44"/>
          <w:sz w:val="24"/>
        </w:rPr>
        <w:drawing>
          <wp:inline distT="0" distB="0" distL="0" distR="0" wp14:anchorId="6E3C95EA" wp14:editId="61900BF9">
            <wp:extent cx="5274310" cy="4034155"/>
            <wp:effectExtent l="0" t="0" r="2540" b="4445"/>
            <wp:docPr id="11130834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083432" name="图片 11130834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Figure </w:t>
      </w:r>
      <w:r w:rsidR="00083FE7" w:rsidRP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S</w:t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>1. Genomic characteristics of disulfidptosis-related melanoma subtypes</w:t>
      </w:r>
    </w:p>
    <w:p w14:paraId="6A827C25" w14:textId="77777777" w:rsidR="00083FE7" w:rsidRDefault="00083FE7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83FE7">
        <w:rPr>
          <w:rStyle w:val="16"/>
          <w:rFonts w:ascii="Times New Roman" w:hAnsi="Times New Roman" w:cs="Times New Roman" w:hint="default"/>
          <w:color w:val="000000" w:themeColor="text1"/>
          <w:sz w:val="24"/>
        </w:rPr>
        <w:t>(A)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Waterfall plot of short variants in disulfidoptosis-related genes across Subtype 1 and Subtype 2. </w:t>
      </w:r>
      <w:r w:rsidRPr="00083FE7">
        <w:rPr>
          <w:rStyle w:val="16"/>
          <w:rFonts w:ascii="Times New Roman" w:hAnsi="Times New Roman" w:cs="Times New Roman" w:hint="default"/>
          <w:color w:val="000000" w:themeColor="text1"/>
          <w:sz w:val="24"/>
        </w:rPr>
        <w:t>(B)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Chromosomal localization of disulfidoptosis-related genes in the h</w:t>
      </w:r>
      <w:r w:rsidRPr="00083FE7">
        <w:rPr>
          <w:rFonts w:ascii="Times New Roman" w:hAnsi="Times New Roman" w:cs="Times New Roman"/>
          <w:sz w:val="24"/>
        </w:rPr>
        <w:t xml:space="preserve">uman genome. </w:t>
      </w:r>
      <w:r w:rsidRPr="00083FE7">
        <w:rPr>
          <w:rStyle w:val="16"/>
          <w:rFonts w:ascii="Times New Roman" w:hAnsi="Times New Roman" w:cs="Times New Roman" w:hint="default"/>
          <w:sz w:val="24"/>
        </w:rPr>
        <w:t>(C)</w:t>
      </w:r>
      <w:r w:rsidRPr="00083FE7">
        <w:rPr>
          <w:rFonts w:ascii="Times New Roman" w:hAnsi="Times New Roman" w:cs="Times New Roman"/>
          <w:sz w:val="24"/>
        </w:rPr>
        <w:t xml:space="preserve"> Frequency of CNV in disulfidoptosis-related genes in Subtype 1. </w:t>
      </w:r>
      <w:r w:rsidRPr="00083FE7">
        <w:rPr>
          <w:rStyle w:val="16"/>
          <w:rFonts w:ascii="Times New Roman" w:hAnsi="Times New Roman" w:cs="Times New Roman" w:hint="default"/>
          <w:sz w:val="24"/>
        </w:rPr>
        <w:t>(D)</w:t>
      </w:r>
      <w:r w:rsidRPr="00083FE7">
        <w:rPr>
          <w:rFonts w:ascii="Times New Roman" w:hAnsi="Times New Roman" w:cs="Times New Roman"/>
          <w:sz w:val="24"/>
        </w:rPr>
        <w:t xml:space="preserve"> Frequency of CNV in disulfidoptosis-related genes in Subtype 2. (In the figures, red dots represent copy number gains, while green dots indicate copy number losses)</w:t>
      </w:r>
    </w:p>
    <w:p w14:paraId="48F8DE03" w14:textId="77777777" w:rsidR="00B34A32" w:rsidRPr="00083FE7" w:rsidRDefault="00B34A32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AE19433" w14:textId="6138AA9C" w:rsidR="00083FE7" w:rsidRPr="00083FE7" w:rsidRDefault="00B34A32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 w:hint="eastAsia"/>
          <w:b/>
          <w:bCs/>
          <w:kern w:val="44"/>
          <w:sz w:val="24"/>
        </w:rPr>
      </w:pPr>
      <w:r>
        <w:rPr>
          <w:rFonts w:ascii="Times New Roman" w:eastAsia="宋体" w:hAnsi="Times New Roman" w:cs="Times New Roman"/>
          <w:b/>
          <w:bCs/>
          <w:noProof/>
          <w:kern w:val="44"/>
          <w:sz w:val="24"/>
        </w:rPr>
        <w:drawing>
          <wp:inline distT="0" distB="0" distL="0" distR="0" wp14:anchorId="55F60EB8" wp14:editId="3F8EBA5B">
            <wp:extent cx="5274310" cy="2275840"/>
            <wp:effectExtent l="0" t="0" r="2540" b="0"/>
            <wp:docPr id="4071886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188677" name="图片 4071886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Figure </w:t>
      </w:r>
      <w:r w:rsidR="00083FE7" w:rsidRP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S2</w:t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. </w:t>
      </w:r>
      <w:r w:rsidR="00083FE7" w:rsidRP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 xml:space="preserve">Expression analysis of </w:t>
      </w:r>
      <w:r w:rsid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DRG</w:t>
      </w:r>
      <w:r w:rsidR="00083FE7" w:rsidRP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s in melanoma subtypes</w:t>
      </w:r>
    </w:p>
    <w:p w14:paraId="2AFF2C90" w14:textId="77777777" w:rsidR="00083FE7" w:rsidRDefault="00083FE7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83FE7">
        <w:rPr>
          <w:rStyle w:val="16"/>
          <w:rFonts w:ascii="Times New Roman" w:hAnsi="Times New Roman" w:cs="Times New Roman" w:hint="default"/>
          <w:color w:val="000000" w:themeColor="text1"/>
          <w:sz w:val="24"/>
        </w:rPr>
        <w:t>(A)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Box plots showing the expression differences of 15 disulfidoptosis-related genes 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between the two subtypes. </w:t>
      </w:r>
      <w:r w:rsidRPr="00083FE7">
        <w:rPr>
          <w:rStyle w:val="16"/>
          <w:rFonts w:ascii="Times New Roman" w:hAnsi="Times New Roman" w:cs="Times New Roman" w:hint="default"/>
          <w:color w:val="000000" w:themeColor="text1"/>
          <w:sz w:val="24"/>
        </w:rPr>
        <w:t>(B)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Heatmap illustrating the expression patterns of disulfidoptosis-related genes in melanoma sample. (ns indicates no significant difference; </w:t>
      </w:r>
      <w:r w:rsidRPr="00083FE7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083FE7">
        <w:rPr>
          <w:rFonts w:ascii="Times New Roman" w:hAnsi="Times New Roman" w:cs="Times New Roman"/>
          <w:i/>
          <w:iCs/>
          <w:color w:val="000000" w:themeColor="text1"/>
          <w:sz w:val="24"/>
        </w:rPr>
        <w:t>P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&lt; 0.05; </w:t>
      </w:r>
      <w:r w:rsidRPr="00083FE7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083FE7">
        <w:rPr>
          <w:rFonts w:ascii="Times New Roman" w:hAnsi="Times New Roman" w:cs="Times New Roman"/>
          <w:i/>
          <w:iCs/>
          <w:color w:val="000000" w:themeColor="text1"/>
          <w:sz w:val="24"/>
        </w:rPr>
        <w:t>P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&lt; 0.001; </w:t>
      </w:r>
      <w:r w:rsidRPr="00083FE7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****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083FE7">
        <w:rPr>
          <w:rFonts w:ascii="Times New Roman" w:hAnsi="Times New Roman" w:cs="Times New Roman"/>
          <w:i/>
          <w:iCs/>
          <w:color w:val="000000" w:themeColor="text1"/>
          <w:sz w:val="24"/>
        </w:rPr>
        <w:t>P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&lt; 0.0001).</w:t>
      </w:r>
    </w:p>
    <w:p w14:paraId="1ACD92DA" w14:textId="77777777" w:rsidR="00B34A32" w:rsidRPr="00083FE7" w:rsidRDefault="00B34A32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0770B483" w14:textId="77777777" w:rsidR="00B34A32" w:rsidRDefault="00B34A32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center"/>
        <w:rPr>
          <w:rFonts w:ascii="Times New Roman" w:eastAsia="宋体" w:hAnsi="Times New Roman" w:cs="Times New Roman"/>
          <w:b/>
          <w:bCs/>
          <w:kern w:val="44"/>
          <w:sz w:val="24"/>
        </w:rPr>
      </w:pPr>
      <w:r>
        <w:rPr>
          <w:rFonts w:ascii="Times New Roman" w:eastAsia="宋体" w:hAnsi="Times New Roman" w:cs="Times New Roman"/>
          <w:b/>
          <w:bCs/>
          <w:noProof/>
          <w:kern w:val="44"/>
          <w:sz w:val="24"/>
        </w:rPr>
        <w:drawing>
          <wp:inline distT="0" distB="0" distL="0" distR="0" wp14:anchorId="4C6B7577" wp14:editId="4C99B3AC">
            <wp:extent cx="4519043" cy="7606030"/>
            <wp:effectExtent l="0" t="0" r="0" b="0"/>
            <wp:docPr id="20627564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756481" name="图片 20627564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109" cy="761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D6775" w14:textId="097C7A69" w:rsidR="00083FE7" w:rsidRPr="00083FE7" w:rsidRDefault="00083FE7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/>
          <w:b/>
          <w:bCs/>
          <w:kern w:val="44"/>
          <w:sz w:val="24"/>
        </w:rPr>
      </w:pPr>
      <w:r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lastRenderedPageBreak/>
        <w:t xml:space="preserve">Figure </w:t>
      </w:r>
      <w:r w:rsidRP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S3</w:t>
      </w:r>
      <w:r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>. Molecular differences among tumor subtypes associated with disulfidptosis.</w:t>
      </w:r>
    </w:p>
    <w:p w14:paraId="0C56B080" w14:textId="77777777" w:rsidR="00083FE7" w:rsidRDefault="00083FE7" w:rsidP="00B34A32">
      <w:pPr>
        <w:pStyle w:val="af2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83FE7">
        <w:rPr>
          <w:rStyle w:val="16"/>
          <w:rFonts w:ascii="Times New Roman" w:hAnsi="Times New Roman" w:cs="Times New Roman" w:hint="default"/>
          <w:color w:val="000000" w:themeColor="text1"/>
        </w:rPr>
        <w:t>(A)</w:t>
      </w:r>
      <w:r w:rsidRPr="00083FE7">
        <w:rPr>
          <w:rFonts w:ascii="Times New Roman" w:hAnsi="Times New Roman" w:cs="Times New Roman"/>
          <w:color w:val="000000" w:themeColor="text1"/>
        </w:rPr>
        <w:t xml:space="preserve"> Four costimulatory molecules showing significant intergroup differences. </w:t>
      </w:r>
      <w:r w:rsidRPr="00083FE7">
        <w:rPr>
          <w:rStyle w:val="16"/>
          <w:rFonts w:ascii="Times New Roman" w:hAnsi="Times New Roman" w:cs="Times New Roman" w:hint="default"/>
          <w:color w:val="000000" w:themeColor="text1"/>
        </w:rPr>
        <w:t>(B)</w:t>
      </w:r>
      <w:r w:rsidRPr="00083FE7">
        <w:rPr>
          <w:rFonts w:ascii="Times New Roman" w:hAnsi="Times New Roman" w:cs="Times New Roman"/>
          <w:color w:val="000000" w:themeColor="text1"/>
        </w:rPr>
        <w:t xml:space="preserve"> Nineteen MHC molecules with significant intergroup differences. </w:t>
      </w:r>
      <w:r w:rsidRPr="00083FE7">
        <w:rPr>
          <w:rStyle w:val="16"/>
          <w:rFonts w:ascii="Times New Roman" w:hAnsi="Times New Roman" w:cs="Times New Roman" w:hint="default"/>
          <w:color w:val="000000" w:themeColor="text1"/>
        </w:rPr>
        <w:t>(C)</w:t>
      </w:r>
      <w:r w:rsidRPr="00083FE7">
        <w:rPr>
          <w:rFonts w:ascii="Times New Roman" w:hAnsi="Times New Roman" w:cs="Times New Roman"/>
          <w:color w:val="000000" w:themeColor="text1"/>
        </w:rPr>
        <w:t xml:space="preserve"> Fifteen coinhibitory molecules with significant intergroup differences. (</w:t>
      </w:r>
      <w:r w:rsidRPr="00083FE7">
        <w:rPr>
          <w:rFonts w:ascii="Times New Roman" w:hAnsi="Times New Roman" w:cs="Times New Roman"/>
          <w:color w:val="000000" w:themeColor="text1"/>
          <w:vertAlign w:val="superscript"/>
        </w:rPr>
        <w:t>*</w:t>
      </w:r>
      <w:r w:rsidRPr="00083FE7">
        <w:rPr>
          <w:rFonts w:ascii="Times New Roman" w:hAnsi="Times New Roman" w:cs="Times New Roman"/>
          <w:color w:val="000000" w:themeColor="text1"/>
        </w:rPr>
        <w:t xml:space="preserve"> </w:t>
      </w:r>
      <w:r w:rsidRPr="00083FE7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083FE7">
        <w:rPr>
          <w:rFonts w:ascii="Times New Roman" w:hAnsi="Times New Roman" w:cs="Times New Roman"/>
          <w:color w:val="000000" w:themeColor="text1"/>
        </w:rPr>
        <w:t xml:space="preserve"> &lt; 0.05; </w:t>
      </w:r>
      <w:r w:rsidRPr="00083FE7">
        <w:rPr>
          <w:rFonts w:ascii="Times New Roman" w:hAnsi="Times New Roman" w:cs="Times New Roman"/>
          <w:color w:val="000000" w:themeColor="text1"/>
          <w:vertAlign w:val="superscript"/>
        </w:rPr>
        <w:t>**</w:t>
      </w:r>
      <w:r w:rsidRPr="00083FE7">
        <w:rPr>
          <w:rFonts w:ascii="Times New Roman" w:hAnsi="Times New Roman" w:cs="Times New Roman"/>
          <w:color w:val="000000" w:themeColor="text1"/>
        </w:rPr>
        <w:t xml:space="preserve"> </w:t>
      </w:r>
      <w:r w:rsidRPr="00083FE7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083FE7">
        <w:rPr>
          <w:rFonts w:ascii="Times New Roman" w:hAnsi="Times New Roman" w:cs="Times New Roman"/>
          <w:color w:val="000000" w:themeColor="text1"/>
        </w:rPr>
        <w:t xml:space="preserve"> &lt; 0.01; </w:t>
      </w:r>
      <w:r w:rsidRPr="00083FE7">
        <w:rPr>
          <w:rFonts w:ascii="Times New Roman" w:hAnsi="Times New Roman" w:cs="Times New Roman"/>
          <w:color w:val="000000" w:themeColor="text1"/>
          <w:vertAlign w:val="superscript"/>
        </w:rPr>
        <w:t>***</w:t>
      </w:r>
      <w:r w:rsidRPr="00083FE7">
        <w:rPr>
          <w:rFonts w:ascii="Times New Roman" w:hAnsi="Times New Roman" w:cs="Times New Roman"/>
          <w:color w:val="000000" w:themeColor="text1"/>
        </w:rPr>
        <w:t xml:space="preserve"> </w:t>
      </w:r>
      <w:r w:rsidRPr="00083FE7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083FE7">
        <w:rPr>
          <w:rFonts w:ascii="Times New Roman" w:hAnsi="Times New Roman" w:cs="Times New Roman"/>
          <w:color w:val="000000" w:themeColor="text1"/>
        </w:rPr>
        <w:t xml:space="preserve"> &lt; 0.001; </w:t>
      </w:r>
      <w:r w:rsidRPr="00083FE7">
        <w:rPr>
          <w:rFonts w:ascii="Times New Roman" w:hAnsi="Times New Roman" w:cs="Times New Roman"/>
          <w:color w:val="000000" w:themeColor="text1"/>
          <w:vertAlign w:val="superscript"/>
        </w:rPr>
        <w:t>****</w:t>
      </w:r>
      <w:r w:rsidRPr="00083FE7">
        <w:rPr>
          <w:rFonts w:ascii="Times New Roman" w:hAnsi="Times New Roman" w:cs="Times New Roman"/>
          <w:color w:val="000000" w:themeColor="text1"/>
        </w:rPr>
        <w:t xml:space="preserve"> </w:t>
      </w:r>
      <w:r w:rsidRPr="00083FE7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083FE7">
        <w:rPr>
          <w:rFonts w:ascii="Times New Roman" w:hAnsi="Times New Roman" w:cs="Times New Roman"/>
          <w:color w:val="000000" w:themeColor="text1"/>
        </w:rPr>
        <w:t xml:space="preserve"> &lt; 0.0001).</w:t>
      </w:r>
    </w:p>
    <w:p w14:paraId="1D66AD8B" w14:textId="77777777" w:rsidR="00B34A32" w:rsidRPr="00083FE7" w:rsidRDefault="00B34A32" w:rsidP="00B34A32">
      <w:pPr>
        <w:pStyle w:val="af2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DA6559D" w14:textId="6ADB3196" w:rsidR="00083FE7" w:rsidRPr="00083FE7" w:rsidRDefault="00B34A32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 w:hint="eastAsia"/>
          <w:b/>
          <w:bCs/>
          <w:kern w:val="44"/>
          <w:sz w:val="24"/>
        </w:rPr>
      </w:pPr>
      <w:r>
        <w:rPr>
          <w:rFonts w:ascii="Times New Roman" w:eastAsia="宋体" w:hAnsi="Times New Roman" w:cs="Times New Roman"/>
          <w:b/>
          <w:bCs/>
          <w:noProof/>
          <w:kern w:val="44"/>
          <w:sz w:val="24"/>
        </w:rPr>
        <w:drawing>
          <wp:inline distT="0" distB="0" distL="0" distR="0" wp14:anchorId="760A302A" wp14:editId="6386FCB6">
            <wp:extent cx="5274310" cy="4023995"/>
            <wp:effectExtent l="0" t="0" r="2540" b="0"/>
            <wp:docPr id="12355360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536057" name="图片 12355360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Figure </w:t>
      </w:r>
      <w:r w:rsidR="00083FE7" w:rsidRP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S4</w:t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. </w:t>
      </w:r>
      <w:r w:rsidRPr="00B34A32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Nomogram for individualized survival prediction</w:t>
      </w:r>
    </w:p>
    <w:p w14:paraId="312F3091" w14:textId="77777777" w:rsidR="00083FE7" w:rsidRPr="00083FE7" w:rsidRDefault="00083FE7" w:rsidP="00B34A32">
      <w:pPr>
        <w:pStyle w:val="af2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jc w:val="both"/>
        <w:rPr>
          <w:rFonts w:ascii="Times New Roman" w:hAnsi="Times New Roman" w:cs="Times New Roman" w:hint="eastAsia"/>
          <w:color w:val="000000" w:themeColor="text1"/>
        </w:rPr>
      </w:pPr>
      <w:r w:rsidRPr="00083FE7">
        <w:rPr>
          <w:rFonts w:ascii="Times New Roman" w:hAnsi="Times New Roman" w:cs="Times New Roman"/>
          <w:color w:val="000000" w:themeColor="text1"/>
        </w:rPr>
        <w:t>Nomogram integrating risk score with gender, age, and cancer stage.</w:t>
      </w:r>
    </w:p>
    <w:p w14:paraId="7A66FDEB" w14:textId="7F6E62AE" w:rsidR="00083FE7" w:rsidRPr="00083FE7" w:rsidRDefault="00B34A32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/>
          <w:b/>
          <w:bCs/>
          <w:kern w:val="44"/>
          <w:sz w:val="24"/>
        </w:rPr>
      </w:pPr>
      <w:r>
        <w:rPr>
          <w:rFonts w:ascii="Times New Roman" w:eastAsia="宋体" w:hAnsi="Times New Roman" w:cs="Times New Roman"/>
          <w:b/>
          <w:bCs/>
          <w:noProof/>
          <w:kern w:val="44"/>
          <w:sz w:val="24"/>
        </w:rPr>
        <w:lastRenderedPageBreak/>
        <w:drawing>
          <wp:inline distT="0" distB="0" distL="0" distR="0" wp14:anchorId="48CC9D74" wp14:editId="336C79BC">
            <wp:extent cx="5274310" cy="5505450"/>
            <wp:effectExtent l="0" t="0" r="2540" b="0"/>
            <wp:docPr id="25616028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160288" name="图片 2561602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Figure </w:t>
      </w:r>
      <w:r w:rsidR="00083FE7" w:rsidRP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S5</w:t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. </w:t>
      </w:r>
      <w:r w:rsidR="00083FE7" w:rsidRP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scRNA-seq</w:t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 validation of melanoma.</w:t>
      </w:r>
    </w:p>
    <w:p w14:paraId="5C281901" w14:textId="77777777" w:rsidR="00083FE7" w:rsidRPr="00083FE7" w:rsidRDefault="00083FE7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/>
          <w:b/>
          <w:bCs/>
          <w:kern w:val="44"/>
          <w:sz w:val="24"/>
        </w:rPr>
      </w:pPr>
      <w:r w:rsidRPr="00083FE7">
        <w:rPr>
          <w:rStyle w:val="16"/>
          <w:rFonts w:ascii="Times New Roman" w:hAnsi="Times New Roman" w:cs="Times New Roman" w:hint="default"/>
          <w:color w:val="000000" w:themeColor="text1"/>
          <w:sz w:val="24"/>
        </w:rPr>
        <w:t>(A)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Cell subcluster results based on the t-SNE algorithm under different resolution settings. </w:t>
      </w:r>
      <w:r w:rsidRPr="00083FE7">
        <w:rPr>
          <w:rStyle w:val="16"/>
          <w:rFonts w:ascii="Times New Roman" w:hAnsi="Times New Roman" w:cs="Times New Roman" w:hint="default"/>
          <w:color w:val="000000" w:themeColor="text1"/>
          <w:sz w:val="24"/>
        </w:rPr>
        <w:t>(B)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Scatter plot showing cell annotation results after t-SNE dimensionality reduction. </w:t>
      </w:r>
      <w:r w:rsidRPr="00083FE7">
        <w:rPr>
          <w:rStyle w:val="16"/>
          <w:rFonts w:ascii="Times New Roman" w:hAnsi="Times New Roman" w:cs="Times New Roman" w:hint="default"/>
          <w:color w:val="000000" w:themeColor="text1"/>
          <w:sz w:val="24"/>
        </w:rPr>
        <w:t>(C)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Sankey diagram showing intercellular associations.</w:t>
      </w:r>
    </w:p>
    <w:p w14:paraId="6631B560" w14:textId="53E95CEA" w:rsidR="00083FE7" w:rsidRPr="00083FE7" w:rsidRDefault="00B34A32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/>
          <w:b/>
          <w:bCs/>
          <w:kern w:val="44"/>
          <w:sz w:val="24"/>
        </w:rPr>
      </w:pPr>
      <w:r>
        <w:rPr>
          <w:rFonts w:ascii="Times New Roman" w:eastAsia="宋体" w:hAnsi="Times New Roman" w:cs="Times New Roman"/>
          <w:b/>
          <w:bCs/>
          <w:noProof/>
          <w:kern w:val="44"/>
          <w:sz w:val="24"/>
        </w:rPr>
        <w:lastRenderedPageBreak/>
        <w:drawing>
          <wp:inline distT="0" distB="0" distL="0" distR="0" wp14:anchorId="3A9E6B87" wp14:editId="031E1085">
            <wp:extent cx="5274310" cy="2305685"/>
            <wp:effectExtent l="0" t="0" r="2540" b="0"/>
            <wp:docPr id="128395600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956005" name="图片 128395600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Figure </w:t>
      </w:r>
      <w:r w:rsidR="00083FE7" w:rsidRPr="00083FE7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S6</w:t>
      </w:r>
      <w:r w:rsidR="00083FE7" w:rsidRPr="00083FE7">
        <w:rPr>
          <w:rFonts w:ascii="Times New Roman" w:eastAsia="宋体" w:hAnsi="Times New Roman" w:cs="Times New Roman"/>
          <w:b/>
          <w:bCs/>
          <w:kern w:val="44"/>
          <w:sz w:val="24"/>
        </w:rPr>
        <w:t xml:space="preserve">. </w:t>
      </w:r>
      <w:r w:rsidRPr="00B34A32">
        <w:rPr>
          <w:rFonts w:ascii="Times New Roman" w:eastAsia="宋体" w:hAnsi="Times New Roman" w:cs="Times New Roman" w:hint="eastAsia"/>
          <w:b/>
          <w:bCs/>
          <w:kern w:val="44"/>
          <w:sz w:val="24"/>
        </w:rPr>
        <w:t>Genomic heterogeneity and gene correlation analysis of the prognostic risk model</w:t>
      </w:r>
    </w:p>
    <w:p w14:paraId="1C082248" w14:textId="77777777" w:rsidR="00083FE7" w:rsidRPr="00083FE7" w:rsidRDefault="00083FE7" w:rsidP="00B34A32">
      <w:p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 w:hint="eastAsia"/>
          <w:color w:val="EE0000"/>
          <w:sz w:val="24"/>
        </w:rPr>
      </w:pPr>
      <w:r w:rsidRPr="00083FE7">
        <w:rPr>
          <w:rStyle w:val="16"/>
          <w:rFonts w:ascii="Times New Roman" w:hAnsi="Times New Roman" w:cs="Times New Roman" w:hint="default"/>
          <w:color w:val="000000" w:themeColor="text1"/>
          <w:sz w:val="24"/>
        </w:rPr>
        <w:t>(A)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Impact of four genomic heterogeneity markers on high- and low-risk groups.</w:t>
      </w:r>
      <w:r w:rsidRPr="00083FE7">
        <w:rPr>
          <w:rStyle w:val="16"/>
          <w:rFonts w:ascii="Times New Roman" w:hAnsi="Times New Roman" w:cs="Times New Roman" w:hint="default"/>
          <w:color w:val="000000" w:themeColor="text1"/>
          <w:sz w:val="24"/>
        </w:rPr>
        <w:t xml:space="preserve"> (B)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 xml:space="preserve"> Cluster heatmap of correlation coefficients between the eight risk model-associated genes and the fifteen </w:t>
      </w:r>
      <w:r w:rsidRPr="00083FE7">
        <w:rPr>
          <w:rFonts w:ascii="Times New Roman" w:eastAsia="宋体" w:hAnsi="Times New Roman" w:cs="Times New Roman" w:hint="eastAsia"/>
          <w:sz w:val="24"/>
        </w:rPr>
        <w:t>DRGs</w:t>
      </w:r>
      <w:r w:rsidRPr="00083FE7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5424A4C5" w14:textId="77777777" w:rsidR="009D69F8" w:rsidRPr="00083FE7" w:rsidRDefault="009D69F8" w:rsidP="00083FE7">
      <w:pPr>
        <w:spacing w:after="0" w:line="360" w:lineRule="auto"/>
      </w:pPr>
    </w:p>
    <w:sectPr w:rsidR="009D69F8" w:rsidRPr="00083F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1DAA4" w14:textId="77777777" w:rsidR="003838D1" w:rsidRDefault="003838D1" w:rsidP="00083FE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31EA6BE" w14:textId="77777777" w:rsidR="003838D1" w:rsidRDefault="003838D1" w:rsidP="00083FE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D84BF" w14:textId="77777777" w:rsidR="003838D1" w:rsidRDefault="003838D1" w:rsidP="00083FE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45E54D0" w14:textId="77777777" w:rsidR="003838D1" w:rsidRDefault="003838D1" w:rsidP="00083FE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9F8"/>
    <w:rsid w:val="00083FE7"/>
    <w:rsid w:val="00197D70"/>
    <w:rsid w:val="003838D1"/>
    <w:rsid w:val="009D69F8"/>
    <w:rsid w:val="00B3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0A9FB5"/>
  <w15:chartTrackingRefBased/>
  <w15:docId w15:val="{88857454-21CA-494D-83F9-AC9F8FC0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FE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69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9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69F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69F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69F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69F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69F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69F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69F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D69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D69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D69F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D69F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D69F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D69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D69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D69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D69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D6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69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D69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6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D69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69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69F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69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D69F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69F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3FE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83FE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83FE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83FE7"/>
    <w:rPr>
      <w:sz w:val="18"/>
      <w:szCs w:val="18"/>
    </w:rPr>
  </w:style>
  <w:style w:type="character" w:customStyle="1" w:styleId="16">
    <w:name w:val="16"/>
    <w:basedOn w:val="a0"/>
    <w:qFormat/>
    <w:rsid w:val="00083FE7"/>
    <w:rPr>
      <w:rFonts w:ascii="等线" w:eastAsia="等线" w:hAnsi="等线" w:hint="eastAsia"/>
      <w:b/>
      <w:bCs/>
    </w:rPr>
  </w:style>
  <w:style w:type="paragraph" w:styleId="af2">
    <w:name w:val="Normal (Web)"/>
    <w:basedOn w:val="a"/>
    <w:uiPriority w:val="99"/>
    <w:unhideWhenUsed/>
    <w:qFormat/>
    <w:rsid w:val="00083FE7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Tao</dc:creator>
  <cp:keywords/>
  <dc:description/>
  <cp:lastModifiedBy>Rui Tao</cp:lastModifiedBy>
  <cp:revision>2</cp:revision>
  <dcterms:created xsi:type="dcterms:W3CDTF">2025-11-29T08:00:00Z</dcterms:created>
  <dcterms:modified xsi:type="dcterms:W3CDTF">2025-11-29T08:17:00Z</dcterms:modified>
</cp:coreProperties>
</file>