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6002C" w14:textId="30DDF2FD" w:rsidR="001C3144" w:rsidRPr="001C3144" w:rsidRDefault="00095B5F" w:rsidP="001C3144">
      <w:pPr>
        <w:rPr>
          <w:rFonts w:asciiTheme="majorBidi" w:eastAsia="SimSun" w:hAnsiTheme="majorBidi" w:cstheme="majorBidi"/>
          <w:bCs/>
          <w:sz w:val="20"/>
          <w:szCs w:val="20"/>
        </w:rPr>
      </w:pPr>
      <w:r>
        <w:rPr>
          <w:rFonts w:asciiTheme="majorBidi" w:eastAsia="SimSun" w:hAnsiTheme="majorBidi" w:cstheme="majorBidi"/>
          <w:b/>
          <w:sz w:val="20"/>
          <w:szCs w:val="20"/>
        </w:rPr>
        <w:t>Additional File 1.</w:t>
      </w:r>
      <w:r w:rsidR="001C3144" w:rsidRPr="00867CDF">
        <w:rPr>
          <w:rFonts w:asciiTheme="majorBidi" w:eastAsia="SimSun" w:hAnsiTheme="majorBidi" w:cstheme="majorBidi"/>
          <w:b/>
          <w:sz w:val="20"/>
          <w:szCs w:val="20"/>
        </w:rPr>
        <w:t xml:space="preserve"> </w:t>
      </w:r>
      <w:r w:rsidR="00867CDF" w:rsidRPr="00867CDF">
        <w:rPr>
          <w:rFonts w:asciiTheme="majorBidi" w:eastAsia="SimSun" w:hAnsiTheme="majorBidi" w:cstheme="majorBidi"/>
          <w:b/>
          <w:sz w:val="20"/>
          <w:szCs w:val="20"/>
        </w:rPr>
        <w:t>Manuscripts reporting high-throughput screens of small-molecule libraries</w:t>
      </w:r>
    </w:p>
    <w:p w14:paraId="716F0F40" w14:textId="77777777" w:rsidR="001C3144" w:rsidRPr="001C3144" w:rsidRDefault="001C3144" w:rsidP="001C3144">
      <w:pPr>
        <w:rPr>
          <w:rFonts w:asciiTheme="majorBidi" w:eastAsia="SimSun" w:hAnsiTheme="majorBidi" w:cstheme="majorBidi"/>
          <w:bCs/>
          <w:sz w:val="20"/>
          <w:szCs w:val="20"/>
        </w:rPr>
      </w:pPr>
    </w:p>
    <w:p w14:paraId="0E465E7E" w14:textId="00C11317" w:rsidR="00C727EF" w:rsidRPr="00852928" w:rsidRDefault="00095B5F" w:rsidP="00C727EF">
      <w:pPr>
        <w:jc w:val="center"/>
        <w:rPr>
          <w:rFonts w:asciiTheme="majorBidi" w:eastAsia="SimSun" w:hAnsiTheme="majorBidi" w:cstheme="majorBidi"/>
          <w:b/>
          <w:sz w:val="20"/>
          <w:szCs w:val="20"/>
        </w:rPr>
      </w:pPr>
      <w:r w:rsidRPr="00852928">
        <w:rPr>
          <w:rFonts w:asciiTheme="majorBidi" w:eastAsia="SimSun" w:hAnsiTheme="majorBidi" w:cstheme="majorBidi" w:hint="eastAsia"/>
          <w:b/>
          <w:sz w:val="20"/>
          <w:szCs w:val="20"/>
        </w:rPr>
        <w:t xml:space="preserve">The </w:t>
      </w:r>
      <w:r w:rsidRPr="00852928">
        <w:rPr>
          <w:rFonts w:asciiTheme="majorBidi" w:eastAsia="SimSun" w:hAnsiTheme="majorBidi" w:cstheme="majorBidi"/>
          <w:b/>
          <w:sz w:val="20"/>
          <w:szCs w:val="20"/>
        </w:rPr>
        <w:t>methods and procedures</w:t>
      </w:r>
      <w:r w:rsidRPr="00852928">
        <w:rPr>
          <w:rFonts w:asciiTheme="majorBidi" w:eastAsia="SimSun" w:hAnsiTheme="majorBidi" w:cstheme="majorBidi" w:hint="eastAsia"/>
          <w:b/>
          <w:sz w:val="20"/>
          <w:szCs w:val="20"/>
        </w:rPr>
        <w:t xml:space="preserve"> </w:t>
      </w:r>
      <w:r w:rsidR="0033020C" w:rsidRPr="00852928">
        <w:rPr>
          <w:rFonts w:asciiTheme="majorBidi" w:eastAsia="SimSun" w:hAnsiTheme="majorBidi" w:cstheme="majorBidi"/>
          <w:b/>
          <w:sz w:val="20"/>
          <w:szCs w:val="20"/>
        </w:rPr>
        <w:t>used to conduct the</w:t>
      </w:r>
      <w:r w:rsidR="0033020C" w:rsidRPr="00852928">
        <w:rPr>
          <w:rFonts w:asciiTheme="majorBidi" w:eastAsia="SimSun" w:hAnsiTheme="majorBidi" w:cstheme="majorBidi" w:hint="eastAsia"/>
          <w:b/>
          <w:sz w:val="20"/>
          <w:szCs w:val="20"/>
        </w:rPr>
        <w:t xml:space="preserve"> </w:t>
      </w:r>
      <w:r w:rsidRPr="00852928">
        <w:rPr>
          <w:rFonts w:asciiTheme="majorBidi" w:eastAsia="SimSun" w:hAnsiTheme="majorBidi" w:cstheme="majorBidi"/>
          <w:b/>
          <w:sz w:val="20"/>
          <w:szCs w:val="20"/>
        </w:rPr>
        <w:t>Small RNA experimental</w:t>
      </w:r>
    </w:p>
    <w:p w14:paraId="3D4D3832" w14:textId="067FD31C" w:rsidR="00FF0012" w:rsidRPr="00852928" w:rsidRDefault="00095B5F">
      <w:pPr>
        <w:rPr>
          <w:rFonts w:asciiTheme="majorBidi" w:eastAsia="SimSun" w:hAnsiTheme="majorBidi" w:cstheme="majorBidi"/>
          <w:sz w:val="20"/>
          <w:szCs w:val="20"/>
        </w:rPr>
      </w:pP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The RNA 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 xml:space="preserve">concentration 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and purity of each sample 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 xml:space="preserve">were 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evaluated using 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 xml:space="preserve">the </w:t>
      </w:r>
      <w:proofErr w:type="spellStart"/>
      <w:r w:rsidRPr="00852928">
        <w:rPr>
          <w:rFonts w:asciiTheme="majorBidi" w:eastAsia="TimesNewRomanPSMT" w:hAnsiTheme="majorBidi" w:cstheme="majorBidi"/>
          <w:sz w:val="20"/>
          <w:szCs w:val="20"/>
        </w:rPr>
        <w:t>NanoDrop</w:t>
      </w:r>
      <w:proofErr w:type="spellEnd"/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ND-1000 (</w:t>
      </w:r>
      <w:proofErr w:type="spellStart"/>
      <w:r w:rsidRPr="00852928">
        <w:rPr>
          <w:rFonts w:asciiTheme="majorBidi" w:eastAsia="TimesNewRomanPSMT" w:hAnsiTheme="majorBidi" w:cstheme="majorBidi"/>
          <w:sz w:val="20"/>
          <w:szCs w:val="20"/>
        </w:rPr>
        <w:t>NanoDrop</w:t>
      </w:r>
      <w:proofErr w:type="spellEnd"/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, Wilmington, DE, USA). RNA fragment integrity was evaluated 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 xml:space="preserve">using the 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Bioanalyzer 2100 (Agilent, CA, USA). The obtained total RNA </w:t>
      </w:r>
      <w:proofErr w:type="gramStart"/>
      <w:r w:rsidRPr="00852928">
        <w:rPr>
          <w:rFonts w:asciiTheme="majorBidi" w:eastAsia="TimesNewRomanPSMT" w:hAnsiTheme="majorBidi" w:cstheme="majorBidi"/>
          <w:sz w:val="20"/>
          <w:szCs w:val="20"/>
        </w:rPr>
        <w:t>were</w:t>
      </w:r>
      <w:proofErr w:type="gramEnd"/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</w:t>
      </w:r>
      <w:proofErr w:type="spellStart"/>
      <w:r w:rsidRPr="00852928">
        <w:rPr>
          <w:rFonts w:asciiTheme="majorBidi" w:eastAsia="TimesNewRomanPSMT" w:hAnsiTheme="majorBidi" w:cstheme="majorBidi"/>
          <w:sz w:val="20"/>
          <w:szCs w:val="20"/>
        </w:rPr>
        <w:t>denaturated</w:t>
      </w:r>
      <w:proofErr w:type="spellEnd"/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at 70°C for 2 min with DNA </w:t>
      </w:r>
      <w:r w:rsidRPr="00852928">
        <w:rPr>
          <w:rFonts w:asciiTheme="majorBidi" w:eastAsia="Calibri" w:hAnsiTheme="majorBidi" w:cstheme="majorBidi"/>
          <w:sz w:val="20"/>
          <w:szCs w:val="20"/>
        </w:rPr>
        <w:t>3’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Adapters, and then mixed with T4 RNA Ligase 2, truncated K227Q (NEB, M0351L, USA) at room temperature. The 3’ adapter ligation reaction was 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 xml:space="preserve">conducted 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>at 16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>°</w:t>
      </w:r>
      <w:r w:rsidR="0033020C" w:rsidRPr="00852928">
        <w:rPr>
          <w:rFonts w:asciiTheme="majorBidi" w:eastAsia="Calibri" w:hAnsiTheme="majorBidi" w:cstheme="majorBidi"/>
          <w:sz w:val="20"/>
          <w:szCs w:val="20"/>
        </w:rPr>
        <w:t>C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 xml:space="preserve">for 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more than 8 hours. The rest of 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 xml:space="preserve">the </w:t>
      </w:r>
      <w:r w:rsidRPr="00852928">
        <w:rPr>
          <w:rFonts w:asciiTheme="majorBidi" w:eastAsia="Calibri" w:hAnsiTheme="majorBidi" w:cstheme="majorBidi"/>
          <w:sz w:val="20"/>
          <w:szCs w:val="20"/>
        </w:rPr>
        <w:t>3’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Adapters were removed 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 xml:space="preserve">using 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RTP at 37°C for 30 min. The </w:t>
      </w:r>
      <w:r w:rsidRPr="00852928">
        <w:rPr>
          <w:rFonts w:asciiTheme="majorBidi" w:eastAsia="Calibri" w:hAnsiTheme="majorBidi" w:cstheme="majorBidi"/>
          <w:sz w:val="20"/>
          <w:szCs w:val="20"/>
        </w:rPr>
        <w:t>5’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adapters and the products from 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 xml:space="preserve">the 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last step were 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 xml:space="preserve">then ligated 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>with T4 RNA Ligase 1 (NEB, M0204L, USA) at 37°C for 60 min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 xml:space="preserve">, after which a 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reverse-transcription reaction 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 xml:space="preserve">was 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carried 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 xml:space="preserve">out using </w:t>
      </w:r>
      <w:proofErr w:type="spellStart"/>
      <w:r w:rsidRPr="00852928">
        <w:rPr>
          <w:rFonts w:asciiTheme="majorBidi" w:eastAsia="TimesNewRomanPSMT" w:hAnsiTheme="majorBidi" w:cstheme="majorBidi"/>
          <w:sz w:val="20"/>
          <w:szCs w:val="20"/>
        </w:rPr>
        <w:t>SuperScript</w:t>
      </w:r>
      <w:proofErr w:type="spellEnd"/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II Reverse Transcriptase (</w:t>
      </w:r>
      <w:proofErr w:type="spellStart"/>
      <w:r w:rsidRPr="00852928">
        <w:rPr>
          <w:rFonts w:asciiTheme="majorBidi" w:eastAsia="TimesNewRomanPSMT" w:hAnsiTheme="majorBidi" w:cstheme="majorBidi"/>
          <w:sz w:val="20"/>
          <w:szCs w:val="20"/>
        </w:rPr>
        <w:t>Thermo</w:t>
      </w:r>
      <w:proofErr w:type="spellEnd"/>
      <w:r w:rsidRPr="00852928">
        <w:rPr>
          <w:rFonts w:asciiTheme="majorBidi" w:eastAsia="TimesNewRomanPSMT" w:hAnsiTheme="majorBidi" w:cstheme="majorBidi"/>
          <w:sz w:val="20"/>
          <w:szCs w:val="20"/>
        </w:rPr>
        <w:t>, 18064014, USA) at 50°C for 60 min and 80°C for 10 min. The cDNA products were amplified using Phusion® High-Fidelity DNA Polymerase (NEB, M0530L, USA),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 xml:space="preserve"> according to the following cycling protocol: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denaturation step at 98°C for 30 sec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>,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followed by an annealing step at 60°C for 30 sec, and 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 xml:space="preserve">an 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>extension step at 72°C for 15 sec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>,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repeated for 10–16 cycles. The final 5-minute extension was 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 xml:space="preserve">conducted 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>at 72°C</w:t>
      </w:r>
      <w:r w:rsidR="005D7260" w:rsidRPr="00852928">
        <w:rPr>
          <w:rFonts w:asciiTheme="majorBidi" w:eastAsia="TimesNewRomanPSMT" w:hAnsiTheme="majorBidi" w:cstheme="majorBidi"/>
          <w:sz w:val="20"/>
          <w:szCs w:val="20"/>
        </w:rPr>
        <w:t>. The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PCR products were purified and enriched through PAGE electrophoresis. The small RNA sequencing library was prepared using the </w:t>
      </w:r>
      <w:proofErr w:type="spellStart"/>
      <w:r w:rsidRPr="00852928">
        <w:rPr>
          <w:rFonts w:asciiTheme="majorBidi" w:eastAsia="TimesNewRomanPSMT" w:hAnsiTheme="majorBidi" w:cstheme="majorBidi"/>
          <w:sz w:val="20"/>
          <w:szCs w:val="20"/>
        </w:rPr>
        <w:t>TruSeq</w:t>
      </w:r>
      <w:proofErr w:type="spellEnd"/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Small RNA Sample Prep kits (Illumina, San Diego, USA) kit. 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>Following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preparation of the library, the sequencing strategy was Single-end 50 bp for Illumina </w:t>
      </w:r>
      <w:proofErr w:type="spellStart"/>
      <w:r w:rsidRPr="00852928">
        <w:rPr>
          <w:rFonts w:asciiTheme="majorBidi" w:eastAsia="TimesNewRomanPSMT" w:hAnsiTheme="majorBidi" w:cstheme="majorBidi"/>
          <w:sz w:val="20"/>
          <w:szCs w:val="20"/>
        </w:rPr>
        <w:t>Hiseq</w:t>
      </w:r>
      <w:proofErr w:type="spellEnd"/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2500 following the vendor’s recommended protocol. 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>D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ata analysis was conducted using the miRNA data analysis software ACGT101 </w:t>
      </w:r>
      <w:proofErr w:type="spellStart"/>
      <w:r w:rsidRPr="00852928">
        <w:rPr>
          <w:rFonts w:asciiTheme="majorBidi" w:eastAsia="TimesNewRomanPSMT" w:hAnsiTheme="majorBidi" w:cstheme="majorBidi"/>
          <w:sz w:val="20"/>
          <w:szCs w:val="20"/>
        </w:rPr>
        <w:t>miR</w:t>
      </w:r>
      <w:proofErr w:type="spellEnd"/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(LC S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ciences, Houston, Texas, USA) </w:t>
      </w:r>
      <w:r w:rsidRPr="00852928">
        <w:rPr>
          <w:rFonts w:asciiTheme="majorBidi" w:eastAsia="TimesNewRomanPSMT" w:hAnsiTheme="majorBidi" w:cstheme="majorBidi"/>
          <w:caps/>
          <w:sz w:val="20"/>
          <w:szCs w:val="20"/>
        </w:rPr>
        <w:t>independently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developed by </w:t>
      </w:r>
      <w:proofErr w:type="spellStart"/>
      <w:r w:rsidRPr="00852928">
        <w:rPr>
          <w:rFonts w:asciiTheme="majorBidi" w:eastAsia="TimesNewRomanPSMT" w:hAnsiTheme="majorBidi" w:cstheme="majorBidi"/>
          <w:sz w:val="20"/>
          <w:szCs w:val="20"/>
        </w:rPr>
        <w:t>Lianchuan</w:t>
      </w:r>
      <w:proofErr w:type="spellEnd"/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Biotechnology.</w:t>
      </w:r>
    </w:p>
    <w:p w14:paraId="4402F9BC" w14:textId="77777777" w:rsidR="00C727EF" w:rsidRPr="00852928" w:rsidRDefault="00C727EF">
      <w:pPr>
        <w:rPr>
          <w:rFonts w:asciiTheme="majorBidi" w:eastAsia="SimSun" w:hAnsiTheme="majorBidi" w:cstheme="majorBidi"/>
          <w:sz w:val="20"/>
          <w:szCs w:val="20"/>
        </w:rPr>
      </w:pPr>
    </w:p>
    <w:p w14:paraId="0202E053" w14:textId="37F2C47E" w:rsidR="00C727EF" w:rsidRPr="00852928" w:rsidRDefault="00095B5F" w:rsidP="00C727EF">
      <w:pPr>
        <w:jc w:val="center"/>
        <w:rPr>
          <w:rFonts w:asciiTheme="majorBidi" w:eastAsia="SimSun" w:hAnsiTheme="majorBidi" w:cstheme="majorBidi"/>
          <w:b/>
          <w:sz w:val="20"/>
          <w:szCs w:val="20"/>
        </w:rPr>
      </w:pPr>
      <w:r w:rsidRPr="00852928">
        <w:rPr>
          <w:rFonts w:asciiTheme="majorBidi" w:eastAsia="SimSun" w:hAnsiTheme="majorBidi" w:cstheme="majorBidi" w:hint="eastAsia"/>
          <w:b/>
          <w:sz w:val="20"/>
          <w:szCs w:val="20"/>
        </w:rPr>
        <w:t xml:space="preserve">The </w:t>
      </w:r>
      <w:r w:rsidRPr="00852928">
        <w:rPr>
          <w:rFonts w:asciiTheme="majorBidi" w:eastAsia="SimSun" w:hAnsiTheme="majorBidi" w:cstheme="majorBidi"/>
          <w:b/>
          <w:sz w:val="20"/>
          <w:szCs w:val="20"/>
        </w:rPr>
        <w:t>bioinformatics analysis methods</w:t>
      </w:r>
      <w:r w:rsidRPr="00852928">
        <w:rPr>
          <w:rFonts w:asciiTheme="majorBidi" w:eastAsia="SimSun" w:hAnsiTheme="majorBidi" w:cstheme="majorBidi" w:hint="eastAsia"/>
          <w:b/>
          <w:sz w:val="20"/>
          <w:szCs w:val="20"/>
        </w:rPr>
        <w:t xml:space="preserve"> of miRNA</w:t>
      </w:r>
    </w:p>
    <w:p w14:paraId="270F3421" w14:textId="21712819" w:rsidR="00C727EF" w:rsidRPr="00852928" w:rsidRDefault="00095B5F">
      <w:pPr>
        <w:rPr>
          <w:rFonts w:asciiTheme="majorBidi" w:eastAsia="SimSun" w:hAnsiTheme="majorBidi" w:cstheme="majorBidi"/>
          <w:sz w:val="20"/>
          <w:szCs w:val="20"/>
        </w:rPr>
      </w:pPr>
      <w:r w:rsidRPr="00852928">
        <w:rPr>
          <w:rFonts w:asciiTheme="majorBidi" w:eastAsia="TimesNewRomanPSMT" w:hAnsiTheme="majorBidi" w:cstheme="majorBidi"/>
          <w:sz w:val="20"/>
          <w:szCs w:val="20"/>
        </w:rPr>
        <w:t>Raw reads were subjected to an in-house program, ACGT101-miR (LC Sciences, Houston, Texas, USA) to remove adapter dimers, junk, low complexity, common RNA families (rRNA, tRNA, snRNA, snoRNA)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>,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and repeats. Subsequently, unique sequences with length in 18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>-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>26 nucleotide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>s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were mapped to specific species precursors in </w:t>
      </w:r>
      <w:proofErr w:type="spellStart"/>
      <w:r w:rsidRPr="00852928">
        <w:rPr>
          <w:rFonts w:asciiTheme="majorBidi" w:eastAsia="TimesNewRomanPSMT" w:hAnsiTheme="majorBidi" w:cstheme="majorBidi"/>
          <w:sz w:val="20"/>
          <w:szCs w:val="20"/>
        </w:rPr>
        <w:t>miRBase</w:t>
      </w:r>
      <w:proofErr w:type="spellEnd"/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22.0 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 xml:space="preserve">using 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BLAST search to identify known miRNAs and novel 3p- and 5p- derived miRNAs. Length variation at both 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 xml:space="preserve">the 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>3’ and 5’ ends and one mismatch inside of the sequence were allowed in the alignment. The unique sequence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>s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>which mapped hairpin arms of mature miRNAs of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specific species were identified as known miRNAs. 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>U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nique sequences mapping to the other arm of known specific 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>species precursor hairpin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>s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opposite to the annotated mature miRNA-containing arm were considered to be novel 5p- or 3pderived miRNA candidates. The remaining sequences were mapped to other selected species precursors (with the exclusion of specific species) in </w:t>
      </w:r>
      <w:proofErr w:type="spellStart"/>
      <w:r w:rsidRPr="00852928">
        <w:rPr>
          <w:rFonts w:asciiTheme="majorBidi" w:eastAsia="TimesNewRomanPSMT" w:hAnsiTheme="majorBidi" w:cstheme="majorBidi"/>
          <w:sz w:val="20"/>
          <w:szCs w:val="20"/>
        </w:rPr>
        <w:t>miRBase</w:t>
      </w:r>
      <w:proofErr w:type="spellEnd"/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22.0 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 xml:space="preserve">using 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BLAST search, and the mapped pre-miRNAs were further </w:t>
      </w:r>
      <w:proofErr w:type="spellStart"/>
      <w:r w:rsidRPr="00852928">
        <w:rPr>
          <w:rFonts w:asciiTheme="majorBidi" w:eastAsia="TimesNewRomanPSMT" w:hAnsiTheme="majorBidi" w:cstheme="majorBidi"/>
          <w:sz w:val="20"/>
          <w:szCs w:val="20"/>
        </w:rPr>
        <w:t>BLASTed</w:t>
      </w:r>
      <w:proofErr w:type="spellEnd"/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against the specific species genomes to determine their genomic locations. The above two 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 xml:space="preserve">types were 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>defined as known miRNAs.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 xml:space="preserve"> U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nmapped sequences were </w:t>
      </w:r>
      <w:proofErr w:type="spellStart"/>
      <w:r w:rsidRPr="00852928">
        <w:rPr>
          <w:rFonts w:asciiTheme="majorBidi" w:eastAsia="TimesNewRomanPSMT" w:hAnsiTheme="majorBidi" w:cstheme="majorBidi"/>
          <w:sz w:val="20"/>
          <w:szCs w:val="20"/>
        </w:rPr>
        <w:t>BLASTed</w:t>
      </w:r>
      <w:proofErr w:type="spellEnd"/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against the sp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ecific genomes, and the hairpin RNA structures containing sequences were predicated from the flank 80 </w:t>
      </w:r>
      <w:proofErr w:type="spellStart"/>
      <w:r w:rsidRPr="00852928">
        <w:rPr>
          <w:rFonts w:asciiTheme="majorBidi" w:eastAsia="TimesNewRomanPSMT" w:hAnsiTheme="majorBidi" w:cstheme="majorBidi"/>
          <w:sz w:val="20"/>
          <w:szCs w:val="20"/>
        </w:rPr>
        <w:t>nt</w:t>
      </w:r>
      <w:proofErr w:type="spellEnd"/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sequences using </w:t>
      </w:r>
      <w:proofErr w:type="spellStart"/>
      <w:r w:rsidRPr="00852928">
        <w:rPr>
          <w:rFonts w:asciiTheme="majorBidi" w:eastAsia="TimesNewRomanPSMT" w:hAnsiTheme="majorBidi" w:cstheme="majorBidi"/>
          <w:sz w:val="20"/>
          <w:szCs w:val="20"/>
        </w:rPr>
        <w:t>RNAfold</w:t>
      </w:r>
      <w:proofErr w:type="spellEnd"/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software (http://rna.tbi.univie.ac. at/</w:t>
      </w:r>
      <w:proofErr w:type="spellStart"/>
      <w:r w:rsidRPr="00852928">
        <w:rPr>
          <w:rFonts w:asciiTheme="majorBidi" w:eastAsia="TimesNewRomanPSMT" w:hAnsiTheme="majorBidi" w:cstheme="majorBidi"/>
          <w:sz w:val="20"/>
          <w:szCs w:val="20"/>
        </w:rPr>
        <w:t>cgi</w:t>
      </w:r>
      <w:proofErr w:type="spellEnd"/>
      <w:r w:rsidRPr="00852928">
        <w:rPr>
          <w:rFonts w:asciiTheme="majorBidi" w:eastAsia="TimesNewRomanPSMT" w:hAnsiTheme="majorBidi" w:cstheme="majorBidi"/>
          <w:sz w:val="20"/>
          <w:szCs w:val="20"/>
        </w:rPr>
        <w:t>-bin/</w:t>
      </w:r>
      <w:proofErr w:type="spellStart"/>
      <w:r w:rsidRPr="00852928">
        <w:rPr>
          <w:rFonts w:asciiTheme="majorBidi" w:eastAsia="TimesNewRomanPSMT" w:hAnsiTheme="majorBidi" w:cstheme="majorBidi"/>
          <w:sz w:val="20"/>
          <w:szCs w:val="20"/>
        </w:rPr>
        <w:t>RNAfold.cgi</w:t>
      </w:r>
      <w:proofErr w:type="spellEnd"/>
      <w:r w:rsidRPr="00852928">
        <w:rPr>
          <w:rFonts w:asciiTheme="majorBidi" w:eastAsia="TimesNewRomanPSMT" w:hAnsiTheme="majorBidi" w:cstheme="majorBidi"/>
          <w:sz w:val="20"/>
          <w:szCs w:val="20"/>
        </w:rPr>
        <w:t>). The criteria for secondary structure prediction were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 xml:space="preserve"> as follows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>: (1) number of nucleotides in one bulge in stem ≤12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>;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(2) number of base pairs in the stem region of the predicted hairpin ≥16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>;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(3) cutoff of free energy ≤-15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 xml:space="preserve"> </w:t>
      </w:r>
      <w:proofErr w:type="spellStart"/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>kCal</w:t>
      </w:r>
      <w:proofErr w:type="spellEnd"/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>/mol;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(4) length of hairpin (up and down stems + terminal loop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>)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≥50 (5) length of hairpin loop ≤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>20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 xml:space="preserve">; 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>(6) number of nucleotides in one bulge in mature region ≤8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>;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(7) number of biased errors in one bulge in mature region ≤4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>;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(8) number of biased bulges in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 xml:space="preserve"> the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mature region ≤2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>;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(9) number of errors in 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 xml:space="preserve">the 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>mature region ≤7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>;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(10) number of base pairs 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lastRenderedPageBreak/>
        <w:t>in the mature region of the predicted hairpin ≥12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>; and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 xml:space="preserve"> (11) percent of mature in stem ≥80</w:t>
      </w:r>
      <w:r w:rsidR="0033020C" w:rsidRPr="00852928">
        <w:rPr>
          <w:rFonts w:asciiTheme="majorBidi" w:eastAsia="TimesNewRomanPSMT" w:hAnsiTheme="majorBidi" w:cstheme="majorBidi"/>
          <w:sz w:val="20"/>
          <w:szCs w:val="20"/>
        </w:rPr>
        <w:t>%</w:t>
      </w:r>
      <w:r w:rsidRPr="00852928">
        <w:rPr>
          <w:rFonts w:asciiTheme="majorBidi" w:eastAsia="TimesNewRomanPSMT" w:hAnsiTheme="majorBidi" w:cstheme="majorBidi"/>
          <w:sz w:val="20"/>
          <w:szCs w:val="20"/>
        </w:rPr>
        <w:t>.</w:t>
      </w:r>
    </w:p>
    <w:p w14:paraId="66704A13" w14:textId="77777777" w:rsidR="003310D6" w:rsidRPr="00852928" w:rsidRDefault="003310D6">
      <w:pPr>
        <w:rPr>
          <w:rFonts w:asciiTheme="majorBidi" w:eastAsia="SimSun" w:hAnsiTheme="majorBidi" w:cstheme="majorBidi"/>
          <w:sz w:val="20"/>
          <w:szCs w:val="20"/>
        </w:rPr>
      </w:pPr>
    </w:p>
    <w:p w14:paraId="1D74FDBF" w14:textId="0D1C0008" w:rsidR="003310D6" w:rsidRPr="00852928" w:rsidRDefault="00095B5F" w:rsidP="003310D6">
      <w:pPr>
        <w:jc w:val="center"/>
        <w:rPr>
          <w:rFonts w:asciiTheme="majorBidi" w:eastAsia="SimSun" w:hAnsiTheme="majorBidi" w:cstheme="majorBidi"/>
          <w:b/>
          <w:sz w:val="20"/>
          <w:szCs w:val="20"/>
        </w:rPr>
      </w:pPr>
      <w:r w:rsidRPr="00852928">
        <w:rPr>
          <w:rFonts w:asciiTheme="majorBidi" w:eastAsia="SimSun" w:hAnsiTheme="majorBidi" w:cstheme="majorBidi"/>
          <w:b/>
          <w:sz w:val="20"/>
          <w:szCs w:val="20"/>
        </w:rPr>
        <w:t xml:space="preserve">Analysis of </w:t>
      </w:r>
      <w:r w:rsidR="00A54B87" w:rsidRPr="00852928">
        <w:rPr>
          <w:rFonts w:asciiTheme="majorBidi" w:eastAsia="SimSun" w:hAnsiTheme="majorBidi" w:cstheme="majorBidi"/>
          <w:b/>
          <w:sz w:val="20"/>
          <w:szCs w:val="20"/>
        </w:rPr>
        <w:t>d</w:t>
      </w:r>
      <w:r w:rsidRPr="00852928">
        <w:rPr>
          <w:rFonts w:asciiTheme="majorBidi" w:eastAsia="SimSun" w:hAnsiTheme="majorBidi" w:cstheme="majorBidi"/>
          <w:b/>
          <w:sz w:val="20"/>
          <w:szCs w:val="20"/>
        </w:rPr>
        <w:t>ifferential</w:t>
      </w:r>
      <w:r w:rsidR="00A54B87" w:rsidRPr="00852928">
        <w:rPr>
          <w:rFonts w:asciiTheme="majorBidi" w:eastAsia="SimSun" w:hAnsiTheme="majorBidi" w:cstheme="majorBidi"/>
          <w:b/>
          <w:sz w:val="20"/>
          <w:szCs w:val="20"/>
        </w:rPr>
        <w:t>ly</w:t>
      </w:r>
      <w:r w:rsidRPr="00852928">
        <w:rPr>
          <w:rFonts w:asciiTheme="majorBidi" w:eastAsia="SimSun" w:hAnsiTheme="majorBidi" w:cstheme="majorBidi"/>
          <w:b/>
          <w:sz w:val="20"/>
          <w:szCs w:val="20"/>
        </w:rPr>
        <w:t xml:space="preserve"> expressed miRNAs</w:t>
      </w:r>
    </w:p>
    <w:p w14:paraId="7EBDCE14" w14:textId="1C18B733" w:rsidR="003310D6" w:rsidRPr="00852928" w:rsidRDefault="00095B5F" w:rsidP="003310D6">
      <w:pPr>
        <w:rPr>
          <w:rFonts w:asciiTheme="majorBidi" w:eastAsia="SimSun" w:hAnsiTheme="majorBidi" w:cstheme="majorBidi"/>
          <w:sz w:val="20"/>
          <w:szCs w:val="20"/>
        </w:rPr>
      </w:pPr>
      <w:r w:rsidRPr="00852928">
        <w:rPr>
          <w:rFonts w:asciiTheme="majorBidi" w:eastAsia="SimSun" w:hAnsiTheme="majorBidi" w:cstheme="majorBidi"/>
          <w:sz w:val="20"/>
          <w:szCs w:val="20"/>
        </w:rPr>
        <w:t xml:space="preserve">Differential expression of miRNAs based on normalized deep-sequencing counts was analyzed by selectively using </w:t>
      </w:r>
      <w:proofErr w:type="spellStart"/>
      <w:r w:rsidRPr="00852928">
        <w:rPr>
          <w:rFonts w:asciiTheme="majorBidi" w:eastAsia="SimSun" w:hAnsiTheme="majorBidi" w:cstheme="majorBidi"/>
          <w:sz w:val="20"/>
          <w:szCs w:val="20"/>
        </w:rPr>
        <w:t>Fisherexact</w:t>
      </w:r>
      <w:proofErr w:type="spellEnd"/>
      <w:r w:rsidRPr="00852928">
        <w:rPr>
          <w:rFonts w:asciiTheme="majorBidi" w:eastAsia="SimSun" w:hAnsiTheme="majorBidi" w:cstheme="majorBidi"/>
          <w:sz w:val="20"/>
          <w:szCs w:val="20"/>
        </w:rPr>
        <w:t xml:space="preserve"> test, Chi-squared 2X2 test, Chi-squared </w:t>
      </w:r>
      <w:proofErr w:type="spellStart"/>
      <w:r w:rsidRPr="00852928">
        <w:rPr>
          <w:rFonts w:asciiTheme="majorBidi" w:eastAsia="SimSun" w:hAnsiTheme="majorBidi" w:cstheme="majorBidi"/>
          <w:sz w:val="20"/>
          <w:szCs w:val="20"/>
        </w:rPr>
        <w:t>nXn</w:t>
      </w:r>
      <w:proofErr w:type="spellEnd"/>
      <w:r w:rsidRPr="00852928">
        <w:rPr>
          <w:rFonts w:asciiTheme="majorBidi" w:eastAsia="SimSun" w:hAnsiTheme="majorBidi" w:cstheme="majorBidi"/>
          <w:sz w:val="20"/>
          <w:szCs w:val="20"/>
        </w:rPr>
        <w:t xml:space="preserve"> test, Student t test, or ANOVA</w:t>
      </w:r>
      <w:r w:rsidR="00A54B87" w:rsidRPr="00852928">
        <w:rPr>
          <w:rFonts w:asciiTheme="majorBidi" w:eastAsia="SimSun" w:hAnsiTheme="majorBidi" w:cstheme="majorBidi"/>
          <w:sz w:val="20"/>
          <w:szCs w:val="20"/>
        </w:rPr>
        <w:t>,</w:t>
      </w:r>
      <w:r w:rsidRPr="00852928">
        <w:rPr>
          <w:rFonts w:asciiTheme="majorBidi" w:eastAsia="SimSun" w:hAnsiTheme="majorBidi" w:cstheme="majorBidi"/>
          <w:sz w:val="20"/>
          <w:szCs w:val="20"/>
        </w:rPr>
        <w:t xml:space="preserve"> </w:t>
      </w:r>
      <w:r w:rsidR="00A54B87" w:rsidRPr="00852928">
        <w:rPr>
          <w:rFonts w:asciiTheme="majorBidi" w:eastAsia="SimSun" w:hAnsiTheme="majorBidi" w:cstheme="majorBidi"/>
          <w:sz w:val="20"/>
          <w:szCs w:val="20"/>
        </w:rPr>
        <w:t xml:space="preserve">depending </w:t>
      </w:r>
      <w:r w:rsidRPr="00852928">
        <w:rPr>
          <w:rFonts w:asciiTheme="majorBidi" w:eastAsia="SimSun" w:hAnsiTheme="majorBidi" w:cstheme="majorBidi"/>
          <w:sz w:val="20"/>
          <w:szCs w:val="20"/>
        </w:rPr>
        <w:t>on the experiment</w:t>
      </w:r>
      <w:r w:rsidR="00A54B87" w:rsidRPr="00852928">
        <w:rPr>
          <w:rFonts w:asciiTheme="majorBidi" w:eastAsia="SimSun" w:hAnsiTheme="majorBidi" w:cstheme="majorBidi"/>
          <w:sz w:val="20"/>
          <w:szCs w:val="20"/>
        </w:rPr>
        <w:t>al</w:t>
      </w:r>
      <w:r w:rsidRPr="00852928">
        <w:rPr>
          <w:rFonts w:asciiTheme="majorBidi" w:eastAsia="SimSun" w:hAnsiTheme="majorBidi" w:cstheme="majorBidi"/>
          <w:sz w:val="20"/>
          <w:szCs w:val="20"/>
        </w:rPr>
        <w:t xml:space="preserve"> design. The</w:t>
      </w:r>
      <w:r w:rsidR="00A54B87" w:rsidRPr="00852928">
        <w:rPr>
          <w:rFonts w:asciiTheme="majorBidi" w:eastAsia="SimSun" w:hAnsiTheme="majorBidi" w:cstheme="majorBidi"/>
          <w:sz w:val="20"/>
          <w:szCs w:val="20"/>
        </w:rPr>
        <w:t xml:space="preserve"> </w:t>
      </w:r>
      <w:r w:rsidRPr="00852928">
        <w:rPr>
          <w:rFonts w:asciiTheme="majorBidi" w:eastAsia="SimSun" w:hAnsiTheme="majorBidi" w:cstheme="majorBidi"/>
          <w:sz w:val="20"/>
          <w:szCs w:val="20"/>
        </w:rPr>
        <w:t xml:space="preserve">significance threshold was set </w:t>
      </w:r>
      <w:r w:rsidR="00A54B87" w:rsidRPr="00852928">
        <w:rPr>
          <w:rFonts w:asciiTheme="majorBidi" w:eastAsia="SimSun" w:hAnsiTheme="majorBidi" w:cstheme="majorBidi"/>
          <w:sz w:val="20"/>
          <w:szCs w:val="20"/>
        </w:rPr>
        <w:t>at either</w:t>
      </w:r>
      <w:r w:rsidRPr="00852928">
        <w:rPr>
          <w:rFonts w:asciiTheme="majorBidi" w:eastAsia="SimSun" w:hAnsiTheme="majorBidi" w:cstheme="majorBidi"/>
          <w:sz w:val="20"/>
          <w:szCs w:val="20"/>
        </w:rPr>
        <w:t xml:space="preserve"> 0.01 and 0.05 in each test.</w:t>
      </w:r>
    </w:p>
    <w:sectPr w:rsidR="003310D6" w:rsidRPr="00852928" w:rsidSect="00306A9F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bordersDoNotSurroundHeader/>
  <w:bordersDoNotSurroundFooter/>
  <w:proofState w:spelling="clean" w:grammar="clean"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079"/>
    <w:rsid w:val="00095B5F"/>
    <w:rsid w:val="000D2595"/>
    <w:rsid w:val="001C3144"/>
    <w:rsid w:val="001F5267"/>
    <w:rsid w:val="0028470A"/>
    <w:rsid w:val="00306A9F"/>
    <w:rsid w:val="00312EE4"/>
    <w:rsid w:val="0033020C"/>
    <w:rsid w:val="003310D6"/>
    <w:rsid w:val="003364A9"/>
    <w:rsid w:val="004060D7"/>
    <w:rsid w:val="005B0882"/>
    <w:rsid w:val="005C5CED"/>
    <w:rsid w:val="005D7260"/>
    <w:rsid w:val="005F749C"/>
    <w:rsid w:val="00611322"/>
    <w:rsid w:val="006D03F6"/>
    <w:rsid w:val="00770079"/>
    <w:rsid w:val="007E1C0D"/>
    <w:rsid w:val="00852928"/>
    <w:rsid w:val="00867CDF"/>
    <w:rsid w:val="00912B22"/>
    <w:rsid w:val="009A1CD2"/>
    <w:rsid w:val="009C7C6C"/>
    <w:rsid w:val="009D05F6"/>
    <w:rsid w:val="00A54B87"/>
    <w:rsid w:val="00A60C0B"/>
    <w:rsid w:val="00A63C22"/>
    <w:rsid w:val="00B873DE"/>
    <w:rsid w:val="00BD0157"/>
    <w:rsid w:val="00C727EF"/>
    <w:rsid w:val="00D7751A"/>
    <w:rsid w:val="00E97A90"/>
    <w:rsid w:val="00FF0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9E934"/>
  <w15:docId w15:val="{5DE06188-A485-46C8-A731-B0569D579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pPr>
      <w:spacing w:line="305" w:lineRule="auto"/>
    </w:pPr>
    <w:rPr>
      <w:rFonts w:ascii="Calibri" w:eastAsia="Calibri" w:hAnsi="Calibri" w:cs="Calibri"/>
      <w:sz w:val="26"/>
    </w:rPr>
  </w:style>
  <w:style w:type="paragraph" w:styleId="TOC2">
    <w:name w:val="toc 2"/>
    <w:basedOn w:val="Normal"/>
    <w:pPr>
      <w:spacing w:line="330" w:lineRule="auto"/>
    </w:pPr>
    <w:rPr>
      <w:rFonts w:ascii="Calibri" w:eastAsia="Calibri" w:hAnsi="Calibri" w:cs="Calibri"/>
      <w:sz w:val="24"/>
    </w:rPr>
  </w:style>
  <w:style w:type="paragraph" w:styleId="TOC3">
    <w:name w:val="toc 3"/>
    <w:basedOn w:val="Normal"/>
    <w:pPr>
      <w:spacing w:line="360" w:lineRule="auto"/>
    </w:pPr>
    <w:rPr>
      <w:rFonts w:ascii="Calibri" w:eastAsia="Calibri" w:hAnsi="Calibri" w:cs="Calibri"/>
      <w:sz w:val="22"/>
    </w:rPr>
  </w:style>
  <w:style w:type="paragraph" w:styleId="TOC4">
    <w:name w:val="toc 4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5">
    <w:name w:val="toc 5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6">
    <w:name w:val="toc 6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7">
    <w:name w:val="toc 7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8">
    <w:name w:val="toc 8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9">
    <w:name w:val="toc 9"/>
    <w:basedOn w:val="Normal"/>
    <w:pPr>
      <w:spacing w:line="330" w:lineRule="exact"/>
    </w:pPr>
    <w:rPr>
      <w:rFonts w:ascii="Calibri" w:eastAsia="Calibri" w:hAnsi="Calibri" w:cs="Calibri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rPr>
      <w:sz w:val="16"/>
    </w:rPr>
  </w:style>
  <w:style w:type="character" w:styleId="EndnoteReference">
    <w:name w:val="endnote reference"/>
    <w:basedOn w:val="DefaultParagraphFont"/>
    <w:rPr>
      <w:vertAlign w:val="superscript"/>
    </w:rPr>
  </w:style>
  <w:style w:type="character" w:styleId="FootnoteReference">
    <w:name w:val="footnote reference"/>
    <w:basedOn w:val="DefaultParagraphFont"/>
    <w:rPr>
      <w:vertAlign w:val="superscript"/>
    </w:rPr>
  </w:style>
  <w:style w:type="paragraph" w:styleId="Header">
    <w:name w:val="header"/>
    <w:basedOn w:val="Normal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fontstyle01">
    <w:name w:val="fontstyle01"/>
    <w:basedOn w:val="DefaultParagraphFont"/>
    <w:rPr>
      <w:rFonts w:ascii="TimesNewRomanPSMT" w:eastAsia="TimesNewRomanPSMT" w:hAnsi="TimesNewRomanPSMT" w:cs="TimesNewRomanPSMT"/>
      <w:b w:val="0"/>
      <w:i w:val="0"/>
      <w:color w:val="000000"/>
      <w:sz w:val="22"/>
    </w:rPr>
  </w:style>
  <w:style w:type="paragraph" w:styleId="Revision">
    <w:name w:val="Revision"/>
  </w:style>
  <w:style w:type="paragraph" w:styleId="CommentText">
    <w:name w:val="annotation text"/>
    <w:basedOn w:val="Normal"/>
    <w:pPr>
      <w:jc w:val="left"/>
    </w:pPr>
    <w:rPr>
      <w:rFonts w:ascii="Calibri" w:eastAsia="Calibri" w:hAnsi="Calibri" w:cs="Calibri"/>
      <w:sz w:val="20"/>
    </w:rPr>
  </w:style>
  <w:style w:type="paragraph" w:styleId="CommentSubject">
    <w:name w:val="annotation subject"/>
    <w:basedOn w:val="CommentText"/>
    <w:rPr>
      <w:b/>
    </w:rPr>
  </w:style>
  <w:style w:type="character" w:customStyle="1" w:styleId="IssueNumber">
    <w:name w:val="Issue Number"/>
    <w:basedOn w:val="DefaultParagraphFont"/>
    <w:rPr>
      <w:shd w:val="clear" w:color="auto" w:fill="CDD5FF"/>
    </w:rPr>
  </w:style>
  <w:style w:type="paragraph" w:customStyle="1" w:styleId="List6">
    <w:name w:val="List 6"/>
    <w:basedOn w:val="Normal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paragraph" w:customStyle="1" w:styleId="Acknowledgements">
    <w:name w:val="Acknowledgements"/>
    <w:basedOn w:val="Normal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  <w:shd w:val="clear" w:color="auto" w:fill="F9EDFF"/>
    </w:rPr>
  </w:style>
  <w:style w:type="paragraph" w:customStyle="1" w:styleId="TableList">
    <w:name w:val="Table List"/>
    <w:basedOn w:val="Normal"/>
    <w:pPr>
      <w:ind w:left="300" w:hanging="300"/>
      <w:jc w:val="left"/>
    </w:pPr>
    <w:rPr>
      <w:sz w:val="20"/>
    </w:rPr>
  </w:style>
  <w:style w:type="character" w:customStyle="1" w:styleId="Miscellaneous">
    <w:name w:val="Miscellaneous"/>
    <w:basedOn w:val="DefaultParagraphFont"/>
    <w:rPr>
      <w:shd w:val="clear" w:color="auto" w:fill="F0F0F0"/>
    </w:rPr>
  </w:style>
  <w:style w:type="character" w:customStyle="1" w:styleId="NameScientific">
    <w:name w:val="Name Scientific"/>
    <w:basedOn w:val="DefaultParagraphFont"/>
    <w:rPr>
      <w:shd w:val="clear" w:color="auto" w:fill="91E0FF"/>
    </w:rPr>
  </w:style>
  <w:style w:type="character" w:styleId="Hyperlink">
    <w:name w:val="Hyperlink"/>
    <w:basedOn w:val="DefaultParagraphFont"/>
    <w:rPr>
      <w:color w:val="0563C1"/>
    </w:rPr>
  </w:style>
  <w:style w:type="paragraph" w:customStyle="1" w:styleId="Glossary">
    <w:name w:val="Glossary"/>
    <w:basedOn w:val="Normal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paragraph" w:customStyle="1" w:styleId="Correspondence">
    <w:name w:val="Correspondence"/>
    <w:basedOn w:val="Normal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3F7F9"/>
    </w:rPr>
  </w:style>
  <w:style w:type="paragraph" w:styleId="Caption">
    <w:name w:val="caption"/>
    <w:basedOn w:val="Normal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Note">
    <w:name w:val="Note"/>
    <w:basedOn w:val="Normal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character" w:customStyle="1" w:styleId="Country">
    <w:name w:val="Country"/>
    <w:basedOn w:val="DefaultParagraphFont"/>
    <w:rPr>
      <w:shd w:val="clear" w:color="auto" w:fill="97C5D1"/>
    </w:rPr>
  </w:style>
  <w:style w:type="paragraph" w:customStyle="1" w:styleId="Authors">
    <w:name w:val="Authors"/>
    <w:basedOn w:val="Normal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paragraph" w:customStyle="1" w:styleId="Affiliation">
    <w:name w:val="Affiliation"/>
    <w:basedOn w:val="Normal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4FFED"/>
    </w:rPr>
  </w:style>
  <w:style w:type="character" w:customStyle="1" w:styleId="GrantID">
    <w:name w:val="Grant ID"/>
    <w:basedOn w:val="DefaultParagraphFont"/>
    <w:rPr>
      <w:shd w:val="clear" w:color="auto" w:fill="DDA5FF"/>
    </w:rPr>
  </w:style>
  <w:style w:type="paragraph" w:customStyle="1" w:styleId="Biography">
    <w:name w:val="Biography"/>
    <w:basedOn w:val="Normal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paragraph" w:styleId="List">
    <w:name w:val="List"/>
    <w:basedOn w:val="Normal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paragraph" w:styleId="List2">
    <w:name w:val="List 2"/>
    <w:basedOn w:val="Normal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Source">
    <w:name w:val="Source"/>
    <w:basedOn w:val="DefaultParagraphFont"/>
    <w:rPr>
      <w:shd w:val="clear" w:color="auto" w:fill="C1EDFF"/>
    </w:rPr>
  </w:style>
  <w:style w:type="paragraph" w:customStyle="1" w:styleId="Surtitle">
    <w:name w:val="Surtitle"/>
    <w:basedOn w:val="Normal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Note">
    <w:name w:val="Table Note"/>
    <w:basedOn w:val="Normal"/>
    <w:rPr>
      <w:rFonts w:ascii="Calibri" w:eastAsia="Calibri" w:hAnsi="Calibri" w:cs="Calibri"/>
      <w:sz w:val="18"/>
    </w:rPr>
  </w:style>
  <w:style w:type="paragraph" w:customStyle="1" w:styleId="QuotationSource">
    <w:name w:val="Quotation Source"/>
    <w:basedOn w:val="Normal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character" w:customStyle="1" w:styleId="Conference">
    <w:name w:val="Conference"/>
    <w:basedOn w:val="DefaultParagraphFont"/>
    <w:rPr>
      <w:shd w:val="clear" w:color="auto" w:fill="FFAFBC"/>
    </w:rPr>
  </w:style>
  <w:style w:type="character" w:customStyle="1" w:styleId="Cross-reference">
    <w:name w:val="Cross-reference"/>
    <w:basedOn w:val="DefaultParagraphFont"/>
    <w:rPr>
      <w:shd w:val="clear" w:color="auto" w:fill="FFE3C9"/>
    </w:rPr>
  </w:style>
  <w:style w:type="paragraph" w:customStyle="1" w:styleId="Annotation">
    <w:name w:val="Annotation"/>
    <w:basedOn w:val="Normal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character" w:customStyle="1" w:styleId="City">
    <w:name w:val="City"/>
    <w:basedOn w:val="DefaultParagraphFont"/>
    <w:rPr>
      <w:shd w:val="clear" w:color="auto" w:fill="D7D7D7"/>
    </w:rPr>
  </w:style>
  <w:style w:type="paragraph" w:customStyle="1" w:styleId="Quotation">
    <w:name w:val="Quotation"/>
    <w:basedOn w:val="Normal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Normal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paragraph" w:styleId="EndnoteText">
    <w:name w:val="endnote text"/>
    <w:basedOn w:val="Normal"/>
    <w:rPr>
      <w:rFonts w:ascii="Calibri" w:eastAsia="Calibri" w:hAnsi="Calibri" w:cs="Calibri"/>
    </w:rPr>
  </w:style>
  <w:style w:type="character" w:customStyle="1" w:styleId="Organization">
    <w:name w:val="Organization"/>
    <w:basedOn w:val="DefaultParagraphFont"/>
    <w:rPr>
      <w:shd w:val="clear" w:color="auto" w:fill="D1FFB5"/>
    </w:rPr>
  </w:style>
  <w:style w:type="character" w:customStyle="1" w:styleId="PageNumbers">
    <w:name w:val="Page Numbers"/>
    <w:basedOn w:val="DefaultParagraphFont"/>
    <w:rPr>
      <w:shd w:val="clear" w:color="auto" w:fill="FFEDF0"/>
    </w:rPr>
  </w:style>
  <w:style w:type="character" w:customStyle="1" w:styleId="Year">
    <w:name w:val="Year"/>
    <w:basedOn w:val="DefaultParagraphFont"/>
    <w:rPr>
      <w:shd w:val="clear" w:color="auto" w:fill="FFF9C9"/>
    </w:rPr>
  </w:style>
  <w:style w:type="paragraph" w:customStyle="1" w:styleId="Copyright">
    <w:name w:val="Copyright"/>
    <w:basedOn w:val="Normal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customStyle="1" w:styleId="ChapterNumber">
    <w:name w:val="Chapter Number"/>
    <w:basedOn w:val="Normal"/>
    <w:rPr>
      <w:rFonts w:ascii="Calibri" w:eastAsia="Calibri" w:hAnsi="Calibri" w:cs="Calibri"/>
    </w:rPr>
  </w:style>
  <w:style w:type="character" w:customStyle="1" w:styleId="GeneSequence">
    <w:name w:val="Gene Sequence"/>
    <w:basedOn w:val="DefaultParagraphFont"/>
    <w:rPr>
      <w:shd w:val="clear" w:color="auto" w:fill="FFCDF2"/>
    </w:rPr>
  </w:style>
  <w:style w:type="character" w:customStyle="1" w:styleId="GivenName">
    <w:name w:val="Given Name"/>
    <w:basedOn w:val="DefaultParagraphFont"/>
    <w:rPr>
      <w:shd w:val="clear" w:color="auto" w:fill="D0FCE2"/>
    </w:rPr>
  </w:style>
  <w:style w:type="character" w:customStyle="1" w:styleId="Postcode">
    <w:name w:val="Postcode"/>
    <w:basedOn w:val="DefaultParagraphFont"/>
    <w:rPr>
      <w:shd w:val="clear" w:color="auto" w:fill="BEBEBE"/>
    </w:rPr>
  </w:style>
  <w:style w:type="character" w:customStyle="1" w:styleId="ArticleTitle">
    <w:name w:val="Article Title"/>
    <w:basedOn w:val="DefaultParagraphFont"/>
    <w:qFormat/>
    <w:rPr>
      <w:shd w:val="clear" w:color="auto" w:fill="E9F9FF"/>
    </w:rPr>
  </w:style>
  <w:style w:type="paragraph" w:customStyle="1" w:styleId="List8">
    <w:name w:val="List 8"/>
    <w:basedOn w:val="Normal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Publisher">
    <w:name w:val="Publisher"/>
    <w:basedOn w:val="DefaultParagraphFont"/>
    <w:rPr>
      <w:shd w:val="clear" w:color="auto" w:fill="F2DDFF"/>
    </w:rPr>
  </w:style>
  <w:style w:type="paragraph" w:styleId="List5">
    <w:name w:val="List 5"/>
    <w:basedOn w:val="Normal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character" w:customStyle="1" w:styleId="Region">
    <w:name w:val="Region"/>
    <w:basedOn w:val="DefaultParagraphFont"/>
    <w:rPr>
      <w:shd w:val="clear" w:color="auto" w:fill="D8E9EE"/>
    </w:rPr>
  </w:style>
  <w:style w:type="paragraph" w:customStyle="1" w:styleId="Formula">
    <w:name w:val="Formula"/>
    <w:basedOn w:val="Normal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DatabaseLink">
    <w:name w:val="Database Link"/>
    <w:basedOn w:val="DefaultParagraphFont"/>
    <w:rPr>
      <w:shd w:val="clear" w:color="auto" w:fill="AFBEFF"/>
    </w:rPr>
  </w:style>
  <w:style w:type="character" w:customStyle="1" w:styleId="FamilyName">
    <w:name w:val="Family Name"/>
    <w:basedOn w:val="DefaultParagraphFont"/>
    <w:rPr>
      <w:shd w:val="clear" w:color="auto" w:fill="88F4BE"/>
    </w:rPr>
  </w:style>
  <w:style w:type="paragraph" w:customStyle="1" w:styleId="TableHead">
    <w:name w:val="Table Head"/>
    <w:basedOn w:val="Normal"/>
    <w:pPr>
      <w:shd w:val="clear" w:color="auto" w:fill="FFEDFA"/>
      <w:jc w:val="left"/>
    </w:pPr>
    <w:rPr>
      <w:rFonts w:ascii="Calibri" w:eastAsia="Calibri" w:hAnsi="Calibri" w:cs="Calibri"/>
      <w:sz w:val="20"/>
      <w:shd w:val="clear" w:color="auto" w:fill="FFEDFA"/>
    </w:rPr>
  </w:style>
  <w:style w:type="paragraph" w:customStyle="1" w:styleId="Keywords">
    <w:name w:val="Keywords"/>
    <w:basedOn w:val="Normal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paragraph" w:customStyle="1" w:styleId="TableBody">
    <w:name w:val="Table Body"/>
    <w:basedOn w:val="Normal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paragraph" w:styleId="List3">
    <w:name w:val="List 3"/>
    <w:basedOn w:val="Normal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paragraph" w:customStyle="1" w:styleId="List7">
    <w:name w:val="List 7"/>
    <w:basedOn w:val="Normal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VolumeNumber">
    <w:name w:val="Volume Number"/>
    <w:basedOn w:val="DefaultParagraphFont"/>
    <w:rPr>
      <w:shd w:val="clear" w:color="auto" w:fill="EDF0FF"/>
    </w:rPr>
  </w:style>
  <w:style w:type="paragraph" w:styleId="Subtitle">
    <w:name w:val="Subtitle"/>
    <w:basedOn w:val="Normal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character" w:customStyle="1" w:styleId="Edition">
    <w:name w:val="Edition"/>
    <w:basedOn w:val="DefaultParagraphFont"/>
    <w:rPr>
      <w:shd w:val="clear" w:color="auto" w:fill="FFF6A4"/>
    </w:rPr>
  </w:style>
  <w:style w:type="paragraph" w:styleId="BlockText">
    <w:name w:val="Block Text"/>
    <w:basedOn w:val="Normal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paragraph" w:customStyle="1" w:styleId="Statement">
    <w:name w:val="Statement"/>
    <w:basedOn w:val="Normal"/>
    <w:pPr>
      <w:ind w:left="900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DefaultParagraphFont"/>
    <w:rPr>
      <w:shd w:val="clear" w:color="auto" w:fill="FFCFD7"/>
    </w:rPr>
  </w:style>
  <w:style w:type="paragraph" w:styleId="FootnoteText">
    <w:name w:val="footnote text"/>
    <w:basedOn w:val="Normal"/>
    <w:rPr>
      <w:rFonts w:ascii="Calibri" w:eastAsia="Calibri" w:hAnsi="Calibri" w:cs="Calibri"/>
    </w:rPr>
  </w:style>
  <w:style w:type="paragraph" w:customStyle="1" w:styleId="Abstract">
    <w:name w:val="Abstract"/>
    <w:basedOn w:val="Normal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Normal"/>
    <w:next w:val="Normal"/>
    <w:pPr>
      <w:keepNext/>
      <w:keepLines/>
      <w:numPr>
        <w:ilvl w:val="8"/>
      </w:numPr>
      <w:ind w:left="1440"/>
      <w:outlineLvl w:val="8"/>
    </w:pPr>
    <w:rPr>
      <w:sz w:val="22"/>
    </w:rPr>
  </w:style>
  <w:style w:type="character" w:customStyle="1" w:styleId="Label">
    <w:name w:val="Label"/>
    <w:basedOn w:val="DefaultParagraphFont"/>
    <w:rPr>
      <w:shd w:val="clear" w:color="auto" w:fill="FFC391"/>
      <w:vertAlign w:val="baseline"/>
    </w:rPr>
  </w:style>
  <w:style w:type="character" w:customStyle="1" w:styleId="Location">
    <w:name w:val="Location"/>
    <w:basedOn w:val="DefaultParagraphFont"/>
    <w:rPr>
      <w:shd w:val="clear" w:color="auto" w:fill="F9EDFF"/>
    </w:rPr>
  </w:style>
  <w:style w:type="paragraph" w:styleId="List4">
    <w:name w:val="List 4"/>
    <w:basedOn w:val="Normal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character" w:customStyle="1" w:styleId="Heading">
    <w:name w:val="Heading:"/>
    <w:basedOn w:val="DefaultParagraphFont"/>
    <w:rPr>
      <w:color w:val="5B89C1"/>
    </w:rPr>
  </w:style>
  <w:style w:type="paragraph" w:customStyle="1" w:styleId="List1">
    <w:name w:val="List 1"/>
    <w:basedOn w:val="Normal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9">
    <w:name w:val="List 9"/>
    <w:basedOn w:val="Normal"/>
    <w:pPr>
      <w:ind w:left="1200" w:hanging="600"/>
    </w:pPr>
    <w:rPr>
      <w:rFonts w:ascii="Times New Roman" w:eastAsia="Times New Roman" w:hAnsi="Times New Roman" w:cs="Times New Roman"/>
      <w:sz w:val="22"/>
    </w:rPr>
  </w:style>
  <w:style w:type="character" w:styleId="LineNumber">
    <w:name w:val="line number"/>
    <w:basedOn w:val="DefaultParagraphFont"/>
    <w:uiPriority w:val="99"/>
    <w:rsid w:val="00912B22"/>
    <w:rPr>
      <w:rFonts w:asciiTheme="majorBidi" w:hAnsiTheme="majorBidi"/>
      <w:sz w:val="20"/>
    </w:rPr>
  </w:style>
  <w:style w:type="paragraph" w:styleId="BalloonText">
    <w:name w:val="Balloon Text"/>
    <w:basedOn w:val="Normal"/>
    <w:link w:val="BalloonTextChar"/>
    <w:uiPriority w:val="99"/>
    <w:rsid w:val="00306A9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06A9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3681</Characters>
  <Application>Microsoft Office Word</Application>
  <DocSecurity>0</DocSecurity>
  <Lines>30</Lines>
  <Paragraphs>8</Paragraphs>
  <ScaleCrop>false</ScaleCrop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Author</cp:lastModifiedBy>
  <cp:revision>6</cp:revision>
  <dcterms:created xsi:type="dcterms:W3CDTF">2025-12-29T11:06:00Z</dcterms:created>
  <dcterms:modified xsi:type="dcterms:W3CDTF">2025-12-29T11:16:00Z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GrammarlyDocumentId">
    <vt:lpwstr>2ac0d7ec-e4bd-4657-b129-7da28bc3c48d</vt:lpwstr>
  </property>
  <property fmtid="{D5CDD505-2E9C-101B-9397-08002B2CF9AE}" pid="6" name="JournalID">
    <vt:lpwstr/>
  </property>
  <property fmtid="{D5CDD505-2E9C-101B-9397-08002B2CF9AE}" pid="7" name="Merops -Original extension">
    <vt:lpwstr>docx</vt:lpwstr>
  </property>
  <property fmtid="{D5CDD505-2E9C-101B-9397-08002B2CF9AE}" pid="8" name="Merops change count">
    <vt:lpwstr>0</vt:lpwstr>
  </property>
  <property fmtid="{D5CDD505-2E9C-101B-9397-08002B2CF9AE}" pid="9" name="Merops client version">
    <vt:lpwstr/>
  </property>
  <property fmtid="{D5CDD505-2E9C-101B-9397-08002B2CF9AE}" pid="10" name="Merops comment count">
    <vt:lpwstr>2</vt:lpwstr>
  </property>
  <property fmtid="{D5CDD505-2E9C-101B-9397-08002B2CF9AE}" pid="11" name="Merops DOI links count">
    <vt:lpwstr>0</vt:lpwstr>
  </property>
  <property fmtid="{D5CDD505-2E9C-101B-9397-08002B2CF9AE}" pid="12" name="Merops email addresses count">
    <vt:lpwstr>0</vt:lpwstr>
  </property>
  <property fmtid="{D5CDD505-2E9C-101B-9397-08002B2CF9AE}" pid="13" name="Merops figures count">
    <vt:lpwstr>0</vt:lpwstr>
  </property>
  <property fmtid="{D5CDD505-2E9C-101B-9397-08002B2CF9AE}" pid="14" name="Merops footnotes/endnotes count">
    <vt:lpwstr>0</vt:lpwstr>
  </property>
  <property fmtid="{D5CDD505-2E9C-101B-9397-08002B2CF9AE}" pid="15" name="Merops graphics count">
    <vt:lpwstr>0</vt:lpwstr>
  </property>
  <property fmtid="{D5CDD505-2E9C-101B-9397-08002B2CF9AE}" pid="16" name="Merops input file path">
    <vt:lpwstr>crm_5d72772d-8d4b-4a8e-9a7a-88f2a6cfccba.docx</vt:lpwstr>
  </property>
  <property fmtid="{D5CDD505-2E9C-101B-9397-08002B2CF9AE}" pid="17" name="Merops intra-document links count">
    <vt:lpwstr>0</vt:lpwstr>
  </property>
  <property fmtid="{D5CDD505-2E9C-101B-9397-08002B2CF9AE}" pid="18" name="Merops item path">
    <vt:lpwstr>MG-Session/On-20250916/I:f08e465b-9122-4d7c-bad0-7c3bd0722825</vt:lpwstr>
  </property>
  <property fmtid="{D5CDD505-2E9C-101B-9397-08002B2CF9AE}" pid="19" name="Merops processed date">
    <vt:lpwstr>2025/09/16 10:58:37 AM</vt:lpwstr>
  </property>
  <property fmtid="{D5CDD505-2E9C-101B-9397-08002B2CF9AE}" pid="20" name="Merops PubMed links count">
    <vt:lpwstr>0</vt:lpwstr>
  </property>
  <property fmtid="{D5CDD505-2E9C-101B-9397-08002B2CF9AE}" pid="21" name="Merops references count">
    <vt:lpwstr>0</vt:lpwstr>
  </property>
  <property fmtid="{D5CDD505-2E9C-101B-9397-08002B2CF9AE}" pid="22" name="Merops Scopus links count">
    <vt:lpwstr>0</vt:lpwstr>
  </property>
  <property fmtid="{D5CDD505-2E9C-101B-9397-08002B2CF9AE}" pid="23" name="Merops server path">
    <vt:lpwstr/>
  </property>
  <property fmtid="{D5CDD505-2E9C-101B-9397-08002B2CF9AE}" pid="24" name="Merops Standard Set">
    <vt:lpwstr>merops/preset-v1/springer-vancouver-brackets</vt:lpwstr>
  </property>
  <property fmtid="{D5CDD505-2E9C-101B-9397-08002B2CF9AE}" pid="25" name="Merops Standard Set modified">
    <vt:lpwstr/>
  </property>
  <property fmtid="{D5CDD505-2E9C-101B-9397-08002B2CF9AE}" pid="26" name="Merops tables count">
    <vt:lpwstr>0</vt:lpwstr>
  </property>
  <property fmtid="{D5CDD505-2E9C-101B-9397-08002B2CF9AE}" pid="27" name="Merops word count">
    <vt:lpwstr>267</vt:lpwstr>
  </property>
  <property fmtid="{D5CDD505-2E9C-101B-9397-08002B2CF9AE}" pid="28" name="Merops WorldCat links count">
    <vt:lpwstr>0</vt:lpwstr>
  </property>
  <property fmtid="{D5CDD505-2E9C-101B-9397-08002B2CF9AE}" pid="29" name="ppub">
    <vt:lpwstr/>
  </property>
  <property fmtid="{D5CDD505-2E9C-101B-9397-08002B2CF9AE}" pid="30" name="Publisher">
    <vt:lpwstr/>
  </property>
  <property fmtid="{D5CDD505-2E9C-101B-9397-08002B2CF9AE}" pid="31" name="Publisher-location">
    <vt:lpwstr/>
  </property>
  <property fmtid="{D5CDD505-2E9C-101B-9397-08002B2CF9AE}" pid="32" name="ReceivedDate">
    <vt:lpwstr/>
  </property>
  <property fmtid="{D5CDD505-2E9C-101B-9397-08002B2CF9AE}" pid="33" name="Reference citation style">
    <vt:lpwstr/>
  </property>
  <property fmtid="{D5CDD505-2E9C-101B-9397-08002B2CF9AE}" pid="34" name="Source">
    <vt:lpwstr/>
  </property>
  <property fmtid="{D5CDD505-2E9C-101B-9397-08002B2CF9AE}" pid="35" name="Source-abbreviated">
    <vt:lpwstr/>
  </property>
  <property fmtid="{D5CDD505-2E9C-101B-9397-08002B2CF9AE}" pid="36" name="Source-short">
    <vt:lpwstr/>
  </property>
  <property fmtid="{D5CDD505-2E9C-101B-9397-08002B2CF9AE}" pid="37" name="Subject">
    <vt:lpwstr/>
  </property>
</Properties>
</file>