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2287F">
      <w:pPr>
        <w:spacing w:line="480" w:lineRule="auto"/>
        <w:rPr>
          <w:rFonts w:hint="eastAsia" w:ascii="Times New Roman" w:hAnsi="Times New Roman" w:eastAsia="等线" w:cs="Times New Roman"/>
          <w:b/>
          <w:bCs/>
          <w:snapToGrid w:val="0"/>
          <w:color w:val="FF0000"/>
          <w:szCs w:val="21"/>
          <w:lang w:eastAsia="zh-CN"/>
        </w:rPr>
      </w:pPr>
      <w:r>
        <w:rPr>
          <w:rFonts w:hint="eastAsia" w:ascii="Times New Roman" w:hAnsi="Times New Roman" w:eastAsia="等线" w:cs="Times New Roman"/>
          <w:b/>
          <w:bCs/>
          <w:snapToGrid w:val="0"/>
          <w:color w:val="FF0000"/>
          <w:szCs w:val="21"/>
          <w:lang w:eastAsia="zh-CN"/>
        </w:rPr>
        <w:drawing>
          <wp:inline distT="0" distB="0" distL="114300" distR="114300">
            <wp:extent cx="5272405" cy="2646680"/>
            <wp:effectExtent l="0" t="0" r="4445" b="1270"/>
            <wp:docPr id="3" name="图片 3" descr="Supplement figur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 figure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54B48">
      <w:pPr>
        <w:spacing w:line="480" w:lineRule="auto"/>
        <w:rPr>
          <w:rFonts w:ascii="Times New Roman" w:hAnsi="Times New Roman" w:eastAsia="等线" w:cs="Times New Roman"/>
          <w:snapToGrid w:val="0"/>
          <w:sz w:val="24"/>
          <w:szCs w:val="24"/>
        </w:rPr>
      </w:pPr>
      <w:r>
        <w:rPr>
          <w:rFonts w:ascii="Times New Roman" w:hAnsi="Times New Roman" w:eastAsia="等线" w:cs="Times New Roman"/>
          <w:b/>
          <w:bCs/>
          <w:snapToGrid w:val="0"/>
          <w:color w:val="auto"/>
          <w:sz w:val="24"/>
          <w:szCs w:val="24"/>
        </w:rPr>
        <w:t>Supplement</w:t>
      </w:r>
      <w:r>
        <w:rPr>
          <w:rFonts w:hint="eastAsia" w:ascii="Times New Roman" w:hAnsi="Times New Roman" w:eastAsia="等线" w:cs="Times New Roman"/>
          <w:b/>
          <w:bCs/>
          <w:snapToGrid w:val="0"/>
          <w:color w:val="auto"/>
          <w:sz w:val="24"/>
          <w:szCs w:val="24"/>
          <w:lang w:val="en-US" w:eastAsia="zh-CN"/>
        </w:rPr>
        <w:t>ary</w:t>
      </w:r>
      <w:r>
        <w:rPr>
          <w:rFonts w:ascii="Times New Roman" w:hAnsi="Times New Roman" w:eastAsia="等线" w:cs="Times New Roman"/>
          <w:b/>
          <w:bCs/>
          <w:snapToGrid w:val="0"/>
          <w:color w:val="auto"/>
          <w:sz w:val="24"/>
          <w:szCs w:val="24"/>
        </w:rPr>
        <w:t xml:space="preserve"> figure</w:t>
      </w:r>
      <w:r>
        <w:rPr>
          <w:rFonts w:hint="eastAsia" w:ascii="Times New Roman" w:hAnsi="Times New Roman" w:eastAsia="等线" w:cs="Times New Roman"/>
          <w:b/>
          <w:bCs/>
          <w:snapToGrid w:val="0"/>
          <w:color w:val="auto"/>
          <w:sz w:val="24"/>
          <w:szCs w:val="24"/>
          <w:lang w:val="en-US" w:eastAsia="zh-CN"/>
        </w:rPr>
        <w:t xml:space="preserve"> 1</w:t>
      </w:r>
      <w:r>
        <w:rPr>
          <w:rFonts w:ascii="Times New Roman" w:hAnsi="Times New Roman" w:eastAsia="等线" w:cs="Times New Roman"/>
          <w:b/>
          <w:bCs/>
          <w:snapToGrid w:val="0"/>
          <w:color w:val="auto"/>
          <w:sz w:val="24"/>
          <w:szCs w:val="24"/>
        </w:rPr>
        <w:t>.</w:t>
      </w:r>
      <w:r>
        <w:rPr>
          <w:rFonts w:ascii="Times New Roman" w:hAnsi="Times New Roman" w:eastAsia="等线" w:cs="Times New Roman"/>
          <w:snapToGrid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等线" w:cs="Times New Roman"/>
          <w:snapToGrid w:val="0"/>
          <w:sz w:val="24"/>
          <w:szCs w:val="24"/>
        </w:rPr>
        <w:t>(</w:t>
      </w: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val="en-US" w:eastAsia="zh-CN"/>
        </w:rPr>
        <w:t>a</w:t>
      </w:r>
      <w:r>
        <w:rPr>
          <w:rFonts w:ascii="Times New Roman" w:hAnsi="Times New Roman" w:eastAsia="等线" w:cs="Times New Roman"/>
          <w:snapToGrid w:val="0"/>
          <w:sz w:val="24"/>
          <w:szCs w:val="24"/>
        </w:rPr>
        <w:t>) RNA pulldown assay using ENO1 antibodies which can detect ENO1 and MBP-1 simultaneously showing no ENO1 can be detected in bio-AC007271.3 elution group. *The Input group is protein extracted from SCC9 cells overexpressed MBP-1. (</w:t>
      </w: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val="en-US" w:eastAsia="zh-CN"/>
        </w:rPr>
        <w:t>b</w:t>
      </w:r>
      <w:r>
        <w:rPr>
          <w:rFonts w:ascii="Times New Roman" w:hAnsi="Times New Roman" w:eastAsia="等线" w:cs="Times New Roman"/>
          <w:snapToGrid w:val="0"/>
          <w:sz w:val="24"/>
          <w:szCs w:val="24"/>
        </w:rPr>
        <w:t>)</w:t>
      </w: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snapToGrid w:val="0"/>
          <w:sz w:val="24"/>
          <w:szCs w:val="24"/>
        </w:rPr>
        <w:t>Left: The efficacy of MBP-1 plasmid and ΔMBP-1 plasmid in pcDNA3.1+ vector with his-tag by western blotting. Right: (</w:t>
      </w: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val="en-US" w:eastAsia="zh-CN"/>
        </w:rPr>
        <w:t>c</w:t>
      </w:r>
      <w:r>
        <w:rPr>
          <w:rFonts w:ascii="Times New Roman" w:hAnsi="Times New Roman" w:eastAsia="等线" w:cs="Times New Roman"/>
          <w:snapToGrid w:val="0"/>
          <w:sz w:val="24"/>
          <w:szCs w:val="24"/>
        </w:rPr>
        <w:t>) The MBP-1 expression level in different OSCC cell lines. (</w:t>
      </w: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val="en-US" w:eastAsia="zh-CN"/>
        </w:rPr>
        <w:t>d</w:t>
      </w:r>
      <w:bookmarkStart w:id="0" w:name="_GoBack"/>
      <w:bookmarkEnd w:id="0"/>
      <w:r>
        <w:rPr>
          <w:rFonts w:ascii="Times New Roman" w:hAnsi="Times New Roman" w:eastAsia="等线" w:cs="Times New Roman"/>
          <w:snapToGrid w:val="0"/>
          <w:sz w:val="24"/>
          <w:szCs w:val="24"/>
        </w:rPr>
        <w:t>) The efficacy of siNRA targeting MBP-1 in SCC9 cell lines</w:t>
      </w: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val="en-US" w:eastAsia="zh-CN"/>
        </w:rPr>
        <w:t>.</w:t>
      </w:r>
      <w:r>
        <w:rPr>
          <w:rFonts w:ascii="Times New Roman" w:hAnsi="Times New Roman" w:eastAsia="等线" w:cs="Times New Roman"/>
          <w:snapToGrid w:val="0"/>
          <w:sz w:val="24"/>
          <w:szCs w:val="24"/>
        </w:rPr>
        <w:t xml:space="preserve"> </w:t>
      </w:r>
    </w:p>
    <w:p w14:paraId="29C10508">
      <w:pPr>
        <w:spacing w:line="480" w:lineRule="auto"/>
        <w:rPr>
          <w:rFonts w:ascii="Times New Roman" w:hAnsi="Times New Roman" w:eastAsia="等线" w:cs="Times New Roman"/>
          <w:snapToGrid w:val="0"/>
          <w:sz w:val="24"/>
          <w:szCs w:val="24"/>
        </w:rPr>
      </w:pPr>
    </w:p>
    <w:p w14:paraId="52E600B7">
      <w:pPr>
        <w:spacing w:line="480" w:lineRule="auto"/>
        <w:rPr>
          <w:rFonts w:hint="eastAsia" w:ascii="Times New Roman" w:hAnsi="Times New Roman" w:eastAsia="等线" w:cs="Times New Roman"/>
          <w:snapToGrid w:val="0"/>
          <w:sz w:val="24"/>
          <w:szCs w:val="24"/>
          <w:lang w:eastAsia="zh-CN"/>
        </w:rPr>
      </w:pPr>
      <w:r>
        <w:rPr>
          <w:rFonts w:hint="eastAsia" w:ascii="Times New Roman" w:hAnsi="Times New Roman" w:eastAsia="等线" w:cs="Times New Roman"/>
          <w:snapToGrid w:val="0"/>
          <w:sz w:val="24"/>
          <w:szCs w:val="24"/>
          <w:lang w:eastAsia="zh-CN"/>
        </w:rPr>
        <w:drawing>
          <wp:inline distT="0" distB="0" distL="114300" distR="114300">
            <wp:extent cx="5261610" cy="8811895"/>
            <wp:effectExtent l="0" t="0" r="5715" b="8255"/>
            <wp:docPr id="4" name="图片 4" descr="Supplementary Figur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881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EB7EC">
      <w:pPr>
        <w:spacing w:line="480" w:lineRule="auto"/>
        <w:rPr>
          <w:rFonts w:hint="default" w:ascii="Times New Roman" w:hAnsi="Times New Roman" w:eastAsia="等线" w:cs="Times New Roman"/>
          <w:snapToGrid w:val="0"/>
          <w:sz w:val="24"/>
          <w:szCs w:val="24"/>
          <w:lang w:val="en-US" w:eastAsia="zh-CN"/>
        </w:rPr>
      </w:pPr>
      <w:r>
        <w:rPr>
          <w:rFonts w:ascii="Times New Roman" w:hAnsi="Times New Roman" w:eastAsia="等线" w:cs="Times New Roman"/>
          <w:b/>
          <w:bCs/>
          <w:snapToGrid w:val="0"/>
          <w:color w:val="auto"/>
          <w:sz w:val="24"/>
          <w:szCs w:val="24"/>
        </w:rPr>
        <w:t>Supplement</w:t>
      </w:r>
      <w:r>
        <w:rPr>
          <w:rFonts w:hint="eastAsia" w:ascii="Times New Roman" w:hAnsi="Times New Roman" w:eastAsia="等线" w:cs="Times New Roman"/>
          <w:b/>
          <w:bCs/>
          <w:snapToGrid w:val="0"/>
          <w:color w:val="auto"/>
          <w:sz w:val="24"/>
          <w:szCs w:val="24"/>
          <w:lang w:val="en-US" w:eastAsia="zh-CN"/>
        </w:rPr>
        <w:t>ary</w:t>
      </w:r>
      <w:r>
        <w:rPr>
          <w:rFonts w:ascii="Times New Roman" w:hAnsi="Times New Roman" w:eastAsia="等线" w:cs="Times New Roman"/>
          <w:b/>
          <w:bCs/>
          <w:snapToGrid w:val="0"/>
          <w:color w:val="auto"/>
          <w:sz w:val="24"/>
          <w:szCs w:val="24"/>
        </w:rPr>
        <w:t xml:space="preserve"> figure</w:t>
      </w:r>
      <w:r>
        <w:rPr>
          <w:rFonts w:hint="eastAsia" w:ascii="Times New Roman" w:hAnsi="Times New Roman" w:eastAsia="等线" w:cs="Times New Roman"/>
          <w:b/>
          <w:bCs/>
          <w:snapToGrid w:val="0"/>
          <w:color w:val="auto"/>
          <w:sz w:val="24"/>
          <w:szCs w:val="24"/>
          <w:lang w:val="en-US" w:eastAsia="zh-CN"/>
        </w:rPr>
        <w:t xml:space="preserve"> 2</w:t>
      </w:r>
      <w:r>
        <w:rPr>
          <w:rFonts w:ascii="Times New Roman" w:hAnsi="Times New Roman" w:eastAsia="等线" w:cs="Times New Roman"/>
          <w:b/>
          <w:bCs/>
          <w:snapToGrid w:val="0"/>
          <w:color w:val="auto"/>
          <w:sz w:val="24"/>
          <w:szCs w:val="24"/>
        </w:rPr>
        <w:t>.</w:t>
      </w:r>
      <w:r>
        <w:rPr>
          <w:rFonts w:hint="eastAsia" w:ascii="Times New Roman" w:hAnsi="Times New Roman" w:eastAsia="等线" w:cs="Times New Roman"/>
          <w:b/>
          <w:bCs/>
          <w:snapToGrid w:val="0"/>
          <w:color w:val="auto"/>
          <w:sz w:val="24"/>
          <w:szCs w:val="24"/>
          <w:lang w:val="en-US" w:eastAsia="zh-CN"/>
        </w:rPr>
        <w:t xml:space="preserve"> Full length uncropped original western blots.</w:t>
      </w:r>
    </w:p>
    <w:p w14:paraId="6E9F703D">
      <w:pPr>
        <w:spacing w:line="480" w:lineRule="auto"/>
        <w:rPr>
          <w:rFonts w:ascii="Times New Roman" w:hAnsi="Times New Roman" w:cs="Times New Roman"/>
          <w:szCs w:val="21"/>
        </w:rPr>
      </w:pPr>
    </w:p>
    <w:p w14:paraId="4D8F411D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>Supplementary Table 1. Oligonucleotides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5182"/>
      </w:tblGrid>
      <w:tr w14:paraId="14C775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5B348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AC007271.3 </w:t>
            </w:r>
          </w:p>
        </w:tc>
        <w:tc>
          <w:tcPr>
            <w:tcW w:w="5182" w:type="dxa"/>
          </w:tcPr>
          <w:p w14:paraId="08B4A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TAAATTAATCTCTCAACTGGTTGAACACAGCTTTAGAGATGTCAACAGCCTCCTATGAGTCTAGAGTCAGGTGGTACAGGCTCAACTGGTCTAACAGCTGCAAATTTTGAGAGACTGCTGTGCTAATGTTTGGGGCTCAGATTTAAGGTATAGGTATGATTTACGTACTTTGAGCAGCCAAGCCTTCTTCAGAAGAAACCTGAGCGGCATGTGCTCCTCCCCACCTGCTTCCCCACAACAGGAAGAACTCTCTGCAGAAGGTCTCCTCACCTTGTTGAGGCCTGGGAATGTGCAAATGTGCAGGATTTTCCACACTATTCGAGAGAGAGAGTAAATAAACTTGTGTAAGTTAATTGCATCAACTACAAATAAGACCTGTA</w:t>
            </w:r>
          </w:p>
        </w:tc>
      </w:tr>
      <w:tr w14:paraId="0DD4E9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42E63F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AC007271.3 Antisense</w:t>
            </w:r>
          </w:p>
        </w:tc>
        <w:tc>
          <w:tcPr>
            <w:tcW w:w="5182" w:type="dxa"/>
          </w:tcPr>
          <w:p w14:paraId="161710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GTCCAGAATAAACATCAACTACGTTAATTGAATGTGTTCAAATAAATGAGAGAGAGAGCTTATCACACCTTTTAGGACGTGTAAACGTGTAAGGGTCCGGAGTTGTTCCACTCCTCTGGAAGACGTCTCTCAAGAAGGACAACACCCCTTCGTCCACCCCTCCTCGTGTACGGCGAGTCCAAAGAAGACTTCTTCCGAACCGACGAGTTTCATGCATTTAGTATGGATATGGAATTTAGACTCGGGGTTTGTAATCGTGTCGTCAGAGAGTTTTAAACGTCGACAATCTGGTCAACTCGGACATGGTGGACTGAGATCTGAGTATCCTCCGACAACTGTAGAGATTTCGACACAAGTTGGTCAACTCTCTAATTAAATGG</w:t>
            </w:r>
          </w:p>
        </w:tc>
      </w:tr>
      <w:tr w14:paraId="68CD82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3C0F2B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AC007271.3 1-100</w:t>
            </w:r>
          </w:p>
        </w:tc>
        <w:tc>
          <w:tcPr>
            <w:tcW w:w="5182" w:type="dxa"/>
          </w:tcPr>
          <w:p w14:paraId="2D13B9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ATGTCCAGAATAAACATCAACTACGTTAATTGAATGTGTTCAAATAAATGAGAGAGAGAGCTTATCACACCTTTTAGGACGTGTAAACGTGTAAGGGTCC</w:t>
            </w:r>
          </w:p>
        </w:tc>
      </w:tr>
      <w:tr w14:paraId="510FBF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F14BC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AC007271.3 1-200</w:t>
            </w:r>
          </w:p>
        </w:tc>
        <w:tc>
          <w:tcPr>
            <w:tcW w:w="5182" w:type="dxa"/>
          </w:tcPr>
          <w:p w14:paraId="499AC1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ATGTCCAGAATAAACATCAACTACGTTAATTGAATGTGTTCAAATAAATGAGAGAGAGAGCTTATCACACCTTTTAGGACGTGTAAACGTGTAAGGGTCCGGAGTTGTTCCACTCCTCTGGAAGACGTCTCTCAAGAAGGACAACACCCCTTCGTCCACCCCTCCTCGTGTACGGCGAGTCCAAAGAAGACTTCTTCCGA</w:t>
            </w:r>
          </w:p>
        </w:tc>
      </w:tr>
      <w:tr w14:paraId="1EAE50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64336A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AC007271.3 1-300</w:t>
            </w:r>
          </w:p>
        </w:tc>
        <w:tc>
          <w:tcPr>
            <w:tcW w:w="5182" w:type="dxa"/>
          </w:tcPr>
          <w:p w14:paraId="238E2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GTCCAGAATAAACATCAACTACGTTAATTGAATGTGTTCAAATAAATGAGAGAGAGAGCTTATCACACCTTTTAGGACGTGTAAACGTGTAAGGGTCCGGAGTTGTTCCACTCCTCTGGAAGACGTCTCTCAAGAAGGACAACACCCCTTCGTCCACCCCTCCTCGTGTACGGCGAGTCCAAAGAAGACTTCTTCCGAACCGACGAGTTTCATGCATTTAGTATGGATATGGAATTTAGACTCGGGGTTTGTAATCGTGTCGTCAGAGAGTTTTAAACGTCGACAATCTGGTCAACTC</w:t>
            </w:r>
          </w:p>
        </w:tc>
      </w:tr>
      <w:tr w14:paraId="0FA428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10681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ASO</w:t>
            </w:r>
          </w:p>
        </w:tc>
        <w:tc>
          <w:tcPr>
            <w:tcW w:w="5182" w:type="dxa"/>
          </w:tcPr>
          <w:p w14:paraId="03D7F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5’-CCACACUAUUCGAGAGAGATT -3’</w:t>
            </w:r>
          </w:p>
        </w:tc>
      </w:tr>
      <w:tr w14:paraId="4040BF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32AF9FA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MBP-1 siRNA</w:t>
            </w:r>
          </w:p>
        </w:tc>
        <w:tc>
          <w:tcPr>
            <w:tcW w:w="5182" w:type="dxa"/>
          </w:tcPr>
          <w:p w14:paraId="168D27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5’-GTGCTTCAACTGGTATCTATGAGGCCCTA-3’</w:t>
            </w:r>
          </w:p>
        </w:tc>
      </w:tr>
      <w:tr w14:paraId="66FAFF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57115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c-Myc siRNA1</w:t>
            </w:r>
          </w:p>
        </w:tc>
        <w:tc>
          <w:tcPr>
            <w:tcW w:w="5182" w:type="dxa"/>
          </w:tcPr>
          <w:p w14:paraId="4F897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5’-CGAUGUUGUUUCUGUGGAA-3’</w:t>
            </w:r>
          </w:p>
        </w:tc>
      </w:tr>
      <w:tr w14:paraId="046A72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6F99843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c-Myc siRNA2</w:t>
            </w:r>
          </w:p>
        </w:tc>
        <w:tc>
          <w:tcPr>
            <w:tcW w:w="5182" w:type="dxa"/>
          </w:tcPr>
          <w:p w14:paraId="6F720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5’-CGACGAGACCUUCAUCAAA-3’</w:t>
            </w:r>
          </w:p>
        </w:tc>
      </w:tr>
      <w:tr w14:paraId="1CCDD0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11617DD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C1-c-Myc</w:t>
            </w:r>
          </w:p>
        </w:tc>
        <w:tc>
          <w:tcPr>
            <w:tcW w:w="5182" w:type="dxa"/>
          </w:tcPr>
          <w:p w14:paraId="3702F8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5’-GGGAAAGAGGACCTGGAAAG -3’</w:t>
            </w:r>
          </w:p>
          <w:p w14:paraId="6425E4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5’-TGGGAGAAATCAAAGGTGCT -3’</w:t>
            </w:r>
          </w:p>
        </w:tc>
      </w:tr>
      <w:tr w14:paraId="6ED284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1AB776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C2-c-Myc</w:t>
            </w:r>
          </w:p>
        </w:tc>
        <w:tc>
          <w:tcPr>
            <w:tcW w:w="5182" w:type="dxa"/>
          </w:tcPr>
          <w:p w14:paraId="371951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5’-GAGGAGCAGCAGAGAAAGG -3’</w:t>
            </w:r>
          </w:p>
          <w:p w14:paraId="4A10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5’-TCCCCCACGCCCTCTGC -3’</w:t>
            </w:r>
          </w:p>
        </w:tc>
      </w:tr>
      <w:tr w14:paraId="17BE76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767CD02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C3-c-Myc</w:t>
            </w:r>
          </w:p>
        </w:tc>
        <w:tc>
          <w:tcPr>
            <w:tcW w:w="5182" w:type="dxa"/>
          </w:tcPr>
          <w:p w14:paraId="7A265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5’-AGGGCTTCTCAGAGGCTTGG -3’</w:t>
            </w:r>
          </w:p>
          <w:p w14:paraId="2D4A55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5’-TGCCTCTCGCTGGAATTACT -3’</w:t>
            </w:r>
          </w:p>
        </w:tc>
      </w:tr>
      <w:tr w14:paraId="338513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2BE6B40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C4-c-Myc</w:t>
            </w:r>
          </w:p>
        </w:tc>
        <w:tc>
          <w:tcPr>
            <w:tcW w:w="5182" w:type="dxa"/>
          </w:tcPr>
          <w:p w14:paraId="012018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5’-AACAGCTGCTACCCTTGGTG -3’</w:t>
            </w:r>
          </w:p>
          <w:p w14:paraId="4C960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5’-TAATAGGGGCACCTCCCTTC -3’</w:t>
            </w:r>
          </w:p>
        </w:tc>
      </w:tr>
    </w:tbl>
    <w:p w14:paraId="0D8A37CC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Y0tDQzszQxMrSwNLRQ0lEKTi0uzszPAykwrAUArcecZCwAAAA="/>
    <w:docVar w:name="commondata" w:val="eyJoZGlkIjoiZDc2ODVhNjI5N2M0MzE2MGY5YjZjZTYyZjcyZDE3YmQifQ=="/>
  </w:docVars>
  <w:rsids>
    <w:rsidRoot w:val="007F3428"/>
    <w:rsid w:val="002F6C12"/>
    <w:rsid w:val="00441622"/>
    <w:rsid w:val="00494522"/>
    <w:rsid w:val="0052030F"/>
    <w:rsid w:val="00636D31"/>
    <w:rsid w:val="007F3428"/>
    <w:rsid w:val="008A106B"/>
    <w:rsid w:val="008D00F8"/>
    <w:rsid w:val="00961C68"/>
    <w:rsid w:val="00CA3DBE"/>
    <w:rsid w:val="17237EFC"/>
    <w:rsid w:val="174652BA"/>
    <w:rsid w:val="327444FE"/>
    <w:rsid w:val="53A91BC6"/>
    <w:rsid w:val="55BD230A"/>
    <w:rsid w:val="65013C9C"/>
    <w:rsid w:val="741D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144</Words>
  <Characters>2395</Characters>
  <Lines>56</Lines>
  <Paragraphs>43</Paragraphs>
  <TotalTime>9</TotalTime>
  <ScaleCrop>false</ScaleCrop>
  <LinksUpToDate>false</LinksUpToDate>
  <CharactersWithSpaces>2510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2021-12-12T01:59:00Z</dcterms:created>
  <dc:creator>Wu Qingqing</dc:creator>
  <cp:lastModifiedBy>Administrator</cp:lastModifiedBy>
  <dcterms:modified xsi:type="dcterms:W3CDTF">2026-01-28T17:25:01Z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A02E5AC2DDAE48C791C8757E3652B276_13</vt:lpwstr>
  </property>
</Properties>
</file>