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71F" w:rsidRPr="000230CD" w:rsidRDefault="0083671F" w:rsidP="0083671F">
      <w:pPr>
        <w:pStyle w:val="Heading3"/>
        <w:spacing w:line="480" w:lineRule="auto"/>
      </w:pPr>
      <w:r w:rsidRPr="000230CD">
        <w:t xml:space="preserve">Additional file 2 – </w:t>
      </w:r>
      <w:proofErr w:type="spellStart"/>
      <w:r w:rsidRPr="000230CD">
        <w:t>PfPM</w:t>
      </w:r>
      <w:proofErr w:type="spellEnd"/>
      <w:r w:rsidRPr="000230CD">
        <w:t xml:space="preserve"> VII and </w:t>
      </w:r>
      <w:proofErr w:type="spellStart"/>
      <w:r w:rsidRPr="000230CD">
        <w:t>PfPM</w:t>
      </w:r>
      <w:proofErr w:type="spellEnd"/>
      <w:r w:rsidRPr="000230CD">
        <w:t xml:space="preserve"> X appear to be essential for </w:t>
      </w:r>
      <w:r w:rsidRPr="000230CD">
        <w:rPr>
          <w:i/>
        </w:rPr>
        <w:t xml:space="preserve">P. falciparum </w:t>
      </w:r>
      <w:r w:rsidRPr="000230CD">
        <w:t>asexual development</w:t>
      </w:r>
    </w:p>
    <w:p w:rsidR="0083671F" w:rsidRPr="000230CD" w:rsidRDefault="0083671F" w:rsidP="0083671F">
      <w:r w:rsidRPr="000230CD">
        <w:t xml:space="preserve">A single crossover recombination strategy was used to knock out the genes encoding </w:t>
      </w:r>
      <w:proofErr w:type="spellStart"/>
      <w:r w:rsidRPr="000230CD">
        <w:t>PfPM</w:t>
      </w:r>
      <w:proofErr w:type="spellEnd"/>
      <w:r w:rsidRPr="000230CD">
        <w:t xml:space="preserve"> VII and </w:t>
      </w:r>
      <w:proofErr w:type="spellStart"/>
      <w:r w:rsidRPr="000230CD">
        <w:t>PfPM</w:t>
      </w:r>
      <w:proofErr w:type="spellEnd"/>
      <w:r w:rsidRPr="000230CD">
        <w:t xml:space="preserve"> X. A 1 kb region of each gene was PCR amplified from </w:t>
      </w:r>
      <w:r w:rsidRPr="000230CD">
        <w:rPr>
          <w:i/>
        </w:rPr>
        <w:t>P. falciparum</w:t>
      </w:r>
      <w:r w:rsidRPr="000230CD">
        <w:t xml:space="preserve"> genomic DNA, sub-cloned into </w:t>
      </w:r>
      <w:proofErr w:type="spellStart"/>
      <w:r w:rsidRPr="000230CD">
        <w:t>pCR</w:t>
      </w:r>
      <w:proofErr w:type="spellEnd"/>
      <w:r w:rsidRPr="000230CD">
        <w:t xml:space="preserve"> 2.1 (</w:t>
      </w:r>
      <w:proofErr w:type="spellStart"/>
      <w:r w:rsidRPr="000230CD">
        <w:t>Invitrogen</w:t>
      </w:r>
      <w:proofErr w:type="spellEnd"/>
      <w:r w:rsidRPr="000230CD">
        <w:t xml:space="preserve">, Carlsbad, CA, USA), transformed into Top10 cells (Invitrogen, Carlsbad, CA, USA) and sequence-verified (Eton Biosciences, San Diego, </w:t>
      </w:r>
      <w:r w:rsidRPr="00E11B9A">
        <w:t xml:space="preserve">CA, USA). Sequence-verified </w:t>
      </w:r>
      <w:proofErr w:type="spellStart"/>
      <w:r w:rsidRPr="00E11B9A">
        <w:t>PfPM</w:t>
      </w:r>
      <w:proofErr w:type="spellEnd"/>
      <w:r w:rsidRPr="00E11B9A">
        <w:t xml:space="preserve"> VII and </w:t>
      </w:r>
      <w:proofErr w:type="spellStart"/>
      <w:r w:rsidRPr="00E11B9A">
        <w:t>PfPM</w:t>
      </w:r>
      <w:proofErr w:type="spellEnd"/>
      <w:r w:rsidRPr="00E11B9A">
        <w:t xml:space="preserve"> X fragments were then cloned into </w:t>
      </w:r>
      <w:proofErr w:type="spellStart"/>
      <w:r w:rsidRPr="00E11B9A">
        <w:t>pCAM</w:t>
      </w:r>
      <w:proofErr w:type="spellEnd"/>
      <w:r w:rsidRPr="00E11B9A">
        <w:t>-BSD</w:t>
      </w:r>
      <w:r w:rsidR="00A65C87">
        <w:t xml:space="preserve"> </w:t>
      </w:r>
      <w:r w:rsidR="00A53985" w:rsidRPr="00E11B9A">
        <w:fldChar w:fldCharType="begin">
          <w:fldData xml:space="preserve">PEVuZE5vdGU+PENpdGU+PEF1dGhvcj5TaWRodTwvQXV0aG9yPjxZZWFyPjIwMDU8L1llYXI+PFJl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</w:fldData>
        </w:fldChar>
      </w:r>
      <w:r w:rsidR="002E415B">
        <w:instrText xml:space="preserve"> ADDIN EN.CITE </w:instrText>
      </w:r>
      <w:r w:rsidR="00A53985">
        <w:fldChar w:fldCharType="begin">
          <w:fldData xml:space="preserve">PEVuZE5vdGU+PENpdGU+PEF1dGhvcj5TaWRodTwvQXV0aG9yPjxZZWFyPjIwMDU8L1llYXI+PFJl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</w:fldData>
        </w:fldChar>
      </w:r>
      <w:r w:rsidR="002E415B">
        <w:instrText xml:space="preserve"> ADDIN EN.CITE.DATA </w:instrText>
      </w:r>
      <w:r w:rsidR="00A53985">
        <w:fldChar w:fldCharType="end"/>
      </w:r>
      <w:r w:rsidR="00A53985" w:rsidRPr="00E11B9A">
        <w:fldChar w:fldCharType="separate"/>
      </w:r>
      <w:r w:rsidR="002E415B">
        <w:rPr>
          <w:noProof/>
        </w:rPr>
        <w:t>[1]</w:t>
      </w:r>
      <w:r w:rsidR="00A53985" w:rsidRPr="00E11B9A">
        <w:fldChar w:fldCharType="end"/>
      </w:r>
      <w:r w:rsidRPr="00E11B9A">
        <w:t xml:space="preserve"> or</w:t>
      </w:r>
      <w:r w:rsidRPr="000230CD">
        <w:t xml:space="preserve"> </w:t>
      </w:r>
      <w:proofErr w:type="spellStart"/>
      <w:r w:rsidRPr="000230CD">
        <w:t>pHDWT</w:t>
      </w:r>
      <w:proofErr w:type="spellEnd"/>
      <w:r w:rsidRPr="000230CD">
        <w:t xml:space="preserve"> vector (Malaria Research and Reference Reagent Resource </w:t>
      </w:r>
      <w:proofErr w:type="spellStart"/>
      <w:r w:rsidRPr="000230CD">
        <w:t>Center</w:t>
      </w:r>
      <w:proofErr w:type="spellEnd"/>
      <w:r w:rsidRPr="000230CD">
        <w:t>, Manassas, VA, USA deposited by Dr. D.</w:t>
      </w:r>
      <w:r w:rsidR="00C14AF6">
        <w:t>A</w:t>
      </w:r>
      <w:r w:rsidRPr="000230CD">
        <w:t xml:space="preserve">. </w:t>
      </w:r>
      <w:proofErr w:type="spellStart"/>
      <w:r w:rsidRPr="000230CD">
        <w:t>Fidock</w:t>
      </w:r>
      <w:proofErr w:type="spellEnd"/>
      <w:r w:rsidRPr="000230CD">
        <w:t xml:space="preserve"> and T.E. </w:t>
      </w:r>
      <w:proofErr w:type="spellStart"/>
      <w:r w:rsidRPr="000230CD">
        <w:t>Wellems</w:t>
      </w:r>
      <w:proofErr w:type="spellEnd"/>
      <w:r w:rsidRPr="000230CD">
        <w:t xml:space="preserve"> </w:t>
      </w:r>
      <w:r w:rsidR="00A53985">
        <w:fldChar w:fldCharType="begin"/>
      </w:r>
      <w:r w:rsidR="002E415B">
        <w:instrText xml:space="preserve"> ADDIN EN.CITE &lt;EndNote&gt;&lt;Cite&gt;&lt;Author&gt;Fidock&lt;/Author&gt;&lt;Year&gt;1997&lt;/Year&gt;&lt;RecNum&gt;2&lt;/RecNum&gt;&lt;DisplayText&gt;[2]&lt;/DisplayText&gt;&lt;record&gt;&lt;rec-number&gt;2&lt;/rec-number&gt;&lt;foreign-keys&gt;&lt;key app="EN" db-id="9ae5teetkxpwwee2tw6ppery0zpfp55xeta9" timestamp="1455478137"&gt;2&lt;/key&gt;&lt;/foreign-keys&gt;&lt;ref-type name="Journal Article"&gt;17&lt;/ref-type&gt;&lt;contributors&gt;&lt;authors&gt;&lt;author&gt;Fidock, D. A.&lt;/author&gt;&lt;author&gt;Wellems, T. E.&lt;/author&gt;&lt;/authors&gt;&lt;/contributors&gt;&lt;auth-address&gt;Laboratory of Parasitic Diseases, National Institute of Allergy and Infectious Diseases, National Institutes of Health, Bethesda, MD 20892-0425, USA.&lt;/auth-address&gt;&lt;titles&gt;&lt;title&gt;Transformation with human dihydrofolate reductase renders malaria parasites insensitive to WR99210 but does not affect the intrinsic activity of proguanil&lt;/title&gt;&lt;secondary-title&gt;Proc Natl Acad Sci U S A&lt;/secondary-title&gt;&lt;/titles&gt;&lt;periodical&gt;&lt;full-title&gt;Proc Natl Acad Sci U S A&lt;/full-title&gt;&lt;/periodical&gt;&lt;pages&gt;10931-6&lt;/pages&gt;&lt;volume&gt;94&lt;/volume&gt;&lt;number&gt;20&lt;/number&gt;&lt;keywords&gt;&lt;keyword&gt;Animals&lt;/keyword&gt;&lt;keyword&gt;Antimalarials/*pharmacology&lt;/keyword&gt;&lt;keyword&gt;DNA Replication&lt;/keyword&gt;&lt;keyword&gt;DNA, Complementary&lt;/keyword&gt;&lt;keyword&gt;Drug Resistance/genetics&lt;/keyword&gt;&lt;keyword&gt;Genetic Complementation Test&lt;/keyword&gt;&lt;keyword&gt;Humans&lt;/keyword&gt;&lt;keyword&gt;Methotrexate/pharmacology&lt;/keyword&gt;&lt;keyword&gt;Plasmodium falciparum/*drug effects/genetics&lt;/keyword&gt;&lt;keyword&gt;Proguanil/*pharmacology&lt;/keyword&gt;&lt;keyword&gt;Tetrahydrofolate Dehydrogenase/genetics/*metabolism&lt;/keyword&gt;&lt;keyword&gt;Transformation, Genetic&lt;/keyword&gt;&lt;keyword&gt;Triazines/*pharmacology&lt;/keyword&gt;&lt;/keywords&gt;&lt;dates&gt;&lt;year&gt;1997&lt;/year&gt;&lt;pub-dates&gt;&lt;date&gt;Sep 30&lt;/date&gt;&lt;/pub-dates&gt;&lt;/dates&gt;&lt;isbn&gt;0027-8424 (Print)&amp;#xD;0027-8424 (Linking)&lt;/isbn&gt;&lt;accession-num&gt;9380737&lt;/accession-num&gt;&lt;urls&gt;&lt;related-urls&gt;&lt;url&gt;http://www.ncbi.nlm.nih.gov/pubmed/9380737&lt;/url&gt;&lt;/related-urls&gt;&lt;/urls&gt;&lt;custom2&gt;PMC23535&lt;/custom2&gt;&lt;/record&gt;&lt;/Cite&gt;&lt;/EndNote&gt;</w:instrText>
      </w:r>
      <w:r w:rsidR="00A53985">
        <w:fldChar w:fldCharType="separate"/>
      </w:r>
      <w:r w:rsidR="002E415B">
        <w:rPr>
          <w:noProof/>
        </w:rPr>
        <w:t>[2]</w:t>
      </w:r>
      <w:r w:rsidR="00A53985">
        <w:fldChar w:fldCharType="end"/>
      </w:r>
      <w:r w:rsidRPr="000230CD">
        <w:t xml:space="preserve">) to generate </w:t>
      </w:r>
      <w:proofErr w:type="spellStart"/>
      <w:r w:rsidRPr="000230CD">
        <w:t>pCAM</w:t>
      </w:r>
      <w:proofErr w:type="spellEnd"/>
      <w:r w:rsidRPr="000230CD">
        <w:t>-BSD-</w:t>
      </w:r>
      <w:proofErr w:type="spellStart"/>
      <w:r w:rsidRPr="000230CD">
        <w:t>PfPM</w:t>
      </w:r>
      <w:proofErr w:type="spellEnd"/>
      <w:r w:rsidRPr="000230CD">
        <w:t xml:space="preserve"> VII and </w:t>
      </w:r>
      <w:proofErr w:type="spellStart"/>
      <w:r w:rsidRPr="000230CD">
        <w:t>pHDWT-PfPM</w:t>
      </w:r>
      <w:proofErr w:type="spellEnd"/>
      <w:r w:rsidRPr="000230CD">
        <w:t xml:space="preserve"> X, respectively. </w:t>
      </w:r>
      <w:r w:rsidRPr="000230CD">
        <w:tab/>
      </w:r>
    </w:p>
    <w:p w:rsidR="0083671F" w:rsidRPr="000230CD" w:rsidRDefault="0083671F" w:rsidP="0083671F">
      <w:pPr>
        <w:ind w:firstLine="720"/>
      </w:pPr>
      <w:r w:rsidRPr="000230CD">
        <w:t xml:space="preserve">Asexual </w:t>
      </w:r>
      <w:r w:rsidRPr="000230CD">
        <w:rPr>
          <w:i/>
        </w:rPr>
        <w:t>P. falciparum</w:t>
      </w:r>
      <w:r w:rsidRPr="000230CD">
        <w:t xml:space="preserve"> cultures were sorbitol-synchronized 48 hours prior to transfection. Ring stage parasites at 5-10% </w:t>
      </w:r>
      <w:proofErr w:type="spellStart"/>
      <w:r w:rsidRPr="000230CD">
        <w:t>parasitemia</w:t>
      </w:r>
      <w:proofErr w:type="spellEnd"/>
      <w:r w:rsidRPr="000230CD">
        <w:t xml:space="preserve"> were </w:t>
      </w:r>
      <w:proofErr w:type="spellStart"/>
      <w:r w:rsidRPr="000230CD">
        <w:t>electroporated</w:t>
      </w:r>
      <w:proofErr w:type="spellEnd"/>
      <w:r w:rsidRPr="000230CD">
        <w:t xml:space="preserve"> using the Bio-Rad Gene </w:t>
      </w:r>
      <w:proofErr w:type="spellStart"/>
      <w:r w:rsidRPr="000230CD">
        <w:t>Pulser</w:t>
      </w:r>
      <w:proofErr w:type="spellEnd"/>
      <w:r w:rsidRPr="000230CD">
        <w:t xml:space="preserve"> (Bio-Rad, Hercules, CA, USA) or </w:t>
      </w:r>
      <w:proofErr w:type="spellStart"/>
      <w:r w:rsidRPr="000230CD">
        <w:t>Nucleofector</w:t>
      </w:r>
      <w:proofErr w:type="spellEnd"/>
      <w:r w:rsidRPr="000230CD">
        <w:t xml:space="preserve"> technology (</w:t>
      </w:r>
      <w:proofErr w:type="spellStart"/>
      <w:r w:rsidRPr="000230CD">
        <w:t>Lonza</w:t>
      </w:r>
      <w:proofErr w:type="spellEnd"/>
      <w:r w:rsidRPr="000230CD">
        <w:t>/</w:t>
      </w:r>
      <w:proofErr w:type="spellStart"/>
      <w:r w:rsidRPr="000230CD">
        <w:t>Amaxa</w:t>
      </w:r>
      <w:proofErr w:type="spellEnd"/>
      <w:r w:rsidRPr="000230CD">
        <w:t xml:space="preserve">, Basel, Switzerland) using 100 µg or 10 µg of purified, endotoxin-free plasmid DNA </w:t>
      </w:r>
      <w:proofErr w:type="spellStart"/>
      <w:r w:rsidRPr="000230CD">
        <w:t>resuspended</w:t>
      </w:r>
      <w:proofErr w:type="spellEnd"/>
      <w:r w:rsidRPr="000230CD">
        <w:t xml:space="preserve"> in </w:t>
      </w:r>
      <w:proofErr w:type="spellStart"/>
      <w:r w:rsidRPr="000230CD">
        <w:t>cytomix</w:t>
      </w:r>
      <w:proofErr w:type="spellEnd"/>
      <w:r w:rsidRPr="000230CD">
        <w:t xml:space="preserve"> (120 </w:t>
      </w:r>
      <w:proofErr w:type="spellStart"/>
      <w:r w:rsidRPr="000230CD">
        <w:t>mM</w:t>
      </w:r>
      <w:proofErr w:type="spellEnd"/>
      <w:r w:rsidRPr="000230CD">
        <w:t xml:space="preserve"> </w:t>
      </w:r>
      <w:proofErr w:type="spellStart"/>
      <w:r w:rsidRPr="000230CD">
        <w:t>KCl</w:t>
      </w:r>
      <w:proofErr w:type="spellEnd"/>
      <w:r w:rsidRPr="000230CD">
        <w:t xml:space="preserve">, 0.15 </w:t>
      </w:r>
      <w:proofErr w:type="spellStart"/>
      <w:r w:rsidRPr="000230CD">
        <w:t>mM</w:t>
      </w:r>
      <w:proofErr w:type="spellEnd"/>
      <w:r w:rsidRPr="000230CD">
        <w:t xml:space="preserve"> CaCl2, 5mM MgCl2, 2 </w:t>
      </w:r>
      <w:proofErr w:type="spellStart"/>
      <w:r w:rsidRPr="000230CD">
        <w:t>mM</w:t>
      </w:r>
      <w:proofErr w:type="spellEnd"/>
      <w:r w:rsidRPr="000230CD">
        <w:t xml:space="preserve"> ethylene glycol </w:t>
      </w:r>
      <w:proofErr w:type="spellStart"/>
      <w:r w:rsidRPr="000230CD">
        <w:t>tetraacetic</w:t>
      </w:r>
      <w:proofErr w:type="spellEnd"/>
      <w:r w:rsidRPr="000230CD">
        <w:t xml:space="preserve"> acid (EGTA), 10 </w:t>
      </w:r>
      <w:proofErr w:type="spellStart"/>
      <w:r w:rsidRPr="000230CD">
        <w:t>mM</w:t>
      </w:r>
      <w:proofErr w:type="spellEnd"/>
      <w:r w:rsidRPr="000230CD">
        <w:t xml:space="preserve"> K2HPO4/KH2PO4, 25 </w:t>
      </w:r>
      <w:proofErr w:type="spellStart"/>
      <w:r w:rsidRPr="000230CD">
        <w:t>mM</w:t>
      </w:r>
      <w:proofErr w:type="spellEnd"/>
      <w:r w:rsidRPr="000230CD">
        <w:t xml:space="preserve"> HEPES) or 100 µl T-cell solution (</w:t>
      </w:r>
      <w:proofErr w:type="spellStart"/>
      <w:r w:rsidRPr="000230CD">
        <w:t>Lonza</w:t>
      </w:r>
      <w:proofErr w:type="spellEnd"/>
      <w:r w:rsidRPr="000230CD">
        <w:t>/</w:t>
      </w:r>
      <w:proofErr w:type="spellStart"/>
      <w:r w:rsidRPr="000230CD">
        <w:t>Amaxa</w:t>
      </w:r>
      <w:proofErr w:type="spellEnd"/>
      <w:r w:rsidRPr="000230CD">
        <w:t>, Basel, Switzerland), respectively (</w:t>
      </w:r>
      <w:proofErr w:type="spellStart"/>
      <w:r w:rsidRPr="000230CD">
        <w:t>Fidock</w:t>
      </w:r>
      <w:proofErr w:type="spellEnd"/>
      <w:r w:rsidRPr="000230CD">
        <w:t xml:space="preserve"> and </w:t>
      </w:r>
      <w:proofErr w:type="spellStart"/>
      <w:r w:rsidRPr="000230CD">
        <w:t>Wellems</w:t>
      </w:r>
      <w:proofErr w:type="spellEnd"/>
      <w:r w:rsidRPr="000230CD">
        <w:t xml:space="preserve">, 1997). The Gene </w:t>
      </w:r>
      <w:proofErr w:type="spellStart"/>
      <w:r w:rsidRPr="000230CD">
        <w:t>Pulser</w:t>
      </w:r>
      <w:proofErr w:type="spellEnd"/>
      <w:r w:rsidRPr="000230CD">
        <w:t xml:space="preserve"> II was set to 0.31 kV, 950 µF capacitance; the </w:t>
      </w:r>
      <w:proofErr w:type="spellStart"/>
      <w:r w:rsidRPr="000230CD">
        <w:t>Amaxa</w:t>
      </w:r>
      <w:proofErr w:type="spellEnd"/>
      <w:r w:rsidRPr="000230CD">
        <w:t xml:space="preserve"> </w:t>
      </w:r>
      <w:proofErr w:type="spellStart"/>
      <w:r w:rsidRPr="000230CD">
        <w:t>Nucleofector</w:t>
      </w:r>
      <w:proofErr w:type="spellEnd"/>
      <w:r w:rsidRPr="000230CD">
        <w:t xml:space="preserve"> was set to program U-33. </w:t>
      </w:r>
      <w:proofErr w:type="spellStart"/>
      <w:r w:rsidRPr="000230CD">
        <w:t>Electroporated</w:t>
      </w:r>
      <w:proofErr w:type="spellEnd"/>
      <w:r w:rsidRPr="000230CD">
        <w:t xml:space="preserve"> parasites were immediately transferred to warm, complete medium (RPMI1640, 25 </w:t>
      </w:r>
      <w:proofErr w:type="spellStart"/>
      <w:r w:rsidRPr="000230CD">
        <w:t>mM</w:t>
      </w:r>
      <w:proofErr w:type="spellEnd"/>
      <w:r w:rsidRPr="000230CD">
        <w:t xml:space="preserve"> HEPES, 2 </w:t>
      </w:r>
      <w:proofErr w:type="spellStart"/>
      <w:r w:rsidRPr="000230CD">
        <w:t>mM</w:t>
      </w:r>
      <w:proofErr w:type="spellEnd"/>
      <w:r w:rsidRPr="000230CD">
        <w:t xml:space="preserve"> L-glutamine, 2.4 g/L NaHCO3, 50 mg/L hypoxanthine, 10% heat-inactivated AB+ human serum).</w:t>
      </w:r>
    </w:p>
    <w:p w:rsidR="0083671F" w:rsidRPr="000230CD" w:rsidRDefault="0083671F" w:rsidP="0083671F">
      <w:pPr>
        <w:ind w:firstLine="720"/>
      </w:pPr>
      <w:r w:rsidRPr="000230CD">
        <w:lastRenderedPageBreak/>
        <w:t xml:space="preserve">Drug pressure was applied using either </w:t>
      </w:r>
      <w:proofErr w:type="spellStart"/>
      <w:r w:rsidRPr="000230CD">
        <w:t>blastocidin</w:t>
      </w:r>
      <w:proofErr w:type="spellEnd"/>
      <w:r w:rsidRPr="000230CD">
        <w:t xml:space="preserve"> at </w:t>
      </w:r>
      <w:r w:rsidR="00E11B9A">
        <w:t xml:space="preserve">2.5 </w:t>
      </w:r>
      <w:proofErr w:type="spellStart"/>
      <w:r w:rsidR="00E11B9A">
        <w:t>ug</w:t>
      </w:r>
      <w:proofErr w:type="spellEnd"/>
      <w:r w:rsidR="00E11B9A">
        <w:t>/ml</w:t>
      </w:r>
      <w:r w:rsidRPr="000230CD">
        <w:t xml:space="preserve"> for </w:t>
      </w:r>
      <w:proofErr w:type="spellStart"/>
      <w:r w:rsidRPr="000230CD">
        <w:t>pCAM</w:t>
      </w:r>
      <w:proofErr w:type="spellEnd"/>
      <w:r w:rsidRPr="000230CD">
        <w:t>-BSD-</w:t>
      </w:r>
      <w:proofErr w:type="spellStart"/>
      <w:r w:rsidRPr="000230CD">
        <w:t>PfPM</w:t>
      </w:r>
      <w:proofErr w:type="spellEnd"/>
      <w:r w:rsidRPr="000230CD">
        <w:t xml:space="preserve"> VII </w:t>
      </w:r>
      <w:proofErr w:type="spellStart"/>
      <w:r w:rsidRPr="000230CD">
        <w:t>transfected</w:t>
      </w:r>
      <w:proofErr w:type="spellEnd"/>
      <w:r w:rsidRPr="000230CD">
        <w:t xml:space="preserve"> parasites or the anti-</w:t>
      </w:r>
      <w:proofErr w:type="spellStart"/>
      <w:r w:rsidRPr="000230CD">
        <w:t>folate</w:t>
      </w:r>
      <w:proofErr w:type="spellEnd"/>
      <w:r w:rsidRPr="000230CD">
        <w:t xml:space="preserve"> drug WR99210 at 2.5 </w:t>
      </w:r>
      <w:proofErr w:type="spellStart"/>
      <w:r w:rsidRPr="000230CD">
        <w:t>nM</w:t>
      </w:r>
      <w:proofErr w:type="spellEnd"/>
      <w:r w:rsidRPr="000230CD">
        <w:t xml:space="preserve"> for </w:t>
      </w:r>
      <w:proofErr w:type="spellStart"/>
      <w:r w:rsidRPr="000230CD">
        <w:t>pHDWT-PfPM</w:t>
      </w:r>
      <w:proofErr w:type="spellEnd"/>
      <w:r w:rsidRPr="000230CD">
        <w:t xml:space="preserve"> X transfected parasites. Drug pressure was started 24-48 hours after transfection and continued daily; 50 µl of blood was added to cultures under selection every 3 days and cultures were split every 10 days until parasite replication rates maintained wild-type levels for one week </w:t>
      </w:r>
      <w:r w:rsidR="00A53985" w:rsidRPr="000230CD">
        <w:fldChar w:fldCharType="begin"/>
      </w:r>
      <w:r w:rsidR="002E415B">
        <w:instrText xml:space="preserve"> ADDIN EN.CITE &lt;EndNote&gt;&lt;Cite&gt;&lt;Author&gt;Fidock&lt;/Author&gt;&lt;Year&gt;1998&lt;/Year&gt;&lt;RecNum&gt;2924&lt;/RecNum&gt;&lt;DisplayText&gt;[3]&lt;/DisplayText&gt;&lt;record&gt;&lt;rec-number&gt;2924&lt;/rec-number&gt;&lt;foreign-keys&gt;&lt;key app="EN" db-id="dw5z0t0vzrseauewres5rrfqz5atxffds55r"&gt;2924&lt;/key&gt;&lt;/foreign-keys&gt;&lt;ref-type name="Journal Article"&gt;17&lt;/ref-type&gt;&lt;contributors&gt;&lt;authors&gt;&lt;author&gt;Fidock, D. A.&lt;/author&gt;&lt;author&gt;Nomura, T.&lt;/author&gt;&lt;author&gt;Wellems, T. E.&lt;/author&gt;&lt;/authors&gt;&lt;/contributors&gt;&lt;auth-address&gt;Malaria Genetics Section, Laboratory of Parasitic Diseases, National Institute of Allergy and Infectious Diseases, National Institutes of Health, Bethesda, Maryland 20892-0425, USA.&lt;/auth-address&gt;&lt;titles&gt;&lt;title&gt;Cycloguanil and its parent compound proguanil demonstrate distinct activities against Plasmodium falciparum malaria parasites transformed with human dihydrofolate reductase&lt;/title&gt;&lt;secondary-title&gt;Mol Pharmacol&lt;/secondary-title&gt;&lt;/titles&gt;&lt;periodical&gt;&lt;full-title&gt;Mol Pharmacol&lt;/full-title&gt;&lt;/periodical&gt;&lt;pages&gt;1140-7&lt;/pages&gt;&lt;volume&gt;54&lt;/volume&gt;&lt;number&gt;6&lt;/number&gt;&lt;edition&gt;1998/12/18&lt;/edition&gt;&lt;keywords&gt;&lt;keyword&gt;Animals&lt;/keyword&gt;&lt;keyword&gt;Antimalarials/*pharmacology&lt;/keyword&gt;&lt;keyword&gt;Folic Acid Antagonists/pharmacology&lt;/keyword&gt;&lt;keyword&gt;Genetic Complementation Test&lt;/keyword&gt;&lt;keyword&gt;Humans&lt;/keyword&gt;&lt;keyword&gt;Hypoxanthine/metabolism&lt;/keyword&gt;&lt;keyword&gt;Inhibitory Concentration 50&lt;/keyword&gt;&lt;keyword&gt;Methotrexate/pharmacology&lt;/keyword&gt;&lt;keyword&gt;Mutation&lt;/keyword&gt;&lt;keyword&gt;Plasmodium falciparum/*drug effects/enzymology/genetics&lt;/keyword&gt;&lt;keyword&gt;Proguanil/*pharmacology&lt;/keyword&gt;&lt;keyword&gt;Tetrahydrofolate Dehydrogenase/*biosynthesis/genetics&lt;/keyword&gt;&lt;keyword&gt;Triazines/*pharmacology&lt;/keyword&gt;&lt;/keywords&gt;&lt;dates&gt;&lt;year&gt;1998&lt;/year&gt;&lt;pub-dates&gt;&lt;date&gt;Dec&lt;/date&gt;&lt;/pub-dates&gt;&lt;/dates&gt;&lt;isbn&gt;0026-895X (Print)&amp;#xD;0026-895X (Linking)&lt;/isbn&gt;&lt;accession-num&gt;9855645&lt;/accession-num&gt;&lt;urls&gt;&lt;related-urls&gt;&lt;url&gt;http://www.ncbi.nlm.nih.gov/entrez/query.fcgi?cmd=Retrieve&amp;amp;db=PubMed&amp;amp;dopt=Citation&amp;amp;list_uids=9855645&lt;/url&gt;&lt;/related-urls&gt;&lt;/urls&gt;&lt;language&gt;eng&lt;/language&gt;&lt;/record&gt;&lt;/Cite&gt;&lt;/EndNote&gt;</w:instrText>
      </w:r>
      <w:r w:rsidR="00A53985" w:rsidRPr="000230CD">
        <w:fldChar w:fldCharType="separate"/>
      </w:r>
      <w:r w:rsidR="002E415B">
        <w:rPr>
          <w:noProof/>
        </w:rPr>
        <w:t>[3]</w:t>
      </w:r>
      <w:r w:rsidR="00A53985" w:rsidRPr="000230CD">
        <w:fldChar w:fldCharType="end"/>
      </w:r>
      <w:r w:rsidRPr="000230CD">
        <w:t>. Transfected parasites were then selected with on-off drug pressure: cycles of drug pressure for two weeks followed by two weeks without drug pressure. When parasite replication rates under drug selection (on) were equal to replication rates without drug selection (off), parasites were cloned by limiting dilution and maintained under drug pressure for an additional two weeks. DNA was extracted from cloned, transfected parasites for PCR and southern blot analysis of knockout vector integration.</w:t>
      </w:r>
    </w:p>
    <w:p w:rsidR="0083671F" w:rsidRPr="000230CD" w:rsidRDefault="0083671F" w:rsidP="0083671F">
      <w:pPr>
        <w:ind w:firstLine="720"/>
      </w:pPr>
      <w:r w:rsidRPr="000230CD">
        <w:t xml:space="preserve">Southern blot analysis was done to determine whether drug-resistant parasites contained </w:t>
      </w:r>
      <w:proofErr w:type="spellStart"/>
      <w:r w:rsidRPr="000230CD">
        <w:t>genomically</w:t>
      </w:r>
      <w:proofErr w:type="spellEnd"/>
      <w:r w:rsidRPr="000230CD">
        <w:t xml:space="preserve"> disrupted </w:t>
      </w:r>
      <w:proofErr w:type="spellStart"/>
      <w:r w:rsidRPr="000230CD">
        <w:t>PfPM</w:t>
      </w:r>
      <w:proofErr w:type="spellEnd"/>
      <w:r w:rsidRPr="000230CD">
        <w:t xml:space="preserve"> VII or </w:t>
      </w:r>
      <w:proofErr w:type="spellStart"/>
      <w:r w:rsidRPr="000230CD">
        <w:t>PfPM</w:t>
      </w:r>
      <w:proofErr w:type="spellEnd"/>
      <w:r w:rsidRPr="000230CD">
        <w:t xml:space="preserve"> X. For Southern blot, probes were labelled with </w:t>
      </w:r>
      <w:proofErr w:type="spellStart"/>
      <w:r w:rsidRPr="000230CD">
        <w:t>digoxigenin</w:t>
      </w:r>
      <w:proofErr w:type="spellEnd"/>
      <w:r w:rsidRPr="000230CD">
        <w:t xml:space="preserve"> (DIG) by PCR using the PCR DIG Probe synthesis kit (Roche Applied Sciences, Indianapolis, IN, USA) according to manufacturer’s instructions. Southern blot analysis was done using Southern blot kit (Roche Applied Sciences, Indianapolis, IN, USA) according to manufacturer’s instructions. </w:t>
      </w:r>
    </w:p>
    <w:p w:rsidR="002E415B" w:rsidRDefault="002E415B">
      <w:bookmarkStart w:id="0" w:name="_GoBack"/>
      <w:bookmarkEnd w:id="0"/>
    </w:p>
    <w:p w:rsidR="002E415B" w:rsidRDefault="00C017E8">
      <w:r>
        <w:t>References</w:t>
      </w:r>
    </w:p>
    <w:p w:rsidR="00806056" w:rsidRDefault="00806056"/>
    <w:p w:rsidR="002E415B" w:rsidRDefault="00A53985" w:rsidP="002E415B">
      <w:pPr>
        <w:pStyle w:val="EndNoteBibliography"/>
        <w:ind w:left="720" w:hanging="720"/>
        <w:rPr>
          <w:noProof/>
        </w:rPr>
      </w:pPr>
      <w:r w:rsidRPr="00A53985">
        <w:fldChar w:fldCharType="begin"/>
      </w:r>
      <w:r w:rsidR="002E415B">
        <w:instrText xml:space="preserve"> ADDIN EN.REFLIST </w:instrText>
      </w:r>
      <w:r w:rsidRPr="00A53985">
        <w:fldChar w:fldCharType="separate"/>
      </w:r>
      <w:r w:rsidR="002E415B" w:rsidRPr="002E415B">
        <w:rPr>
          <w:noProof/>
        </w:rPr>
        <w:t>1.</w:t>
      </w:r>
      <w:r w:rsidR="002E415B" w:rsidRPr="002E415B">
        <w:rPr>
          <w:noProof/>
        </w:rPr>
        <w:tab/>
        <w:t xml:space="preserve">Sidhu AB, Valderramos SG, Fidock DA: </w:t>
      </w:r>
      <w:r w:rsidR="002E415B" w:rsidRPr="002E415B">
        <w:rPr>
          <w:b/>
          <w:noProof/>
        </w:rPr>
        <w:t>pfmdr1 mutations contribute to quinine resistance and enhance mefloquine and artemisinin sensitivity in Plasmodium falciparum.</w:t>
      </w:r>
      <w:r w:rsidR="002E415B" w:rsidRPr="002E415B">
        <w:rPr>
          <w:noProof/>
        </w:rPr>
        <w:t xml:space="preserve"> </w:t>
      </w:r>
      <w:r w:rsidR="002E415B" w:rsidRPr="002E415B">
        <w:rPr>
          <w:i/>
          <w:noProof/>
        </w:rPr>
        <w:t xml:space="preserve">Mol Microbiol </w:t>
      </w:r>
      <w:r w:rsidR="002E415B" w:rsidRPr="002E415B">
        <w:rPr>
          <w:noProof/>
        </w:rPr>
        <w:t xml:space="preserve">2005, </w:t>
      </w:r>
      <w:r w:rsidR="002E415B" w:rsidRPr="002E415B">
        <w:rPr>
          <w:b/>
          <w:noProof/>
        </w:rPr>
        <w:t>57:</w:t>
      </w:r>
      <w:r w:rsidR="002E415B" w:rsidRPr="002E415B">
        <w:rPr>
          <w:noProof/>
        </w:rPr>
        <w:t>913-926.</w:t>
      </w:r>
    </w:p>
    <w:p w:rsidR="00806056" w:rsidRPr="002E415B" w:rsidRDefault="00806056" w:rsidP="002E415B">
      <w:pPr>
        <w:pStyle w:val="EndNoteBibliography"/>
        <w:ind w:left="720" w:hanging="720"/>
        <w:rPr>
          <w:noProof/>
        </w:rPr>
      </w:pPr>
    </w:p>
    <w:p w:rsidR="002E415B" w:rsidRDefault="002E415B" w:rsidP="002E415B">
      <w:pPr>
        <w:pStyle w:val="EndNoteBibliography"/>
        <w:ind w:left="720" w:hanging="720"/>
        <w:rPr>
          <w:noProof/>
        </w:rPr>
      </w:pPr>
      <w:r w:rsidRPr="002E415B">
        <w:rPr>
          <w:noProof/>
        </w:rPr>
        <w:lastRenderedPageBreak/>
        <w:t>2.</w:t>
      </w:r>
      <w:r w:rsidRPr="002E415B">
        <w:rPr>
          <w:noProof/>
        </w:rPr>
        <w:tab/>
        <w:t xml:space="preserve">Fidock DA, Wellems TE: </w:t>
      </w:r>
      <w:r w:rsidRPr="002E415B">
        <w:rPr>
          <w:b/>
          <w:noProof/>
        </w:rPr>
        <w:t>Transformation with human dihydrofolate reductase renders malaria parasites insensitive to WR99210 but does not affect the intrinsic activity of proguanil.</w:t>
      </w:r>
      <w:r w:rsidRPr="002E415B">
        <w:rPr>
          <w:noProof/>
        </w:rPr>
        <w:t xml:space="preserve"> </w:t>
      </w:r>
      <w:r w:rsidRPr="002E415B">
        <w:rPr>
          <w:i/>
          <w:noProof/>
        </w:rPr>
        <w:t xml:space="preserve">Proc Natl Acad Sci U S A </w:t>
      </w:r>
      <w:r w:rsidRPr="002E415B">
        <w:rPr>
          <w:noProof/>
        </w:rPr>
        <w:t xml:space="preserve">1997, </w:t>
      </w:r>
      <w:r w:rsidRPr="002E415B">
        <w:rPr>
          <w:b/>
          <w:noProof/>
        </w:rPr>
        <w:t>94:</w:t>
      </w:r>
      <w:r w:rsidRPr="002E415B">
        <w:rPr>
          <w:noProof/>
        </w:rPr>
        <w:t>10931-10936.</w:t>
      </w:r>
    </w:p>
    <w:p w:rsidR="00806056" w:rsidRPr="002E415B" w:rsidRDefault="00806056" w:rsidP="002E415B">
      <w:pPr>
        <w:pStyle w:val="EndNoteBibliography"/>
        <w:ind w:left="720" w:hanging="720"/>
        <w:rPr>
          <w:noProof/>
        </w:rPr>
      </w:pPr>
    </w:p>
    <w:p w:rsidR="002E415B" w:rsidRPr="002E415B" w:rsidRDefault="002E415B" w:rsidP="002E415B">
      <w:pPr>
        <w:pStyle w:val="EndNoteBibliography"/>
        <w:ind w:left="720" w:hanging="720"/>
        <w:rPr>
          <w:noProof/>
        </w:rPr>
      </w:pPr>
      <w:r w:rsidRPr="002E415B">
        <w:rPr>
          <w:noProof/>
        </w:rPr>
        <w:t>3.</w:t>
      </w:r>
      <w:r w:rsidRPr="002E415B">
        <w:rPr>
          <w:noProof/>
        </w:rPr>
        <w:tab/>
        <w:t xml:space="preserve">Fidock DA, Nomura T, Wellems TE: </w:t>
      </w:r>
      <w:r w:rsidRPr="002E415B">
        <w:rPr>
          <w:b/>
          <w:noProof/>
        </w:rPr>
        <w:t>Cycloguanil and its parent compound proguanil demonstrate distinct activities against Plasmodium falciparum malaria parasites transformed with human dihydrofolate reductase.</w:t>
      </w:r>
      <w:r w:rsidRPr="002E415B">
        <w:rPr>
          <w:noProof/>
        </w:rPr>
        <w:t xml:space="preserve"> </w:t>
      </w:r>
      <w:r w:rsidRPr="002E415B">
        <w:rPr>
          <w:i/>
          <w:noProof/>
        </w:rPr>
        <w:t xml:space="preserve">Mol Pharmacol </w:t>
      </w:r>
      <w:r w:rsidRPr="002E415B">
        <w:rPr>
          <w:noProof/>
        </w:rPr>
        <w:t xml:space="preserve">1998, </w:t>
      </w:r>
      <w:r w:rsidRPr="002E415B">
        <w:rPr>
          <w:b/>
          <w:noProof/>
        </w:rPr>
        <w:t>54:</w:t>
      </w:r>
      <w:r w:rsidRPr="002E415B">
        <w:rPr>
          <w:noProof/>
        </w:rPr>
        <w:t>1140-1147.</w:t>
      </w:r>
    </w:p>
    <w:p w:rsidR="00115AD8" w:rsidRDefault="00A53985">
      <w:r>
        <w:fldChar w:fldCharType="end"/>
      </w:r>
    </w:p>
    <w:sectPr w:rsidR="00115AD8" w:rsidSect="00275F77">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trackRevisions/>
  <w:defaultTabStop w:val="720"/>
  <w:characterSpacingControl w:val="doNotCompress"/>
  <w:compat>
    <w:useFELayout/>
  </w:compat>
  <w:docVars>
    <w:docVar w:name="EN.InstantFormat" w:val="&lt;ENInstantFormat&gt;&lt;Enabled&gt;1&lt;/Enabled&gt;&lt;ScanUnformatted&gt;1&lt;/ScanUnformatted&gt;&lt;ScanChanges&gt;1&lt;/ScanChanges&gt;&lt;Suspended&gt;0&lt;/Suspended&gt;&lt;/ENInstantFormat&gt;"/>
    <w:docVar w:name="EN.Layout" w:val="&lt;ENLayout&gt;&lt;Style&gt;Malaria 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e5teetkxpwwee2tw6ppery0zpfp55xeta9&quot;&gt;Additional file 1&lt;record-ids&gt;&lt;item&gt;2&lt;/item&gt;&lt;/record-ids&gt;&lt;/item&gt;&lt;/Libraries&gt;"/>
  </w:docVars>
  <w:rsids>
    <w:rsidRoot w:val="0083671F"/>
    <w:rsid w:val="00115AD8"/>
    <w:rsid w:val="00275F77"/>
    <w:rsid w:val="00292E28"/>
    <w:rsid w:val="002E415B"/>
    <w:rsid w:val="004A1FE2"/>
    <w:rsid w:val="00806056"/>
    <w:rsid w:val="0083671F"/>
    <w:rsid w:val="00A53985"/>
    <w:rsid w:val="00A65C87"/>
    <w:rsid w:val="00B43429"/>
    <w:rsid w:val="00B45F81"/>
    <w:rsid w:val="00C017E8"/>
    <w:rsid w:val="00C14AF6"/>
    <w:rsid w:val="00DC3179"/>
    <w:rsid w:val="00E11B9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71F"/>
    <w:pPr>
      <w:spacing w:line="480" w:lineRule="auto"/>
    </w:pPr>
    <w:rPr>
      <w:rFonts w:ascii="Times New Roman" w:eastAsia="Times New Roman" w:hAnsi="Times New Roman" w:cs="Times New Roman"/>
      <w:lang w:val="en-GB"/>
    </w:rPr>
  </w:style>
  <w:style w:type="paragraph" w:styleId="Heading3">
    <w:name w:val="heading 3"/>
    <w:basedOn w:val="Normal"/>
    <w:next w:val="Normal"/>
    <w:link w:val="Heading3Char"/>
    <w:qFormat/>
    <w:rsid w:val="0083671F"/>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3671F"/>
    <w:rPr>
      <w:rFonts w:ascii="Times New Roman" w:eastAsia="Times New Roman" w:hAnsi="Times New Roman" w:cs="Times New Roman"/>
      <w:b/>
      <w:bCs/>
      <w:lang w:val="en-GB"/>
    </w:rPr>
  </w:style>
  <w:style w:type="paragraph" w:styleId="BalloonText">
    <w:name w:val="Balloon Text"/>
    <w:basedOn w:val="Normal"/>
    <w:link w:val="BalloonTextChar"/>
    <w:uiPriority w:val="99"/>
    <w:semiHidden/>
    <w:unhideWhenUsed/>
    <w:rsid w:val="00E11B9A"/>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1B9A"/>
    <w:rPr>
      <w:rFonts w:ascii="Lucida Grande" w:eastAsia="Times New Roman" w:hAnsi="Lucida Grande" w:cs="Lucida Grande"/>
      <w:sz w:val="18"/>
      <w:szCs w:val="18"/>
      <w:lang w:val="en-GB"/>
    </w:rPr>
  </w:style>
  <w:style w:type="paragraph" w:customStyle="1" w:styleId="EndNoteBibliographyTitle">
    <w:name w:val="EndNote Bibliography Title"/>
    <w:basedOn w:val="Normal"/>
    <w:rsid w:val="002E415B"/>
    <w:pPr>
      <w:jc w:val="center"/>
    </w:pPr>
    <w:rPr>
      <w:lang w:val="en-US"/>
    </w:rPr>
  </w:style>
  <w:style w:type="paragraph" w:customStyle="1" w:styleId="EndNoteBibliography">
    <w:name w:val="EndNote Bibliography"/>
    <w:basedOn w:val="Normal"/>
    <w:rsid w:val="002E415B"/>
    <w:pPr>
      <w:spacing w:line="240" w:lineRule="auto"/>
    </w:pPr>
    <w:rPr>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71F"/>
    <w:pPr>
      <w:spacing w:line="480" w:lineRule="auto"/>
    </w:pPr>
    <w:rPr>
      <w:rFonts w:ascii="Times New Roman" w:eastAsia="Times New Roman" w:hAnsi="Times New Roman" w:cs="Times New Roman"/>
      <w:lang w:val="en-GB"/>
    </w:rPr>
  </w:style>
  <w:style w:type="paragraph" w:styleId="Heading3">
    <w:name w:val="heading 3"/>
    <w:basedOn w:val="Normal"/>
    <w:next w:val="Normal"/>
    <w:link w:val="Heading3Char"/>
    <w:qFormat/>
    <w:rsid w:val="0083671F"/>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3671F"/>
    <w:rPr>
      <w:rFonts w:ascii="Times New Roman" w:eastAsia="Times New Roman" w:hAnsi="Times New Roman" w:cs="Times New Roman"/>
      <w:b/>
      <w:bCs/>
      <w:lang w:val="en-GB"/>
    </w:rPr>
  </w:style>
  <w:style w:type="paragraph" w:styleId="BalloonText">
    <w:name w:val="Balloon Text"/>
    <w:basedOn w:val="Normal"/>
    <w:link w:val="BalloonTextChar"/>
    <w:uiPriority w:val="99"/>
    <w:semiHidden/>
    <w:unhideWhenUsed/>
    <w:rsid w:val="00E11B9A"/>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1B9A"/>
    <w:rPr>
      <w:rFonts w:ascii="Lucida Grande" w:eastAsia="Times New Roman" w:hAnsi="Lucida Grande" w:cs="Lucida Grande"/>
      <w:sz w:val="18"/>
      <w:szCs w:val="18"/>
      <w:lang w:val="en-GB"/>
    </w:rPr>
  </w:style>
  <w:style w:type="paragraph" w:customStyle="1" w:styleId="EndNoteBibliographyTitle">
    <w:name w:val="EndNote Bibliography Title"/>
    <w:basedOn w:val="Normal"/>
    <w:rsid w:val="002E415B"/>
    <w:pPr>
      <w:jc w:val="center"/>
    </w:pPr>
    <w:rPr>
      <w:lang w:val="en-US"/>
    </w:rPr>
  </w:style>
  <w:style w:type="paragraph" w:customStyle="1" w:styleId="EndNoteBibliography">
    <w:name w:val="EndNote Bibliography"/>
    <w:basedOn w:val="Normal"/>
    <w:rsid w:val="002E415B"/>
    <w:pPr>
      <w:spacing w:line="240" w:lineRule="auto"/>
    </w:pPr>
    <w:rPr>
      <w:lang w:val="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1153</Words>
  <Characters>6576</Characters>
  <Application>Microsoft Office Word</Application>
  <DocSecurity>0</DocSecurity>
  <Lines>54</Lines>
  <Paragraphs>15</Paragraphs>
  <ScaleCrop>false</ScaleCrop>
  <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Fengwu Li</dc:creator>
  <cp:keywords/>
  <dc:description/>
  <cp:lastModifiedBy>0000431</cp:lastModifiedBy>
  <cp:revision>5</cp:revision>
  <dcterms:created xsi:type="dcterms:W3CDTF">2016-02-14T19:50:00Z</dcterms:created>
  <dcterms:modified xsi:type="dcterms:W3CDTF">2016-02-17T03:46:00Z</dcterms:modified>
</cp:coreProperties>
</file>