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4C0FC" w14:textId="77777777" w:rsidR="00607298" w:rsidRPr="00083BDD" w:rsidRDefault="00607298" w:rsidP="00083BDD">
      <w:pPr>
        <w:keepNext/>
        <w:spacing w:before="240" w:after="60"/>
        <w:outlineLvl w:val="0"/>
        <w:rPr>
          <w:rFonts w:ascii="Arial" w:hAnsi="Arial" w:cs="Arial"/>
          <w:b/>
          <w:bCs/>
          <w:noProof w:val="0"/>
          <w:kern w:val="32"/>
          <w:sz w:val="32"/>
          <w:szCs w:val="32"/>
          <w:lang w:val="en-US"/>
        </w:rPr>
      </w:pPr>
      <w:r w:rsidRPr="00083BDD">
        <w:rPr>
          <w:rFonts w:ascii="Arial" w:hAnsi="Arial" w:cs="Arial"/>
          <w:b/>
          <w:bCs/>
          <w:noProof w:val="0"/>
          <w:kern w:val="32"/>
          <w:sz w:val="32"/>
          <w:szCs w:val="32"/>
          <w:lang w:val="en-US"/>
        </w:rPr>
        <w:t xml:space="preserve">Adhesion of </w:t>
      </w:r>
      <w:r w:rsidRPr="00083BDD">
        <w:rPr>
          <w:rFonts w:ascii="Arial" w:hAnsi="Arial" w:cs="Arial"/>
          <w:b/>
          <w:bCs/>
          <w:i/>
          <w:noProof w:val="0"/>
          <w:kern w:val="32"/>
          <w:sz w:val="32"/>
          <w:szCs w:val="32"/>
          <w:lang w:val="en-US"/>
        </w:rPr>
        <w:t>Plasmodium falciparum</w:t>
      </w:r>
      <w:r w:rsidRPr="00083BDD">
        <w:rPr>
          <w:rFonts w:ascii="Arial" w:hAnsi="Arial" w:cs="Arial"/>
          <w:b/>
          <w:bCs/>
          <w:noProof w:val="0"/>
          <w:kern w:val="32"/>
          <w:sz w:val="32"/>
          <w:szCs w:val="32"/>
          <w:lang w:val="en-US"/>
        </w:rPr>
        <w:t xml:space="preserve"> infected erythrocytes in </w:t>
      </w:r>
      <w:r w:rsidRPr="00083BDD">
        <w:rPr>
          <w:rFonts w:ascii="Arial" w:hAnsi="Arial" w:cs="Arial"/>
          <w:b/>
          <w:bCs/>
          <w:i/>
          <w:noProof w:val="0"/>
          <w:kern w:val="32"/>
          <w:sz w:val="32"/>
          <w:szCs w:val="32"/>
          <w:lang w:val="en-US"/>
        </w:rPr>
        <w:t>ex vivo</w:t>
      </w:r>
      <w:r w:rsidRPr="00083BDD">
        <w:rPr>
          <w:rFonts w:ascii="Arial" w:hAnsi="Arial" w:cs="Arial"/>
          <w:b/>
          <w:bCs/>
          <w:noProof w:val="0"/>
          <w:kern w:val="32"/>
          <w:sz w:val="32"/>
          <w:szCs w:val="32"/>
          <w:lang w:val="en-US"/>
        </w:rPr>
        <w:t xml:space="preserve"> perfused placental tissue – a novel model of placental malaria</w:t>
      </w:r>
    </w:p>
    <w:p w14:paraId="3E3C4EA0" w14:textId="77777777" w:rsidR="00607298" w:rsidRPr="00083BDD" w:rsidRDefault="00607298" w:rsidP="00083BDD">
      <w:pPr>
        <w:rPr>
          <w:noProof w:val="0"/>
          <w:lang w:val="en-US"/>
        </w:rPr>
      </w:pPr>
    </w:p>
    <w:p w14:paraId="2AA12A1E" w14:textId="77777777" w:rsidR="00607298" w:rsidRPr="00B41D7B" w:rsidRDefault="00607298" w:rsidP="00B41D7B">
      <w:pPr>
        <w:keepNext/>
        <w:outlineLvl w:val="2"/>
        <w:rPr>
          <w:bCs/>
          <w:vertAlign w:val="superscript"/>
          <w:lang w:val="en-US"/>
        </w:rPr>
      </w:pPr>
      <w:r w:rsidRPr="00B41D7B">
        <w:rPr>
          <w:bCs/>
          <w:noProof w:val="0"/>
          <w:lang w:val="en-US"/>
        </w:rPr>
        <w:t>Caroline Pehrson</w:t>
      </w:r>
      <w:r w:rsidRPr="00B41D7B">
        <w:rPr>
          <w:bCs/>
          <w:noProof w:val="0"/>
          <w:vertAlign w:val="superscript"/>
          <w:lang w:val="en-US"/>
        </w:rPr>
        <w:t>1</w:t>
      </w:r>
      <w:r w:rsidRPr="00B41D7B">
        <w:rPr>
          <w:bCs/>
          <w:noProof w:val="0"/>
          <w:lang w:val="en-US"/>
        </w:rPr>
        <w:t>*</w:t>
      </w:r>
      <w:r w:rsidRPr="00B41D7B">
        <w:rPr>
          <w:bCs/>
          <w:noProof w:val="0"/>
          <w:vertAlign w:val="superscript"/>
          <w:lang w:val="en-US"/>
        </w:rPr>
        <w:t>§</w:t>
      </w:r>
      <w:r w:rsidRPr="00B41D7B">
        <w:rPr>
          <w:bCs/>
          <w:noProof w:val="0"/>
          <w:lang w:val="en-US"/>
        </w:rPr>
        <w:t xml:space="preserve">, Line </w:t>
      </w:r>
      <w:proofErr w:type="spellStart"/>
      <w:r w:rsidRPr="00B41D7B">
        <w:rPr>
          <w:bCs/>
          <w:noProof w:val="0"/>
          <w:lang w:val="en-US"/>
        </w:rPr>
        <w:t>Mathiesen</w:t>
      </w:r>
      <w:proofErr w:type="spellEnd"/>
      <w:r w:rsidRPr="00B41D7B">
        <w:rPr>
          <w:bCs/>
          <w:noProof w:val="0"/>
          <w:vertAlign w:val="superscript"/>
          <w:lang w:val="en-US"/>
        </w:rPr>
        <w:t xml:space="preserve"> 2§</w:t>
      </w:r>
      <w:r w:rsidRPr="00B41D7B">
        <w:rPr>
          <w:bCs/>
          <w:noProof w:val="0"/>
          <w:lang w:val="en-US"/>
        </w:rPr>
        <w:t>, Kristine K Heno</w:t>
      </w:r>
      <w:r w:rsidRPr="00B41D7B">
        <w:rPr>
          <w:bCs/>
          <w:noProof w:val="0"/>
          <w:vertAlign w:val="superscript"/>
          <w:lang w:val="en-US"/>
        </w:rPr>
        <w:t>1</w:t>
      </w:r>
      <w:r w:rsidRPr="00B41D7B">
        <w:rPr>
          <w:bCs/>
          <w:noProof w:val="0"/>
          <w:lang w:val="en-US"/>
        </w:rPr>
        <w:t>, Ali Salanti</w:t>
      </w:r>
      <w:r w:rsidRPr="00B41D7B">
        <w:rPr>
          <w:bCs/>
          <w:noProof w:val="0"/>
          <w:vertAlign w:val="superscript"/>
          <w:lang w:val="en-US"/>
        </w:rPr>
        <w:t>1</w:t>
      </w:r>
      <w:r w:rsidRPr="00B41D7B">
        <w:rPr>
          <w:bCs/>
          <w:noProof w:val="0"/>
          <w:lang w:val="en-US"/>
        </w:rPr>
        <w:t xml:space="preserve">, </w:t>
      </w:r>
      <w:proofErr w:type="spellStart"/>
      <w:r w:rsidRPr="00B41D7B">
        <w:rPr>
          <w:bCs/>
          <w:noProof w:val="0"/>
          <w:lang w:val="en-US"/>
        </w:rPr>
        <w:t>Mafalda</w:t>
      </w:r>
      <w:proofErr w:type="spellEnd"/>
      <w:r w:rsidRPr="00B41D7B">
        <w:rPr>
          <w:bCs/>
          <w:noProof w:val="0"/>
          <w:lang w:val="en-US"/>
        </w:rPr>
        <w:t xml:space="preserve"> Resende</w:t>
      </w:r>
      <w:r w:rsidRPr="00B41D7B">
        <w:rPr>
          <w:bCs/>
          <w:noProof w:val="0"/>
          <w:vertAlign w:val="superscript"/>
          <w:lang w:val="en-US"/>
        </w:rPr>
        <w:t>1</w:t>
      </w:r>
      <w:r w:rsidRPr="00B41D7B">
        <w:rPr>
          <w:bCs/>
          <w:noProof w:val="0"/>
          <w:lang w:val="en-US"/>
        </w:rPr>
        <w:t>, Ron Dzikowski</w:t>
      </w:r>
      <w:r w:rsidRPr="00B41D7B">
        <w:rPr>
          <w:bCs/>
          <w:noProof w:val="0"/>
          <w:vertAlign w:val="superscript"/>
          <w:lang w:val="en-US"/>
        </w:rPr>
        <w:t>3</w:t>
      </w:r>
      <w:r w:rsidRPr="00B41D7B">
        <w:rPr>
          <w:bCs/>
          <w:noProof w:val="0"/>
          <w:lang w:val="en-US"/>
        </w:rPr>
        <w:t>, Peter Damm</w:t>
      </w:r>
      <w:r w:rsidRPr="00B41D7B">
        <w:rPr>
          <w:bCs/>
          <w:noProof w:val="0"/>
          <w:vertAlign w:val="superscript"/>
          <w:lang w:val="en-US"/>
        </w:rPr>
        <w:t>4</w:t>
      </w:r>
      <w:r w:rsidRPr="00B41D7B">
        <w:rPr>
          <w:bCs/>
          <w:noProof w:val="0"/>
          <w:lang w:val="en-US"/>
        </w:rPr>
        <w:t>, Stefan R Hansson</w:t>
      </w:r>
      <w:r w:rsidRPr="00B41D7B">
        <w:rPr>
          <w:bCs/>
          <w:noProof w:val="0"/>
          <w:vertAlign w:val="superscript"/>
          <w:lang w:val="en-US"/>
        </w:rPr>
        <w:t>5</w:t>
      </w:r>
      <w:r w:rsidRPr="00B41D7B">
        <w:rPr>
          <w:bCs/>
          <w:noProof w:val="0"/>
          <w:lang w:val="en-US"/>
        </w:rPr>
        <w:t>, Christopher L King</w:t>
      </w:r>
      <w:r w:rsidRPr="00B41D7B">
        <w:rPr>
          <w:bCs/>
          <w:noProof w:val="0"/>
          <w:vertAlign w:val="superscript"/>
          <w:lang w:val="en-US"/>
        </w:rPr>
        <w:t>6</w:t>
      </w:r>
      <w:r w:rsidRPr="00B41D7B">
        <w:rPr>
          <w:bCs/>
          <w:noProof w:val="0"/>
          <w:lang w:val="en-US"/>
        </w:rPr>
        <w:t>, Henning Schneider</w:t>
      </w:r>
      <w:r w:rsidRPr="00B41D7B">
        <w:rPr>
          <w:bCs/>
          <w:noProof w:val="0"/>
          <w:vertAlign w:val="superscript"/>
          <w:lang w:val="en-US"/>
        </w:rPr>
        <w:t>7</w:t>
      </w:r>
      <w:r w:rsidRPr="00B41D7B">
        <w:rPr>
          <w:bCs/>
          <w:noProof w:val="0"/>
          <w:lang w:val="en-US"/>
        </w:rPr>
        <w:t xml:space="preserve">, </w:t>
      </w:r>
      <w:r w:rsidRPr="00B41D7B">
        <w:rPr>
          <w:bCs/>
          <w:lang w:val="en-US"/>
        </w:rPr>
        <w:t>Christian W Wang</w:t>
      </w:r>
      <w:r w:rsidRPr="00B41D7B">
        <w:rPr>
          <w:bCs/>
          <w:vertAlign w:val="superscript"/>
          <w:lang w:val="en-US"/>
        </w:rPr>
        <w:t>1</w:t>
      </w:r>
      <w:r w:rsidRPr="00B41D7B">
        <w:rPr>
          <w:bCs/>
          <w:lang w:val="en-US"/>
        </w:rPr>
        <w:t>, Thomas Lavstsen</w:t>
      </w:r>
      <w:r w:rsidRPr="00B41D7B">
        <w:rPr>
          <w:bCs/>
          <w:vertAlign w:val="superscript"/>
          <w:lang w:val="en-US"/>
        </w:rPr>
        <w:t>1</w:t>
      </w:r>
      <w:r w:rsidRPr="00B41D7B">
        <w:rPr>
          <w:bCs/>
          <w:lang w:val="en-US"/>
        </w:rPr>
        <w:t xml:space="preserve">, </w:t>
      </w:r>
      <w:r w:rsidRPr="00B41D7B">
        <w:rPr>
          <w:bCs/>
          <w:noProof w:val="0"/>
          <w:lang w:val="en-US"/>
        </w:rPr>
        <w:t>Thor G Theander</w:t>
      </w:r>
      <w:r w:rsidRPr="00B41D7B">
        <w:rPr>
          <w:bCs/>
          <w:noProof w:val="0"/>
          <w:vertAlign w:val="superscript"/>
          <w:lang w:val="en-US"/>
        </w:rPr>
        <w:t>1</w:t>
      </w:r>
      <w:r w:rsidRPr="00B41D7B">
        <w:rPr>
          <w:bCs/>
          <w:noProof w:val="0"/>
          <w:lang w:val="en-US"/>
        </w:rPr>
        <w:t xml:space="preserve">, </w:t>
      </w:r>
      <w:proofErr w:type="spellStart"/>
      <w:r w:rsidRPr="00B41D7B">
        <w:rPr>
          <w:bCs/>
          <w:noProof w:val="0"/>
          <w:lang w:val="en-US"/>
        </w:rPr>
        <w:t>Lisbeth</w:t>
      </w:r>
      <w:proofErr w:type="spellEnd"/>
      <w:r w:rsidRPr="00B41D7B">
        <w:rPr>
          <w:bCs/>
          <w:noProof w:val="0"/>
          <w:lang w:val="en-US"/>
        </w:rPr>
        <w:t xml:space="preserve"> E Knudsen</w:t>
      </w:r>
      <w:r w:rsidRPr="00B41D7B">
        <w:rPr>
          <w:bCs/>
          <w:noProof w:val="0"/>
          <w:vertAlign w:val="superscript"/>
          <w:lang w:val="en-US"/>
        </w:rPr>
        <w:t>2</w:t>
      </w:r>
      <w:r w:rsidRPr="00B41D7B">
        <w:rPr>
          <w:bCs/>
          <w:noProof w:val="0"/>
          <w:lang w:val="en-US"/>
        </w:rPr>
        <w:t>, Morten A Nielsen</w:t>
      </w:r>
      <w:r w:rsidRPr="00B41D7B">
        <w:rPr>
          <w:bCs/>
          <w:noProof w:val="0"/>
          <w:vertAlign w:val="superscript"/>
          <w:lang w:val="en-US"/>
        </w:rPr>
        <w:t>1*</w:t>
      </w:r>
    </w:p>
    <w:p w14:paraId="03D97A26" w14:textId="77777777" w:rsidR="00607298" w:rsidRPr="00B41D7B" w:rsidRDefault="00607298" w:rsidP="00B41D7B">
      <w:pPr>
        <w:rPr>
          <w:noProof w:val="0"/>
          <w:lang w:val="en-US"/>
        </w:rPr>
      </w:pPr>
    </w:p>
    <w:p w14:paraId="492FAE97" w14:textId="77777777" w:rsidR="00607298" w:rsidRPr="00B41D7B" w:rsidRDefault="00607298" w:rsidP="00B41D7B">
      <w:pPr>
        <w:rPr>
          <w:noProof w:val="0"/>
          <w:lang w:val="en-US"/>
        </w:rPr>
      </w:pPr>
      <w:r w:rsidRPr="00B41D7B">
        <w:rPr>
          <w:noProof w:val="0"/>
          <w:vertAlign w:val="superscript"/>
          <w:lang w:val="en-US"/>
        </w:rPr>
        <w:t>1</w:t>
      </w:r>
      <w:r w:rsidRPr="00B41D7B">
        <w:rPr>
          <w:noProof w:val="0"/>
          <w:color w:val="393939"/>
          <w:lang w:val="en-US"/>
        </w:rPr>
        <w:t>Centre for Medical Parasitology at Department of Immunology and Microbiology, Faculty of Health and Medical Sciences, University of Copenhagen and at Department of Infectious Diseases, Copenhagen University Hospital (</w:t>
      </w:r>
      <w:proofErr w:type="spellStart"/>
      <w:r w:rsidRPr="00B41D7B">
        <w:rPr>
          <w:noProof w:val="0"/>
          <w:color w:val="393939"/>
          <w:lang w:val="en-US"/>
        </w:rPr>
        <w:t>Rigshospitalet</w:t>
      </w:r>
      <w:proofErr w:type="spellEnd"/>
      <w:r w:rsidRPr="00B41D7B">
        <w:rPr>
          <w:noProof w:val="0"/>
          <w:color w:val="393939"/>
          <w:lang w:val="en-US"/>
        </w:rPr>
        <w:t>), Denmark</w:t>
      </w:r>
    </w:p>
    <w:p w14:paraId="4549A5D4" w14:textId="77777777" w:rsidR="00607298" w:rsidRPr="00B41D7B" w:rsidRDefault="00607298" w:rsidP="00B41D7B">
      <w:pPr>
        <w:rPr>
          <w:noProof w:val="0"/>
          <w:lang w:val="en-US"/>
        </w:rPr>
      </w:pPr>
      <w:r w:rsidRPr="00B41D7B">
        <w:rPr>
          <w:noProof w:val="0"/>
          <w:vertAlign w:val="superscript"/>
          <w:lang w:val="en-US"/>
        </w:rPr>
        <w:t>2</w:t>
      </w:r>
      <w:r w:rsidRPr="00B41D7B">
        <w:rPr>
          <w:noProof w:val="0"/>
          <w:lang w:val="en-US"/>
        </w:rPr>
        <w:t xml:space="preserve">Section of Environmental Health, Department of Public Health, University of Copenhagen, </w:t>
      </w:r>
      <w:proofErr w:type="spellStart"/>
      <w:r w:rsidRPr="00B41D7B">
        <w:rPr>
          <w:noProof w:val="0"/>
          <w:lang w:val="en-US"/>
        </w:rPr>
        <w:t>Øster</w:t>
      </w:r>
      <w:proofErr w:type="spellEnd"/>
      <w:r w:rsidRPr="00B41D7B">
        <w:rPr>
          <w:noProof w:val="0"/>
          <w:lang w:val="en-US"/>
        </w:rPr>
        <w:t xml:space="preserve"> </w:t>
      </w:r>
      <w:proofErr w:type="spellStart"/>
      <w:r w:rsidRPr="00B41D7B">
        <w:rPr>
          <w:noProof w:val="0"/>
          <w:lang w:val="en-US"/>
        </w:rPr>
        <w:t>Farimagsgade</w:t>
      </w:r>
      <w:proofErr w:type="spellEnd"/>
      <w:r w:rsidRPr="00B41D7B">
        <w:rPr>
          <w:noProof w:val="0"/>
          <w:lang w:val="en-US"/>
        </w:rPr>
        <w:t xml:space="preserve"> 5A, 1353 Copenhagen, Denmark, Denmark</w:t>
      </w:r>
    </w:p>
    <w:p w14:paraId="356BA117" w14:textId="77777777" w:rsidR="00607298" w:rsidRPr="00B41D7B" w:rsidRDefault="00607298" w:rsidP="00B41D7B">
      <w:pPr>
        <w:rPr>
          <w:noProof w:val="0"/>
          <w:lang w:val="en-US"/>
        </w:rPr>
      </w:pPr>
      <w:r w:rsidRPr="00B41D7B">
        <w:rPr>
          <w:noProof w:val="0"/>
          <w:vertAlign w:val="superscript"/>
          <w:lang w:val="en-US"/>
        </w:rPr>
        <w:t>3</w:t>
      </w:r>
      <w:r w:rsidRPr="00B41D7B">
        <w:rPr>
          <w:lang w:val="en-US"/>
        </w:rPr>
        <w:t>Department of Microbiology and Molecular Genetics, The Institute for Medical Research Israel - Canada, The Kuvin Center for the Study of Infectious and Tropical Diseases, The Hebrew University-Hadassah Medical School, Jerusalem 91120, Israel</w:t>
      </w:r>
    </w:p>
    <w:p w14:paraId="7D0FB87B" w14:textId="77777777" w:rsidR="00607298" w:rsidRPr="00B41D7B" w:rsidRDefault="00607298" w:rsidP="00B41D7B">
      <w:pPr>
        <w:rPr>
          <w:noProof w:val="0"/>
          <w:szCs w:val="16"/>
          <w:lang w:val="en-US"/>
        </w:rPr>
      </w:pPr>
      <w:r w:rsidRPr="00B41D7B">
        <w:rPr>
          <w:noProof w:val="0"/>
          <w:szCs w:val="16"/>
          <w:vertAlign w:val="superscript"/>
          <w:lang w:val="en-US"/>
        </w:rPr>
        <w:t>4</w:t>
      </w:r>
      <w:r w:rsidRPr="00B41D7B">
        <w:rPr>
          <w:noProof w:val="0"/>
          <w:szCs w:val="16"/>
          <w:lang w:val="en-US"/>
        </w:rPr>
        <w:t xml:space="preserve">Department of Obstetrics, </w:t>
      </w:r>
      <w:proofErr w:type="spellStart"/>
      <w:r w:rsidRPr="00B41D7B">
        <w:rPr>
          <w:noProof w:val="0"/>
          <w:szCs w:val="16"/>
          <w:lang w:val="en-US"/>
        </w:rPr>
        <w:t>Rigshospitalet</w:t>
      </w:r>
      <w:proofErr w:type="spellEnd"/>
      <w:r w:rsidRPr="00B41D7B">
        <w:rPr>
          <w:noProof w:val="0"/>
          <w:szCs w:val="16"/>
          <w:lang w:val="en-US"/>
        </w:rPr>
        <w:t xml:space="preserve">, Faculty of Health and Medical Sciences, University of Copenhagen, </w:t>
      </w:r>
      <w:proofErr w:type="spellStart"/>
      <w:r w:rsidRPr="00B41D7B">
        <w:rPr>
          <w:noProof w:val="0"/>
          <w:szCs w:val="16"/>
          <w:lang w:val="en-US"/>
        </w:rPr>
        <w:t>Blegdamsvej</w:t>
      </w:r>
      <w:proofErr w:type="spellEnd"/>
      <w:r w:rsidRPr="00B41D7B">
        <w:rPr>
          <w:noProof w:val="0"/>
          <w:szCs w:val="16"/>
          <w:lang w:val="en-US"/>
        </w:rPr>
        <w:t xml:space="preserve"> 9, 2100 Copenhagen Ø, Denmark.</w:t>
      </w:r>
    </w:p>
    <w:p w14:paraId="5F2551AD" w14:textId="77777777" w:rsidR="00607298" w:rsidRPr="00B41D7B" w:rsidRDefault="00607298" w:rsidP="00B41D7B">
      <w:pPr>
        <w:rPr>
          <w:noProof w:val="0"/>
          <w:lang w:val="en-US"/>
        </w:rPr>
      </w:pPr>
      <w:proofErr w:type="gramStart"/>
      <w:r w:rsidRPr="00B41D7B">
        <w:rPr>
          <w:noProof w:val="0"/>
          <w:vertAlign w:val="superscript"/>
          <w:lang w:val="en-US"/>
        </w:rPr>
        <w:t>5</w:t>
      </w:r>
      <w:r w:rsidRPr="00B41D7B">
        <w:rPr>
          <w:noProof w:val="0"/>
          <w:lang w:val="en-US"/>
        </w:rPr>
        <w:t>Division of Obstetrics and Gynecology, Department of Clinical Sciences Lund, Lund University, Sweden.</w:t>
      </w:r>
      <w:proofErr w:type="gramEnd"/>
    </w:p>
    <w:p w14:paraId="35BB3197" w14:textId="77777777" w:rsidR="00607298" w:rsidRPr="00B41D7B" w:rsidRDefault="00607298" w:rsidP="00B41D7B">
      <w:pPr>
        <w:rPr>
          <w:noProof w:val="0"/>
          <w:lang w:val="en-US"/>
        </w:rPr>
      </w:pPr>
      <w:r w:rsidRPr="00B41D7B">
        <w:rPr>
          <w:noProof w:val="0"/>
          <w:vertAlign w:val="superscript"/>
          <w:lang w:val="en-US"/>
        </w:rPr>
        <w:t>6</w:t>
      </w:r>
      <w:r w:rsidRPr="00B41D7B">
        <w:rPr>
          <w:noProof w:val="0"/>
          <w:lang w:val="en-US"/>
        </w:rPr>
        <w:t>Center for Global Health and Diseases, Case Western Reserve University and Veterans Affairs Medical Center, Cleveland, USA</w:t>
      </w:r>
    </w:p>
    <w:p w14:paraId="696A3C3A" w14:textId="77777777" w:rsidR="00607298" w:rsidRPr="00B41D7B" w:rsidRDefault="00607298" w:rsidP="00B41D7B">
      <w:pPr>
        <w:rPr>
          <w:noProof w:val="0"/>
          <w:lang w:val="en-US"/>
        </w:rPr>
      </w:pPr>
      <w:r w:rsidRPr="00B41D7B">
        <w:rPr>
          <w:noProof w:val="0"/>
          <w:vertAlign w:val="superscript"/>
          <w:lang w:val="en-US"/>
        </w:rPr>
        <w:lastRenderedPageBreak/>
        <w:t>7</w:t>
      </w:r>
      <w:r w:rsidRPr="00B41D7B">
        <w:rPr>
          <w:noProof w:val="0"/>
          <w:lang w:val="en-US"/>
        </w:rPr>
        <w:t xml:space="preserve">Department of Obstetrics and Gynecology, </w:t>
      </w:r>
      <w:proofErr w:type="spellStart"/>
      <w:r w:rsidRPr="00B41D7B">
        <w:rPr>
          <w:noProof w:val="0"/>
          <w:lang w:val="en-US"/>
        </w:rPr>
        <w:t>Inselspital</w:t>
      </w:r>
      <w:proofErr w:type="spellEnd"/>
      <w:r w:rsidRPr="00B41D7B">
        <w:rPr>
          <w:noProof w:val="0"/>
          <w:lang w:val="en-US"/>
        </w:rPr>
        <w:t>, Bern University Hospital, University of Bern, Switzerland</w:t>
      </w:r>
    </w:p>
    <w:p w14:paraId="2B957D20" w14:textId="77777777" w:rsidR="00607298" w:rsidRPr="00B41D7B" w:rsidRDefault="00607298" w:rsidP="00B41D7B">
      <w:pPr>
        <w:rPr>
          <w:noProof w:val="0"/>
          <w:lang w:val="en-US"/>
        </w:rPr>
      </w:pPr>
    </w:p>
    <w:p w14:paraId="20EDF85D" w14:textId="77777777" w:rsidR="00607298" w:rsidRPr="00B41D7B" w:rsidRDefault="00607298" w:rsidP="00B41D7B">
      <w:pPr>
        <w:rPr>
          <w:noProof w:val="0"/>
          <w:lang w:val="en-US"/>
        </w:rPr>
      </w:pPr>
      <w:r w:rsidRPr="00B41D7B">
        <w:rPr>
          <w:noProof w:val="0"/>
          <w:vertAlign w:val="superscript"/>
          <w:lang w:val="en-US"/>
        </w:rPr>
        <w:t>§</w:t>
      </w:r>
      <w:r w:rsidRPr="00B41D7B">
        <w:rPr>
          <w:noProof w:val="0"/>
          <w:lang w:val="en-US"/>
        </w:rPr>
        <w:t>These authors contributed equally to this work</w:t>
      </w:r>
    </w:p>
    <w:p w14:paraId="645DC30D" w14:textId="77777777" w:rsidR="00607298" w:rsidRPr="00B41D7B" w:rsidRDefault="00607298" w:rsidP="00B41D7B">
      <w:pPr>
        <w:rPr>
          <w:noProof w:val="0"/>
          <w:lang w:val="en-US"/>
        </w:rPr>
      </w:pPr>
    </w:p>
    <w:p w14:paraId="7C10BD8F" w14:textId="77777777" w:rsidR="00607298" w:rsidRPr="00B41D7B" w:rsidRDefault="00607298" w:rsidP="00B41D7B">
      <w:pPr>
        <w:rPr>
          <w:noProof w:val="0"/>
          <w:lang w:val="en-US"/>
        </w:rPr>
      </w:pPr>
      <w:r w:rsidRPr="00B41D7B">
        <w:rPr>
          <w:noProof w:val="0"/>
          <w:vertAlign w:val="superscript"/>
          <w:lang w:val="en-US"/>
        </w:rPr>
        <w:t>*</w:t>
      </w:r>
      <w:r w:rsidRPr="00B41D7B">
        <w:rPr>
          <w:noProof w:val="0"/>
          <w:lang w:val="en-US"/>
        </w:rPr>
        <w:t>Corresponding authors</w:t>
      </w:r>
    </w:p>
    <w:p w14:paraId="2945101C" w14:textId="77777777" w:rsidR="00607298" w:rsidRPr="00B41D7B" w:rsidRDefault="00607298" w:rsidP="00B41D7B">
      <w:r w:rsidRPr="00B41D7B">
        <w:t xml:space="preserve">Caroline Pehrson   +45-35332909, </w:t>
      </w:r>
      <w:hyperlink r:id="rId5" w:history="1">
        <w:r w:rsidRPr="00B41D7B">
          <w:rPr>
            <w:color w:val="0000FF"/>
            <w:u w:val="single"/>
          </w:rPr>
          <w:t>cpeh@sund.ku.dk</w:t>
        </w:r>
      </w:hyperlink>
    </w:p>
    <w:p w14:paraId="5987D112" w14:textId="77777777" w:rsidR="00607298" w:rsidRPr="00083BDD" w:rsidRDefault="00607298" w:rsidP="00B41D7B">
      <w:pPr>
        <w:rPr>
          <w:lang w:val="en-US"/>
        </w:rPr>
      </w:pPr>
      <w:r w:rsidRPr="00B41D7B">
        <w:t xml:space="preserve">Morten A Nielsen  +45-35326803, </w:t>
      </w:r>
      <w:hyperlink r:id="rId6" w:history="1">
        <w:r w:rsidRPr="00B41D7B">
          <w:rPr>
            <w:color w:val="0000FF"/>
            <w:u w:val="single"/>
          </w:rPr>
          <w:t>mortenn@sund.ku.dk</w:t>
        </w:r>
      </w:hyperlink>
      <w:r w:rsidRPr="00083BDD">
        <w:rPr>
          <w:lang w:val="en-US"/>
        </w:rPr>
        <w:br w:type="page"/>
      </w:r>
    </w:p>
    <w:p w14:paraId="4A6C83A5" w14:textId="77777777" w:rsidR="00607298" w:rsidRPr="00420EF5" w:rsidRDefault="00607298" w:rsidP="00420EF5">
      <w:pPr>
        <w:pStyle w:val="Heading1"/>
        <w:rPr>
          <w:rFonts w:ascii="Arial" w:hAnsi="Arial" w:cs="Arial"/>
          <w:color w:val="auto"/>
          <w:lang w:val="en-US"/>
        </w:rPr>
      </w:pPr>
      <w:r w:rsidRPr="00420EF5">
        <w:rPr>
          <w:rFonts w:ascii="Arial" w:hAnsi="Arial" w:cs="Arial"/>
          <w:color w:val="auto"/>
          <w:lang w:val="en-US"/>
        </w:rPr>
        <w:t xml:space="preserve">Maternal flow rate during </w:t>
      </w:r>
      <w:r w:rsidRPr="00420EF5">
        <w:rPr>
          <w:rFonts w:ascii="Arial" w:hAnsi="Arial" w:cs="Arial"/>
          <w:i/>
          <w:color w:val="auto"/>
          <w:lang w:val="en-US"/>
        </w:rPr>
        <w:t>ex vivo</w:t>
      </w:r>
      <w:r w:rsidRPr="00420EF5">
        <w:rPr>
          <w:rFonts w:ascii="Arial" w:hAnsi="Arial" w:cs="Arial"/>
          <w:color w:val="auto"/>
          <w:lang w:val="en-US"/>
        </w:rPr>
        <w:t xml:space="preserve"> placental perfusion</w:t>
      </w:r>
    </w:p>
    <w:p w14:paraId="40031E31" w14:textId="77777777" w:rsidR="00607298" w:rsidRDefault="00607298" w:rsidP="0077636E">
      <w:pPr>
        <w:rPr>
          <w:noProof w:val="0"/>
          <w:lang w:val="en-US"/>
        </w:rPr>
      </w:pPr>
      <w:r>
        <w:rPr>
          <w:noProof w:val="0"/>
          <w:lang w:val="en-US"/>
        </w:rPr>
        <w:t xml:space="preserve">The </w:t>
      </w:r>
      <w:proofErr w:type="gramStart"/>
      <w:r>
        <w:rPr>
          <w:noProof w:val="0"/>
          <w:lang w:val="en-US"/>
        </w:rPr>
        <w:t>details of the flow dynamics of a placental cotyledon still remains</w:t>
      </w:r>
      <w:proofErr w:type="gramEnd"/>
      <w:r>
        <w:rPr>
          <w:noProof w:val="0"/>
          <w:lang w:val="en-US"/>
        </w:rPr>
        <w:t xml:space="preserve"> to be elucidated, but different methods have been used to estimate the </w:t>
      </w:r>
      <w:proofErr w:type="spellStart"/>
      <w:r>
        <w:rPr>
          <w:noProof w:val="0"/>
          <w:lang w:val="en-US"/>
        </w:rPr>
        <w:t>intervillous</w:t>
      </w:r>
      <w:proofErr w:type="spellEnd"/>
      <w:r>
        <w:rPr>
          <w:noProof w:val="0"/>
          <w:lang w:val="en-US"/>
        </w:rPr>
        <w:t xml:space="preserve"> flow. </w:t>
      </w:r>
    </w:p>
    <w:p w14:paraId="52AA220E" w14:textId="77777777" w:rsidR="00607298" w:rsidRDefault="00607298" w:rsidP="00FB7923">
      <w:pPr>
        <w:rPr>
          <w:noProof w:val="0"/>
          <w:lang w:val="en-US"/>
        </w:rPr>
      </w:pPr>
      <w:proofErr w:type="spellStart"/>
      <w:r>
        <w:rPr>
          <w:noProof w:val="0"/>
        </w:rPr>
        <w:t>Rekonen</w:t>
      </w:r>
      <w:proofErr w:type="spellEnd"/>
      <w:r>
        <w:rPr>
          <w:noProof w:val="0"/>
        </w:rPr>
        <w:t xml:space="preserve"> et al </w:t>
      </w:r>
      <w:r>
        <w:t>[1]</w:t>
      </w:r>
      <w:r>
        <w:rPr>
          <w:noProof w:val="0"/>
        </w:rPr>
        <w:t xml:space="preserve"> </w:t>
      </w:r>
      <w:proofErr w:type="spellStart"/>
      <w:r>
        <w:rPr>
          <w:noProof w:val="0"/>
        </w:rPr>
        <w:t>used</w:t>
      </w:r>
      <w:proofErr w:type="spellEnd"/>
      <w:r>
        <w:rPr>
          <w:noProof w:val="0"/>
        </w:rPr>
        <w:t xml:space="preserve"> an </w:t>
      </w:r>
      <w:proofErr w:type="spellStart"/>
      <w:r>
        <w:rPr>
          <w:noProof w:val="0"/>
        </w:rPr>
        <w:t>intravenous</w:t>
      </w:r>
      <w:proofErr w:type="spellEnd"/>
      <w:r>
        <w:rPr>
          <w:noProof w:val="0"/>
        </w:rPr>
        <w:t xml:space="preserve"> </w:t>
      </w:r>
      <w:r w:rsidRPr="00422958">
        <w:rPr>
          <w:noProof w:val="0"/>
          <w:vertAlign w:val="superscript"/>
        </w:rPr>
        <w:t>133</w:t>
      </w:r>
      <w:r>
        <w:rPr>
          <w:noProof w:val="0"/>
        </w:rPr>
        <w:t xml:space="preserve">Xe </w:t>
      </w:r>
      <w:proofErr w:type="spellStart"/>
      <w:r>
        <w:rPr>
          <w:noProof w:val="0"/>
        </w:rPr>
        <w:t>method</w:t>
      </w:r>
      <w:proofErr w:type="spellEnd"/>
      <w:r>
        <w:rPr>
          <w:noProof w:val="0"/>
        </w:rPr>
        <w:t xml:space="preserve"> to </w:t>
      </w:r>
      <w:proofErr w:type="spellStart"/>
      <w:r>
        <w:rPr>
          <w:noProof w:val="0"/>
        </w:rPr>
        <w:t>estimate</w:t>
      </w:r>
      <w:proofErr w:type="spellEnd"/>
      <w:r>
        <w:rPr>
          <w:noProof w:val="0"/>
        </w:rPr>
        <w:t xml:space="preserve"> the </w:t>
      </w:r>
      <w:proofErr w:type="spellStart"/>
      <w:r>
        <w:rPr>
          <w:noProof w:val="0"/>
        </w:rPr>
        <w:t>intervillous</w:t>
      </w:r>
      <w:proofErr w:type="spellEnd"/>
      <w:r>
        <w:rPr>
          <w:noProof w:val="0"/>
        </w:rPr>
        <w:t xml:space="preserve"> </w:t>
      </w:r>
      <w:proofErr w:type="spellStart"/>
      <w:r>
        <w:rPr>
          <w:noProof w:val="0"/>
        </w:rPr>
        <w:t>blood</w:t>
      </w:r>
      <w:proofErr w:type="spellEnd"/>
      <w:r>
        <w:rPr>
          <w:noProof w:val="0"/>
        </w:rPr>
        <w:t xml:space="preserve"> flow to </w:t>
      </w:r>
      <w:r>
        <w:rPr>
          <w:noProof w:val="0"/>
          <w:lang w:val="en-US"/>
        </w:rPr>
        <w:t>135±</w:t>
      </w:r>
      <w:r w:rsidRPr="008B5EE3">
        <w:rPr>
          <w:noProof w:val="0"/>
          <w:lang w:val="en-US"/>
        </w:rPr>
        <w:t>49 ml/minute/100 ml</w:t>
      </w:r>
      <w:r>
        <w:rPr>
          <w:noProof w:val="0"/>
          <w:lang w:val="en-US"/>
        </w:rPr>
        <w:t xml:space="preserve"> </w:t>
      </w:r>
      <w:proofErr w:type="spellStart"/>
      <w:r>
        <w:rPr>
          <w:noProof w:val="0"/>
          <w:lang w:val="en-US"/>
        </w:rPr>
        <w:t>intervillous</w:t>
      </w:r>
      <w:proofErr w:type="spellEnd"/>
      <w:r>
        <w:rPr>
          <w:noProof w:val="0"/>
          <w:lang w:val="en-US"/>
        </w:rPr>
        <w:t xml:space="preserve"> space. </w:t>
      </w:r>
      <w:proofErr w:type="spellStart"/>
      <w:r>
        <w:rPr>
          <w:noProof w:val="0"/>
          <w:lang w:val="en-US"/>
        </w:rPr>
        <w:t>Käär</w:t>
      </w:r>
      <w:proofErr w:type="spellEnd"/>
      <w:r>
        <w:rPr>
          <w:noProof w:val="0"/>
          <w:lang w:val="en-US"/>
        </w:rPr>
        <w:t xml:space="preserve"> et al found </w:t>
      </w:r>
      <w:r>
        <w:rPr>
          <w:lang w:val="en-US"/>
        </w:rPr>
        <w:t>[2]</w:t>
      </w:r>
      <w:r>
        <w:rPr>
          <w:noProof w:val="0"/>
          <w:lang w:val="en-US"/>
        </w:rPr>
        <w:t xml:space="preserve"> similar results in healthy pregnant women in late third trimester (140±53 ml/minute/100ml </w:t>
      </w:r>
      <w:proofErr w:type="spellStart"/>
      <w:r>
        <w:rPr>
          <w:noProof w:val="0"/>
          <w:lang w:val="en-US"/>
        </w:rPr>
        <w:t>intervillous</w:t>
      </w:r>
      <w:proofErr w:type="spellEnd"/>
      <w:r>
        <w:rPr>
          <w:noProof w:val="0"/>
          <w:lang w:val="en-US"/>
        </w:rPr>
        <w:t xml:space="preserve"> space, range 73-261) while the </w:t>
      </w:r>
      <w:proofErr w:type="spellStart"/>
      <w:r>
        <w:rPr>
          <w:noProof w:val="0"/>
          <w:lang w:val="en-US"/>
        </w:rPr>
        <w:t>intervillous</w:t>
      </w:r>
      <w:proofErr w:type="spellEnd"/>
      <w:r>
        <w:rPr>
          <w:noProof w:val="0"/>
          <w:lang w:val="en-US"/>
        </w:rPr>
        <w:t xml:space="preserve"> flow was lower in complicated</w:t>
      </w:r>
      <w:r w:rsidRPr="00750162">
        <w:rPr>
          <w:noProof w:val="0"/>
          <w:lang w:val="en-US"/>
        </w:rPr>
        <w:t xml:space="preserve"> </w:t>
      </w:r>
      <w:r>
        <w:rPr>
          <w:noProof w:val="0"/>
          <w:lang w:val="en-US"/>
        </w:rPr>
        <w:t xml:space="preserve">pregnancies. Assuming a ratio of 1:1 of villi and </w:t>
      </w:r>
      <w:proofErr w:type="spellStart"/>
      <w:r>
        <w:rPr>
          <w:noProof w:val="0"/>
          <w:lang w:val="en-US"/>
        </w:rPr>
        <w:t>intervillous</w:t>
      </w:r>
      <w:proofErr w:type="spellEnd"/>
      <w:r>
        <w:rPr>
          <w:noProof w:val="0"/>
          <w:lang w:val="en-US"/>
        </w:rPr>
        <w:t xml:space="preserve"> space, the </w:t>
      </w:r>
      <w:proofErr w:type="spellStart"/>
      <w:r>
        <w:rPr>
          <w:noProof w:val="0"/>
          <w:lang w:val="en-US"/>
        </w:rPr>
        <w:t>intervillous</w:t>
      </w:r>
      <w:proofErr w:type="spellEnd"/>
      <w:r>
        <w:rPr>
          <w:noProof w:val="0"/>
          <w:lang w:val="en-US"/>
        </w:rPr>
        <w:t xml:space="preserve"> flow/g of tissue can be estimated to approximately 0.7 ml/min in healthy pregnant women close to term suggesting an appropriate perfusion flow of 5.5-25.8 ml/min (perfused cotyledon weight range 7.9-36.9 g, Additional file 1) depending on cotyledon size. </w:t>
      </w:r>
    </w:p>
    <w:p w14:paraId="63E94E46" w14:textId="2901C3D9" w:rsidR="00607298" w:rsidRDefault="00607298" w:rsidP="0077636E">
      <w:pPr>
        <w:rPr>
          <w:noProof w:val="0"/>
          <w:lang w:val="en-US"/>
        </w:rPr>
      </w:pPr>
      <w:r>
        <w:rPr>
          <w:noProof w:val="0"/>
          <w:lang w:val="en-US"/>
        </w:rPr>
        <w:t xml:space="preserve">Assuming a uterine arterial blood flow of 750 ml/min </w:t>
      </w:r>
      <w:r>
        <w:rPr>
          <w:lang w:val="en-US"/>
        </w:rPr>
        <w:t>[3]</w:t>
      </w:r>
      <w:r>
        <w:rPr>
          <w:noProof w:val="0"/>
          <w:lang w:val="en-US"/>
        </w:rPr>
        <w:t xml:space="preserve"> and an average placental weight of 703 g (Additional file 1) suggests an appropriate inflow rate of 1</w:t>
      </w:r>
      <w:proofErr w:type="gramStart"/>
      <w:r>
        <w:rPr>
          <w:noProof w:val="0"/>
          <w:lang w:val="en-US"/>
        </w:rPr>
        <w:t>.07 ml/</w:t>
      </w:r>
      <w:proofErr w:type="gramEnd"/>
      <w:r>
        <w:rPr>
          <w:noProof w:val="0"/>
          <w:lang w:val="en-US"/>
        </w:rPr>
        <w:t xml:space="preserve">g tissue. This results in an </w:t>
      </w:r>
      <w:proofErr w:type="spellStart"/>
      <w:r>
        <w:rPr>
          <w:noProof w:val="0"/>
          <w:lang w:val="en-US"/>
        </w:rPr>
        <w:t>intervillous</w:t>
      </w:r>
      <w:proofErr w:type="spellEnd"/>
      <w:r>
        <w:rPr>
          <w:noProof w:val="0"/>
          <w:lang w:val="en-US"/>
        </w:rPr>
        <w:t xml:space="preserve"> flow between 8.4-39.5 ml/min depending on the size of the cotyledon. This indicates that the flow rate </w:t>
      </w:r>
      <w:r w:rsidR="00B54DF3">
        <w:rPr>
          <w:noProof w:val="0"/>
          <w:lang w:val="en-US"/>
        </w:rPr>
        <w:t xml:space="preserve">in the perfusion model </w:t>
      </w:r>
      <w:bookmarkStart w:id="0" w:name="_GoBack"/>
      <w:bookmarkEnd w:id="0"/>
      <w:r>
        <w:rPr>
          <w:noProof w:val="0"/>
          <w:lang w:val="en-US"/>
        </w:rPr>
        <w:t xml:space="preserve">is within physiological range in smaller cotyledons but low in larger cotyledons. Burton et al </w:t>
      </w:r>
      <w:r>
        <w:rPr>
          <w:lang w:val="en-US"/>
        </w:rPr>
        <w:t>[4]</w:t>
      </w:r>
      <w:r>
        <w:rPr>
          <w:noProof w:val="0"/>
          <w:lang w:val="en-US"/>
        </w:rPr>
        <w:t xml:space="preserve"> estimate the flow in the spiral arteries to 0,2-0,4 ml/s (12-24 ml/min). Both the above estimates are likely to be high as recent findings indicate that part of the blood volume bypass the placenta through </w:t>
      </w:r>
      <w:proofErr w:type="spellStart"/>
      <w:r>
        <w:rPr>
          <w:noProof w:val="0"/>
          <w:lang w:val="en-US"/>
        </w:rPr>
        <w:t>subplacental</w:t>
      </w:r>
      <w:proofErr w:type="spellEnd"/>
      <w:r>
        <w:rPr>
          <w:noProof w:val="0"/>
          <w:lang w:val="en-US"/>
        </w:rPr>
        <w:t xml:space="preserve"> </w:t>
      </w:r>
      <w:proofErr w:type="spellStart"/>
      <w:r>
        <w:rPr>
          <w:noProof w:val="0"/>
          <w:lang w:val="en-US"/>
        </w:rPr>
        <w:t>arteriovenous</w:t>
      </w:r>
      <w:proofErr w:type="spellEnd"/>
      <w:r>
        <w:rPr>
          <w:noProof w:val="0"/>
          <w:lang w:val="en-US"/>
        </w:rPr>
        <w:t xml:space="preserve"> shunts in the myometrium </w:t>
      </w:r>
      <w:r>
        <w:rPr>
          <w:lang w:val="en-US"/>
        </w:rPr>
        <w:t>[5]</w:t>
      </w:r>
      <w:r>
        <w:rPr>
          <w:noProof w:val="0"/>
          <w:lang w:val="en-US"/>
        </w:rPr>
        <w:t xml:space="preserve">. </w:t>
      </w:r>
      <w:r w:rsidRPr="00597102">
        <w:rPr>
          <w:noProof w:val="0"/>
          <w:lang w:val="en-US"/>
        </w:rPr>
        <w:t>There is a lack in consensus as to how many spiral arteries supply the placenta, but it is believed that one spiral artery delivers blood into a central cavity of a lobule (r</w:t>
      </w:r>
      <w:r>
        <w:rPr>
          <w:noProof w:val="0"/>
          <w:lang w:val="en-US"/>
        </w:rPr>
        <w:t xml:space="preserve">eviewed in </w:t>
      </w:r>
      <w:r>
        <w:rPr>
          <w:lang w:val="en-US"/>
        </w:rPr>
        <w:t>[6]</w:t>
      </w:r>
      <w:r w:rsidRPr="00597102">
        <w:rPr>
          <w:noProof w:val="0"/>
          <w:lang w:val="en-US"/>
        </w:rPr>
        <w:t>).</w:t>
      </w:r>
      <w:r>
        <w:rPr>
          <w:noProof w:val="0"/>
          <w:lang w:val="en-US"/>
        </w:rPr>
        <w:t xml:space="preserve"> Although the flow is divided on three cannulas in this model, the total flow of 10 ml/min to one cotyledon may be appropriate when taking into account that shunting was not included in this estimate.</w:t>
      </w:r>
    </w:p>
    <w:p w14:paraId="086CAF72" w14:textId="77777777" w:rsidR="00607298" w:rsidRPr="00597102" w:rsidRDefault="00607298" w:rsidP="0077636E">
      <w:pPr>
        <w:rPr>
          <w:noProof w:val="0"/>
        </w:rPr>
      </w:pPr>
      <w:proofErr w:type="spellStart"/>
      <w:r>
        <w:rPr>
          <w:noProof w:val="0"/>
        </w:rPr>
        <w:t>Although</w:t>
      </w:r>
      <w:proofErr w:type="spellEnd"/>
      <w:r>
        <w:rPr>
          <w:noProof w:val="0"/>
        </w:rPr>
        <w:t xml:space="preserve"> all </w:t>
      </w:r>
      <w:proofErr w:type="spellStart"/>
      <w:r>
        <w:rPr>
          <w:noProof w:val="0"/>
        </w:rPr>
        <w:t>these</w:t>
      </w:r>
      <w:proofErr w:type="spellEnd"/>
      <w:r>
        <w:rPr>
          <w:noProof w:val="0"/>
        </w:rPr>
        <w:t xml:space="preserve"> </w:t>
      </w:r>
      <w:proofErr w:type="spellStart"/>
      <w:r>
        <w:rPr>
          <w:noProof w:val="0"/>
        </w:rPr>
        <w:t>estimates</w:t>
      </w:r>
      <w:proofErr w:type="spellEnd"/>
      <w:r>
        <w:rPr>
          <w:noProof w:val="0"/>
        </w:rPr>
        <w:t xml:space="preserve"> </w:t>
      </w:r>
      <w:proofErr w:type="spellStart"/>
      <w:r>
        <w:rPr>
          <w:noProof w:val="0"/>
        </w:rPr>
        <w:t>are</w:t>
      </w:r>
      <w:proofErr w:type="spellEnd"/>
      <w:r>
        <w:rPr>
          <w:noProof w:val="0"/>
        </w:rPr>
        <w:t xml:space="preserve"> </w:t>
      </w:r>
      <w:proofErr w:type="spellStart"/>
      <w:r>
        <w:rPr>
          <w:noProof w:val="0"/>
        </w:rPr>
        <w:t>uncertain</w:t>
      </w:r>
      <w:proofErr w:type="spellEnd"/>
      <w:r>
        <w:rPr>
          <w:noProof w:val="0"/>
        </w:rPr>
        <w:t xml:space="preserve">, </w:t>
      </w:r>
      <w:proofErr w:type="spellStart"/>
      <w:r>
        <w:rPr>
          <w:noProof w:val="0"/>
        </w:rPr>
        <w:t>we</w:t>
      </w:r>
      <w:proofErr w:type="spellEnd"/>
      <w:r>
        <w:rPr>
          <w:noProof w:val="0"/>
        </w:rPr>
        <w:t xml:space="preserve"> </w:t>
      </w:r>
      <w:proofErr w:type="spellStart"/>
      <w:r>
        <w:rPr>
          <w:noProof w:val="0"/>
        </w:rPr>
        <w:t>believe</w:t>
      </w:r>
      <w:proofErr w:type="spellEnd"/>
      <w:r>
        <w:rPr>
          <w:noProof w:val="0"/>
        </w:rPr>
        <w:t xml:space="preserve"> the </w:t>
      </w:r>
      <w:proofErr w:type="spellStart"/>
      <w:r>
        <w:rPr>
          <w:noProof w:val="0"/>
        </w:rPr>
        <w:t>intervillous</w:t>
      </w:r>
      <w:proofErr w:type="spellEnd"/>
      <w:r>
        <w:rPr>
          <w:noProof w:val="0"/>
        </w:rPr>
        <w:t xml:space="preserve"> flow in the model (8-10 ml/min/</w:t>
      </w:r>
      <w:proofErr w:type="spellStart"/>
      <w:r>
        <w:rPr>
          <w:noProof w:val="0"/>
        </w:rPr>
        <w:t>cotyledon</w:t>
      </w:r>
      <w:proofErr w:type="spellEnd"/>
      <w:r>
        <w:rPr>
          <w:noProof w:val="0"/>
        </w:rPr>
        <w:t xml:space="preserve">) is </w:t>
      </w:r>
      <w:proofErr w:type="spellStart"/>
      <w:r>
        <w:rPr>
          <w:noProof w:val="0"/>
        </w:rPr>
        <w:t>within</w:t>
      </w:r>
      <w:proofErr w:type="spellEnd"/>
      <w:r>
        <w:rPr>
          <w:noProof w:val="0"/>
        </w:rPr>
        <w:t xml:space="preserve"> the </w:t>
      </w:r>
      <w:proofErr w:type="spellStart"/>
      <w:r>
        <w:rPr>
          <w:noProof w:val="0"/>
        </w:rPr>
        <w:t>physiological</w:t>
      </w:r>
      <w:proofErr w:type="spellEnd"/>
      <w:r>
        <w:rPr>
          <w:noProof w:val="0"/>
        </w:rPr>
        <w:t xml:space="preserve"> range.</w:t>
      </w:r>
    </w:p>
    <w:p w14:paraId="4C935DFD" w14:textId="77777777" w:rsidR="00607298" w:rsidRPr="00995602" w:rsidRDefault="00607298" w:rsidP="00995602">
      <w:pPr>
        <w:pStyle w:val="EndNoteBibliography"/>
        <w:ind w:left="720" w:hanging="720"/>
      </w:pPr>
      <w:r w:rsidRPr="00995602">
        <w:t>1.</w:t>
      </w:r>
      <w:r w:rsidRPr="00995602">
        <w:tab/>
        <w:t>Rekonen A, Luotola H, Pitkanen M, Kuikka J, Pyorala T. Measurement of intervillous and myometrial blood flow by an i</w:t>
      </w:r>
      <w:r w:rsidR="00C11D29">
        <w:t>ntravenous 133Xe method. Br</w:t>
      </w:r>
      <w:r w:rsidRPr="00995602">
        <w:t xml:space="preserve"> </w:t>
      </w:r>
      <w:r w:rsidR="00C11D29">
        <w:t>J</w:t>
      </w:r>
      <w:r w:rsidRPr="00995602">
        <w:t xml:space="preserve"> </w:t>
      </w:r>
      <w:r w:rsidR="00C11D29">
        <w:t>O</w:t>
      </w:r>
      <w:r w:rsidRPr="00995602">
        <w:t>bstet</w:t>
      </w:r>
      <w:r w:rsidR="00C11D29">
        <w:t xml:space="preserve"> G</w:t>
      </w:r>
      <w:r w:rsidRPr="00995602">
        <w:t>ynaecol.</w:t>
      </w:r>
      <w:r w:rsidRPr="00995602">
        <w:rPr>
          <w:i/>
        </w:rPr>
        <w:t xml:space="preserve"> </w:t>
      </w:r>
      <w:r w:rsidRPr="00995602">
        <w:t>1976; 83:723-8.</w:t>
      </w:r>
    </w:p>
    <w:p w14:paraId="4C8987E1" w14:textId="77777777" w:rsidR="00607298" w:rsidRPr="00995602" w:rsidRDefault="00607298" w:rsidP="00995602">
      <w:pPr>
        <w:pStyle w:val="EndNoteBibliography"/>
        <w:ind w:left="720" w:hanging="720"/>
      </w:pPr>
      <w:r w:rsidRPr="00995602">
        <w:t>2.</w:t>
      </w:r>
      <w:r w:rsidRPr="00995602">
        <w:tab/>
        <w:t>Kaar K, Jouppila P, Kuikka J, Luotola H, Toivanen J, Rekonen A. Intervillous blood flow in normal and complicated late pregnancy measured by means of an intravenous 133Xe method. Acta Obstet Gynecol Scand.</w:t>
      </w:r>
      <w:r w:rsidRPr="00995602">
        <w:rPr>
          <w:i/>
        </w:rPr>
        <w:t xml:space="preserve"> </w:t>
      </w:r>
      <w:r w:rsidRPr="00995602">
        <w:t>1980; 59:7-10.</w:t>
      </w:r>
    </w:p>
    <w:p w14:paraId="532E9BD4" w14:textId="77777777" w:rsidR="00607298" w:rsidRPr="00995602" w:rsidRDefault="00607298" w:rsidP="00995602">
      <w:pPr>
        <w:pStyle w:val="EndNoteBibliography"/>
        <w:ind w:left="720" w:hanging="720"/>
      </w:pPr>
      <w:r w:rsidRPr="00995602">
        <w:t>3.</w:t>
      </w:r>
      <w:r w:rsidRPr="00995602">
        <w:tab/>
        <w:t>Assali NS, Douglass RA, Jr., Baird WW, Nicholson DB, Suyemoto R. Measurement of uterine blood flow and uterine metabolism. IV. Results in normal pregnancy. Am J Obstet Gynecol.</w:t>
      </w:r>
      <w:r w:rsidRPr="00995602">
        <w:rPr>
          <w:i/>
        </w:rPr>
        <w:t xml:space="preserve"> </w:t>
      </w:r>
      <w:r w:rsidRPr="00995602">
        <w:t>1953; 66:248-53.</w:t>
      </w:r>
    </w:p>
    <w:p w14:paraId="3E1CECBB" w14:textId="77777777" w:rsidR="00607298" w:rsidRPr="00995602" w:rsidRDefault="00607298" w:rsidP="00995602">
      <w:pPr>
        <w:pStyle w:val="EndNoteBibliography"/>
        <w:ind w:left="720" w:hanging="720"/>
      </w:pPr>
      <w:r w:rsidRPr="00995602">
        <w:t>4.</w:t>
      </w:r>
      <w:r w:rsidRPr="00995602">
        <w:tab/>
        <w:t>Burton GJ, Woods AW, Jauniaux E, Kingdom JC. Rheological and physiological consequences of conversion of the maternal spiral arteries for uteroplacental blood flow during human pregnancy. Placenta.</w:t>
      </w:r>
      <w:r w:rsidRPr="00995602">
        <w:rPr>
          <w:i/>
        </w:rPr>
        <w:t xml:space="preserve"> </w:t>
      </w:r>
      <w:r w:rsidRPr="00995602">
        <w:t>2009; 30:473-82.</w:t>
      </w:r>
    </w:p>
    <w:p w14:paraId="76B29E2B" w14:textId="77777777" w:rsidR="00607298" w:rsidRPr="00995602" w:rsidRDefault="00607298" w:rsidP="00995602">
      <w:pPr>
        <w:pStyle w:val="EndNoteBibliography"/>
        <w:ind w:left="720" w:hanging="720"/>
      </w:pPr>
      <w:r w:rsidRPr="00995602">
        <w:t>5.</w:t>
      </w:r>
      <w:r w:rsidRPr="00995602">
        <w:tab/>
        <w:t>Schaaps JP, Tsatsaris V, Goffin F, Brichant JF, Delbecque K, Tebache M, et al. Shunting the intervillous space: new concepts in human uteroplacental vascularization. Am J Obstet Gynecol.</w:t>
      </w:r>
      <w:r w:rsidRPr="00995602">
        <w:rPr>
          <w:i/>
        </w:rPr>
        <w:t xml:space="preserve"> </w:t>
      </w:r>
      <w:r w:rsidRPr="00995602">
        <w:t>2005; 192:323-32.</w:t>
      </w:r>
    </w:p>
    <w:p w14:paraId="3D6AC877" w14:textId="77777777" w:rsidR="00607298" w:rsidRPr="00995602" w:rsidRDefault="00607298" w:rsidP="00995602">
      <w:pPr>
        <w:pStyle w:val="EndNoteBibliography"/>
        <w:ind w:left="720" w:hanging="720"/>
      </w:pPr>
      <w:r w:rsidRPr="00995602">
        <w:t>6.</w:t>
      </w:r>
      <w:r w:rsidRPr="00995602">
        <w:tab/>
        <w:t>Be</w:t>
      </w:r>
      <w:r w:rsidR="00C11D29">
        <w:t>nirschke K, Burton G, Baergen R.</w:t>
      </w:r>
      <w:r w:rsidRPr="00995602">
        <w:t xml:space="preserve"> </w:t>
      </w:r>
      <w:r w:rsidRPr="00C11D29">
        <w:t>Pathology of the Human Placenta</w:t>
      </w:r>
      <w:r w:rsidRPr="00995602">
        <w:rPr>
          <w:i/>
        </w:rPr>
        <w:t>.</w:t>
      </w:r>
      <w:r w:rsidRPr="00995602">
        <w:t xml:space="preserve"> 6th edn. Heidelberg: Springer; 2012.</w:t>
      </w:r>
    </w:p>
    <w:p w14:paraId="449945FC" w14:textId="77777777" w:rsidR="00607298" w:rsidRDefault="00607298" w:rsidP="0077636E"/>
    <w:p w14:paraId="471EBCB2" w14:textId="77777777" w:rsidR="00983E4E" w:rsidRDefault="00983E4E"/>
    <w:sectPr w:rsidR="00983E4E" w:rsidSect="00983E4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07298"/>
    <w:rsid w:val="00607298"/>
    <w:rsid w:val="00983E4E"/>
    <w:rsid w:val="00B54DF3"/>
    <w:rsid w:val="00C11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1090B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298"/>
    <w:pPr>
      <w:spacing w:line="480" w:lineRule="auto"/>
    </w:pPr>
    <w:rPr>
      <w:rFonts w:ascii="Times New Roman" w:eastAsia="Times New Roman" w:hAnsi="Times New Roman" w:cs="Times New Roman"/>
      <w:noProof/>
      <w:lang w:val="da-DK"/>
    </w:rPr>
  </w:style>
  <w:style w:type="paragraph" w:styleId="Heading1">
    <w:name w:val="heading 1"/>
    <w:basedOn w:val="Normal"/>
    <w:next w:val="Normal"/>
    <w:link w:val="Heading1Char"/>
    <w:uiPriority w:val="9"/>
    <w:qFormat/>
    <w:rsid w:val="0060729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072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298"/>
    <w:rPr>
      <w:rFonts w:asciiTheme="majorHAnsi" w:eastAsiaTheme="majorEastAsia" w:hAnsiTheme="majorHAnsi" w:cstheme="majorBidi"/>
      <w:b/>
      <w:bCs/>
      <w:noProof/>
      <w:color w:val="345A8A" w:themeColor="accent1" w:themeShade="B5"/>
      <w:sz w:val="32"/>
      <w:szCs w:val="32"/>
      <w:lang w:val="da-DK"/>
    </w:rPr>
  </w:style>
  <w:style w:type="character" w:customStyle="1" w:styleId="Heading2Char">
    <w:name w:val="Heading 2 Char"/>
    <w:basedOn w:val="DefaultParagraphFont"/>
    <w:link w:val="Heading2"/>
    <w:uiPriority w:val="9"/>
    <w:rsid w:val="00607298"/>
    <w:rPr>
      <w:rFonts w:asciiTheme="majorHAnsi" w:eastAsiaTheme="majorEastAsia" w:hAnsiTheme="majorHAnsi" w:cstheme="majorBidi"/>
      <w:b/>
      <w:bCs/>
      <w:noProof/>
      <w:color w:val="4F81BD" w:themeColor="accent1"/>
      <w:sz w:val="26"/>
      <w:szCs w:val="26"/>
      <w:lang w:val="da-DK"/>
    </w:rPr>
  </w:style>
  <w:style w:type="character" w:styleId="CommentReference">
    <w:name w:val="annotation reference"/>
    <w:basedOn w:val="DefaultParagraphFont"/>
    <w:uiPriority w:val="99"/>
    <w:semiHidden/>
    <w:unhideWhenUsed/>
    <w:rsid w:val="00607298"/>
    <w:rPr>
      <w:sz w:val="16"/>
      <w:szCs w:val="16"/>
    </w:rPr>
  </w:style>
  <w:style w:type="paragraph" w:styleId="CommentText">
    <w:name w:val="annotation text"/>
    <w:basedOn w:val="Normal"/>
    <w:link w:val="CommentTextChar"/>
    <w:uiPriority w:val="99"/>
    <w:semiHidden/>
    <w:unhideWhenUsed/>
    <w:rsid w:val="00607298"/>
    <w:pPr>
      <w:spacing w:line="240" w:lineRule="auto"/>
    </w:pPr>
    <w:rPr>
      <w:sz w:val="20"/>
      <w:szCs w:val="20"/>
    </w:rPr>
  </w:style>
  <w:style w:type="character" w:customStyle="1" w:styleId="CommentTextChar">
    <w:name w:val="Comment Text Char"/>
    <w:basedOn w:val="DefaultParagraphFont"/>
    <w:link w:val="CommentText"/>
    <w:uiPriority w:val="99"/>
    <w:semiHidden/>
    <w:rsid w:val="00607298"/>
    <w:rPr>
      <w:rFonts w:ascii="Times New Roman" w:eastAsia="Times New Roman" w:hAnsi="Times New Roman" w:cs="Times New Roman"/>
      <w:noProof/>
      <w:sz w:val="20"/>
      <w:szCs w:val="20"/>
      <w:lang w:val="da-DK"/>
    </w:rPr>
  </w:style>
  <w:style w:type="paragraph" w:styleId="BalloonText">
    <w:name w:val="Balloon Text"/>
    <w:basedOn w:val="Normal"/>
    <w:link w:val="BalloonTextChar"/>
    <w:uiPriority w:val="99"/>
    <w:semiHidden/>
    <w:unhideWhenUsed/>
    <w:rsid w:val="00607298"/>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7298"/>
    <w:rPr>
      <w:rFonts w:ascii="Lucida Grande" w:eastAsia="Times New Roman" w:hAnsi="Lucida Grande" w:cs="Lucida Grande"/>
      <w:noProof/>
      <w:sz w:val="18"/>
      <w:szCs w:val="18"/>
      <w:lang w:val="da-DK"/>
    </w:rPr>
  </w:style>
  <w:style w:type="paragraph" w:customStyle="1" w:styleId="EndNoteBibliographyTitle">
    <w:name w:val="EndNote Bibliography Title"/>
    <w:basedOn w:val="Normal"/>
    <w:rsid w:val="00607298"/>
    <w:pPr>
      <w:jc w:val="center"/>
    </w:pPr>
    <w:rPr>
      <w:lang w:val="en-US"/>
    </w:rPr>
  </w:style>
  <w:style w:type="paragraph" w:customStyle="1" w:styleId="EndNoteBibliography">
    <w:name w:val="EndNote Bibliography"/>
    <w:basedOn w:val="Normal"/>
    <w:rsid w:val="00607298"/>
    <w:pPr>
      <w:spacing w:line="240" w:lineRule="auto"/>
    </w:pPr>
    <w:rPr>
      <w:lang w:val="en-US"/>
    </w:rPr>
  </w:style>
  <w:style w:type="paragraph" w:styleId="CommentSubject">
    <w:name w:val="annotation subject"/>
    <w:basedOn w:val="CommentText"/>
    <w:next w:val="CommentText"/>
    <w:link w:val="CommentSubjectChar"/>
    <w:uiPriority w:val="99"/>
    <w:semiHidden/>
    <w:unhideWhenUsed/>
    <w:rsid w:val="00607298"/>
    <w:rPr>
      <w:b/>
      <w:bCs/>
    </w:rPr>
  </w:style>
  <w:style w:type="character" w:customStyle="1" w:styleId="CommentSubjectChar">
    <w:name w:val="Comment Subject Char"/>
    <w:basedOn w:val="CommentTextChar"/>
    <w:link w:val="CommentSubject"/>
    <w:uiPriority w:val="99"/>
    <w:semiHidden/>
    <w:rsid w:val="00607298"/>
    <w:rPr>
      <w:rFonts w:ascii="Times New Roman" w:eastAsia="Times New Roman" w:hAnsi="Times New Roman" w:cs="Times New Roman"/>
      <w:b/>
      <w:bCs/>
      <w:noProof/>
      <w:sz w:val="20"/>
      <w:szCs w:val="20"/>
      <w:lang w:val="da-DK"/>
    </w:rPr>
  </w:style>
  <w:style w:type="character" w:styleId="Hyperlink">
    <w:name w:val="Hyperlink"/>
    <w:basedOn w:val="DefaultParagraphFont"/>
    <w:semiHidden/>
    <w:rsid w:val="0060729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298"/>
    <w:pPr>
      <w:spacing w:line="480" w:lineRule="auto"/>
    </w:pPr>
    <w:rPr>
      <w:rFonts w:ascii="Times New Roman" w:eastAsia="Times New Roman" w:hAnsi="Times New Roman" w:cs="Times New Roman"/>
      <w:noProof/>
      <w:lang w:val="da-DK"/>
    </w:rPr>
  </w:style>
  <w:style w:type="paragraph" w:styleId="Heading1">
    <w:name w:val="heading 1"/>
    <w:basedOn w:val="Normal"/>
    <w:next w:val="Normal"/>
    <w:link w:val="Heading1Char"/>
    <w:uiPriority w:val="9"/>
    <w:qFormat/>
    <w:rsid w:val="0060729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072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298"/>
    <w:rPr>
      <w:rFonts w:asciiTheme="majorHAnsi" w:eastAsiaTheme="majorEastAsia" w:hAnsiTheme="majorHAnsi" w:cstheme="majorBidi"/>
      <w:b/>
      <w:bCs/>
      <w:noProof/>
      <w:color w:val="345A8A" w:themeColor="accent1" w:themeShade="B5"/>
      <w:sz w:val="32"/>
      <w:szCs w:val="32"/>
      <w:lang w:val="da-DK"/>
    </w:rPr>
  </w:style>
  <w:style w:type="character" w:customStyle="1" w:styleId="Heading2Char">
    <w:name w:val="Heading 2 Char"/>
    <w:basedOn w:val="DefaultParagraphFont"/>
    <w:link w:val="Heading2"/>
    <w:uiPriority w:val="9"/>
    <w:rsid w:val="00607298"/>
    <w:rPr>
      <w:rFonts w:asciiTheme="majorHAnsi" w:eastAsiaTheme="majorEastAsia" w:hAnsiTheme="majorHAnsi" w:cstheme="majorBidi"/>
      <w:b/>
      <w:bCs/>
      <w:noProof/>
      <w:color w:val="4F81BD" w:themeColor="accent1"/>
      <w:sz w:val="26"/>
      <w:szCs w:val="26"/>
      <w:lang w:val="da-DK"/>
    </w:rPr>
  </w:style>
  <w:style w:type="character" w:styleId="CommentReference">
    <w:name w:val="annotation reference"/>
    <w:basedOn w:val="DefaultParagraphFont"/>
    <w:uiPriority w:val="99"/>
    <w:semiHidden/>
    <w:unhideWhenUsed/>
    <w:rsid w:val="00607298"/>
    <w:rPr>
      <w:sz w:val="16"/>
      <w:szCs w:val="16"/>
    </w:rPr>
  </w:style>
  <w:style w:type="paragraph" w:styleId="CommentText">
    <w:name w:val="annotation text"/>
    <w:basedOn w:val="Normal"/>
    <w:link w:val="CommentTextChar"/>
    <w:uiPriority w:val="99"/>
    <w:semiHidden/>
    <w:unhideWhenUsed/>
    <w:rsid w:val="00607298"/>
    <w:pPr>
      <w:spacing w:line="240" w:lineRule="auto"/>
    </w:pPr>
    <w:rPr>
      <w:sz w:val="20"/>
      <w:szCs w:val="20"/>
    </w:rPr>
  </w:style>
  <w:style w:type="character" w:customStyle="1" w:styleId="CommentTextChar">
    <w:name w:val="Comment Text Char"/>
    <w:basedOn w:val="DefaultParagraphFont"/>
    <w:link w:val="CommentText"/>
    <w:uiPriority w:val="99"/>
    <w:semiHidden/>
    <w:rsid w:val="00607298"/>
    <w:rPr>
      <w:rFonts w:ascii="Times New Roman" w:eastAsia="Times New Roman" w:hAnsi="Times New Roman" w:cs="Times New Roman"/>
      <w:noProof/>
      <w:sz w:val="20"/>
      <w:szCs w:val="20"/>
      <w:lang w:val="da-DK"/>
    </w:rPr>
  </w:style>
  <w:style w:type="paragraph" w:styleId="BalloonText">
    <w:name w:val="Balloon Text"/>
    <w:basedOn w:val="Normal"/>
    <w:link w:val="BalloonTextChar"/>
    <w:uiPriority w:val="99"/>
    <w:semiHidden/>
    <w:unhideWhenUsed/>
    <w:rsid w:val="00607298"/>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7298"/>
    <w:rPr>
      <w:rFonts w:ascii="Lucida Grande" w:eastAsia="Times New Roman" w:hAnsi="Lucida Grande" w:cs="Lucida Grande"/>
      <w:noProof/>
      <w:sz w:val="18"/>
      <w:szCs w:val="18"/>
      <w:lang w:val="da-DK"/>
    </w:rPr>
  </w:style>
  <w:style w:type="paragraph" w:customStyle="1" w:styleId="EndNoteBibliographyTitle">
    <w:name w:val="EndNote Bibliography Title"/>
    <w:basedOn w:val="Normal"/>
    <w:rsid w:val="00607298"/>
    <w:pPr>
      <w:jc w:val="center"/>
    </w:pPr>
    <w:rPr>
      <w:lang w:val="en-US"/>
    </w:rPr>
  </w:style>
  <w:style w:type="paragraph" w:customStyle="1" w:styleId="EndNoteBibliography">
    <w:name w:val="EndNote Bibliography"/>
    <w:basedOn w:val="Normal"/>
    <w:rsid w:val="00607298"/>
    <w:pPr>
      <w:spacing w:line="240" w:lineRule="auto"/>
    </w:pPr>
    <w:rPr>
      <w:lang w:val="en-US"/>
    </w:rPr>
  </w:style>
  <w:style w:type="paragraph" w:styleId="CommentSubject">
    <w:name w:val="annotation subject"/>
    <w:basedOn w:val="CommentText"/>
    <w:next w:val="CommentText"/>
    <w:link w:val="CommentSubjectChar"/>
    <w:uiPriority w:val="99"/>
    <w:semiHidden/>
    <w:unhideWhenUsed/>
    <w:rsid w:val="00607298"/>
    <w:rPr>
      <w:b/>
      <w:bCs/>
    </w:rPr>
  </w:style>
  <w:style w:type="character" w:customStyle="1" w:styleId="CommentSubjectChar">
    <w:name w:val="Comment Subject Char"/>
    <w:basedOn w:val="CommentTextChar"/>
    <w:link w:val="CommentSubject"/>
    <w:uiPriority w:val="99"/>
    <w:semiHidden/>
    <w:rsid w:val="00607298"/>
    <w:rPr>
      <w:rFonts w:ascii="Times New Roman" w:eastAsia="Times New Roman" w:hAnsi="Times New Roman" w:cs="Times New Roman"/>
      <w:b/>
      <w:bCs/>
      <w:noProof/>
      <w:sz w:val="20"/>
      <w:szCs w:val="20"/>
      <w:lang w:val="da-DK"/>
    </w:rPr>
  </w:style>
  <w:style w:type="character" w:styleId="Hyperlink">
    <w:name w:val="Hyperlink"/>
    <w:basedOn w:val="DefaultParagraphFont"/>
    <w:semiHidden/>
    <w:rsid w:val="006072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cpeh@sund.ku.dk" TargetMode="External"/><Relationship Id="rId6" Type="http://schemas.openxmlformats.org/officeDocument/2006/relationships/hyperlink" Target="mailto:mortenn@sund.ku.d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754</Words>
  <Characters>4300</Characters>
  <Application>Microsoft Macintosh Word</Application>
  <DocSecurity>0</DocSecurity>
  <Lines>35</Lines>
  <Paragraphs>10</Paragraphs>
  <ScaleCrop>false</ScaleCrop>
  <Company/>
  <LinksUpToDate>false</LinksUpToDate>
  <CharactersWithSpaces>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Administrator</dc:creator>
  <cp:keywords/>
  <dc:description/>
  <cp:lastModifiedBy>Local Administrator</cp:lastModifiedBy>
  <cp:revision>3</cp:revision>
  <dcterms:created xsi:type="dcterms:W3CDTF">2016-05-10T14:21:00Z</dcterms:created>
  <dcterms:modified xsi:type="dcterms:W3CDTF">2016-05-10T14:29:00Z</dcterms:modified>
</cp:coreProperties>
</file>