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EF0F5" w14:textId="423FA003" w:rsidR="00492268" w:rsidRPr="00492268" w:rsidRDefault="00492268" w:rsidP="00492268">
      <w:pPr>
        <w:spacing w:line="360" w:lineRule="auto"/>
        <w:contextualSpacing/>
        <w:rPr>
          <w:bCs/>
          <w:i/>
          <w:sz w:val="20"/>
        </w:rPr>
      </w:pPr>
      <w:r w:rsidRPr="00492268">
        <w:rPr>
          <w:sz w:val="20"/>
        </w:rPr>
        <w:t xml:space="preserve">Korenromp-EL et al., </w:t>
      </w:r>
      <w:r w:rsidRPr="00492268">
        <w:rPr>
          <w:bCs/>
          <w:i/>
          <w:sz w:val="20"/>
        </w:rPr>
        <w:t>Malaria intervention scale-up in Africa: effectiveness predictions for health program planning tools, based on dynamic transmission modelling, version 01 May 2016</w:t>
      </w:r>
    </w:p>
    <w:p w14:paraId="6F67C905" w14:textId="7B97CA43" w:rsidR="00492268" w:rsidRPr="00492268" w:rsidRDefault="00492268" w:rsidP="00492268">
      <w:pPr>
        <w:rPr>
          <w:i/>
        </w:rPr>
      </w:pPr>
    </w:p>
    <w:p w14:paraId="4E5F1CEB" w14:textId="65F1030F" w:rsidR="00F629F9" w:rsidRPr="00C82B02" w:rsidRDefault="00F629F9" w:rsidP="00EB234C"/>
    <w:p w14:paraId="4ACAF96E" w14:textId="2461C3CD" w:rsidR="00DA553D" w:rsidRPr="008D5240" w:rsidRDefault="00264D2C" w:rsidP="00EB234C">
      <w:pPr>
        <w:pStyle w:val="Heading1"/>
        <w:spacing w:before="0"/>
      </w:pPr>
      <w:r>
        <w:t xml:space="preserve">Additional File </w:t>
      </w:r>
      <w:r w:rsidR="00492268">
        <w:t>3</w:t>
      </w:r>
      <w:r w:rsidR="00AD1BB8">
        <w:t>.</w:t>
      </w:r>
      <w:r w:rsidR="00DA553D" w:rsidRPr="008D5240">
        <w:t xml:space="preserve"> </w:t>
      </w:r>
      <w:r w:rsidR="00AD1BB8">
        <w:t>Simulation input assumptions and calculations on statistically predicted burden reductions for ITN trials</w:t>
      </w:r>
    </w:p>
    <w:p w14:paraId="67CFC94D" w14:textId="77777777" w:rsidR="00DA553D" w:rsidRPr="005C2516" w:rsidRDefault="00DA553D" w:rsidP="00EB234C">
      <w:r w:rsidRPr="00435325">
        <w:t xml:space="preserve"> </w:t>
      </w:r>
    </w:p>
    <w:p w14:paraId="68D33B9A" w14:textId="79696BB4" w:rsidR="00AB6A7D" w:rsidRPr="00AB6A7D" w:rsidRDefault="00AB6A7D" w:rsidP="00EB234C">
      <w:r w:rsidRPr="00AB6A7D">
        <w:t xml:space="preserve">Table </w:t>
      </w:r>
      <w:r w:rsidR="00264D2C">
        <w:t>AF</w:t>
      </w:r>
      <w:r w:rsidR="000976A2">
        <w:t>3</w:t>
      </w:r>
      <w:r w:rsidR="00FA6AE9">
        <w:t>.A</w:t>
      </w:r>
      <w:r w:rsidRPr="00AB6A7D">
        <w:t xml:space="preserve"> shows values of predictor variables assumed in statistical predictions of ITN impact, for </w:t>
      </w:r>
      <w:r>
        <w:t>the three</w:t>
      </w:r>
      <w:r w:rsidRPr="00AB6A7D">
        <w:t xml:space="preserve"> cluster-randomized trials of ITN impacts on child health</w:t>
      </w:r>
      <w:r>
        <w:t>, evaluated as a test to the external validity of regression models</w:t>
      </w:r>
      <w:r w:rsidRPr="00AB6A7D">
        <w:t>.</w:t>
      </w:r>
    </w:p>
    <w:p w14:paraId="15D92E23" w14:textId="77777777" w:rsidR="00AB6A7D" w:rsidRDefault="00AB6A7D" w:rsidP="00EB234C"/>
    <w:p w14:paraId="0942C655" w14:textId="2BDEF8E9" w:rsidR="00AB6A7D" w:rsidRPr="00572E3B" w:rsidRDefault="00AB6A7D" w:rsidP="00EB234C">
      <w:pPr>
        <w:rPr>
          <w:b/>
        </w:rPr>
      </w:pPr>
      <w:r>
        <w:br/>
      </w:r>
      <w:r w:rsidRPr="00572E3B">
        <w:rPr>
          <w:b/>
        </w:rPr>
        <w:t xml:space="preserve">Table </w:t>
      </w:r>
      <w:r w:rsidR="00264D2C" w:rsidRPr="00572E3B">
        <w:rPr>
          <w:b/>
        </w:rPr>
        <w:t>AF</w:t>
      </w:r>
      <w:r w:rsidR="00492268">
        <w:rPr>
          <w:b/>
        </w:rPr>
        <w:t>3</w:t>
      </w:r>
      <w:r w:rsidRPr="00572E3B">
        <w:rPr>
          <w:b/>
        </w:rPr>
        <w:t>.</w:t>
      </w:r>
      <w:r w:rsidR="00FA6AE9" w:rsidRPr="00572E3B">
        <w:rPr>
          <w:b/>
        </w:rPr>
        <w:t>A</w:t>
      </w:r>
      <w:r w:rsidRPr="00572E3B">
        <w:rPr>
          <w:b/>
        </w:rPr>
        <w:t xml:space="preserve"> Predictor values assumed in statistical predictions of ITN impact for cluster-randomized trials </w:t>
      </w:r>
    </w:p>
    <w:p w14:paraId="27074994" w14:textId="77777777" w:rsidR="0033732E" w:rsidRPr="00E31597" w:rsidRDefault="0033732E" w:rsidP="00EB234C"/>
    <w:tbl>
      <w:tblPr>
        <w:tblStyle w:val="PlainTable21"/>
        <w:tblW w:w="11065" w:type="dxa"/>
        <w:tblInd w:w="-450" w:type="dxa"/>
        <w:tblLayout w:type="fixed"/>
        <w:tblLook w:val="04A0" w:firstRow="1" w:lastRow="0" w:firstColumn="1" w:lastColumn="0" w:noHBand="0" w:noVBand="1"/>
      </w:tblPr>
      <w:tblGrid>
        <w:gridCol w:w="1800"/>
        <w:gridCol w:w="1530"/>
        <w:gridCol w:w="1795"/>
        <w:gridCol w:w="990"/>
        <w:gridCol w:w="720"/>
        <w:gridCol w:w="270"/>
        <w:gridCol w:w="720"/>
        <w:gridCol w:w="1265"/>
        <w:gridCol w:w="900"/>
        <w:gridCol w:w="85"/>
        <w:gridCol w:w="990"/>
      </w:tblGrid>
      <w:tr w:rsidR="00AB6A7D" w:rsidRPr="00E31597" w14:paraId="0B365186" w14:textId="77777777" w:rsidTr="00BC19A8">
        <w:trPr>
          <w:gridAfter w:val="1"/>
          <w:cnfStyle w:val="100000000000" w:firstRow="1" w:lastRow="0" w:firstColumn="0" w:lastColumn="0" w:oddVBand="0" w:evenVBand="0" w:oddHBand="0" w:evenHBand="0" w:firstRowFirstColumn="0" w:firstRowLastColumn="0" w:lastRowFirstColumn="0" w:lastRowLastColumn="0"/>
          <w:wAfter w:w="990" w:type="dxa"/>
        </w:trPr>
        <w:tc>
          <w:tcPr>
            <w:cnfStyle w:val="001000000000" w:firstRow="0" w:lastRow="0" w:firstColumn="1" w:lastColumn="0" w:oddVBand="0" w:evenVBand="0" w:oddHBand="0" w:evenHBand="0" w:firstRowFirstColumn="0" w:firstRowLastColumn="0" w:lastRowFirstColumn="0" w:lastRowLastColumn="0"/>
            <w:tcW w:w="1800" w:type="dxa"/>
            <w:vMerge w:val="restart"/>
          </w:tcPr>
          <w:p w14:paraId="61BF6625" w14:textId="77777777" w:rsidR="00AB6A7D" w:rsidRPr="008C6933" w:rsidRDefault="00AB6A7D" w:rsidP="00EB234C">
            <w:r w:rsidRPr="008C6933">
              <w:t>Trial location</w:t>
            </w:r>
          </w:p>
        </w:tc>
        <w:tc>
          <w:tcPr>
            <w:tcW w:w="1530" w:type="dxa"/>
          </w:tcPr>
          <w:p w14:paraId="06BE8D49" w14:textId="77777777" w:rsidR="00AB6A7D" w:rsidRPr="00522FE4" w:rsidRDefault="00AB6A7D" w:rsidP="00EB234C">
            <w:pPr>
              <w:cnfStyle w:val="100000000000" w:firstRow="1" w:lastRow="0" w:firstColumn="0" w:lastColumn="0" w:oddVBand="0" w:evenVBand="0" w:oddHBand="0" w:evenHBand="0" w:firstRowFirstColumn="0" w:firstRowLastColumn="0" w:lastRowFirstColumn="0" w:lastRowLastColumn="0"/>
            </w:pPr>
            <w:r w:rsidRPr="0016671A">
              <w:rPr>
                <w:i/>
              </w:rPr>
              <w:t>Pf</w:t>
            </w:r>
            <w:r w:rsidRPr="00522FE4">
              <w:t>PR, C</w:t>
            </w:r>
            <w:r>
              <w:t>ontrol</w:t>
            </w:r>
            <w:r w:rsidRPr="00522FE4">
              <w:t xml:space="preserve"> arm</w:t>
            </w:r>
          </w:p>
        </w:tc>
        <w:tc>
          <w:tcPr>
            <w:tcW w:w="1795" w:type="dxa"/>
          </w:tcPr>
          <w:p w14:paraId="573ED5F3" w14:textId="77777777" w:rsidR="00AB6A7D" w:rsidRPr="008C6933" w:rsidRDefault="00AB6A7D" w:rsidP="00EB234C">
            <w:pPr>
              <w:cnfStyle w:val="100000000000" w:firstRow="1" w:lastRow="0" w:firstColumn="0" w:lastColumn="0" w:oddVBand="0" w:evenVBand="0" w:oddHBand="0" w:evenHBand="0" w:firstRowFirstColumn="0" w:firstRowLastColumn="0" w:lastRowFirstColumn="0" w:lastRowLastColumn="0"/>
            </w:pPr>
            <w:r w:rsidRPr="008C6933">
              <w:t>Seasonality CV</w:t>
            </w:r>
          </w:p>
        </w:tc>
        <w:tc>
          <w:tcPr>
            <w:tcW w:w="1710" w:type="dxa"/>
            <w:gridSpan w:val="2"/>
          </w:tcPr>
          <w:p w14:paraId="20A2C078" w14:textId="77777777" w:rsidR="00AB6A7D" w:rsidRPr="008C6933" w:rsidRDefault="00AB6A7D" w:rsidP="00EB234C">
            <w:pPr>
              <w:cnfStyle w:val="100000000000" w:firstRow="1" w:lastRow="0" w:firstColumn="0" w:lastColumn="0" w:oddVBand="0" w:evenVBand="0" w:oddHBand="0" w:evenHBand="0" w:firstRowFirstColumn="0" w:firstRowLastColumn="0" w:lastRowFirstColumn="0" w:lastRowLastColumn="0"/>
            </w:pPr>
            <w:r w:rsidRPr="008C6933">
              <w:t>ITN coverage/ usage last night</w:t>
            </w:r>
          </w:p>
        </w:tc>
        <w:tc>
          <w:tcPr>
            <w:tcW w:w="3240" w:type="dxa"/>
            <w:gridSpan w:val="5"/>
          </w:tcPr>
          <w:p w14:paraId="1EBE725E" w14:textId="77777777" w:rsidR="00AB6A7D" w:rsidRPr="008C6933" w:rsidRDefault="00AB6A7D" w:rsidP="00EB234C">
            <w:pPr>
              <w:cnfStyle w:val="100000000000" w:firstRow="1" w:lastRow="0" w:firstColumn="0" w:lastColumn="0" w:oddVBand="0" w:evenVBand="0" w:oddHBand="0" w:evenHBand="0" w:firstRowFirstColumn="0" w:firstRowLastColumn="0" w:lastRowFirstColumn="0" w:lastRowLastColumn="0"/>
            </w:pPr>
            <w:r w:rsidRPr="008C6933">
              <w:t>Coverage of effective treatment, uncomplicated cases</w:t>
            </w:r>
          </w:p>
        </w:tc>
      </w:tr>
      <w:tr w:rsidR="00AB6A7D" w:rsidRPr="00E31597" w14:paraId="49B31B6F" w14:textId="77777777" w:rsidTr="00BC1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tcPr>
          <w:p w14:paraId="3DE23F32" w14:textId="77777777" w:rsidR="00AB6A7D" w:rsidRPr="00247EF5" w:rsidRDefault="00AB6A7D" w:rsidP="00EB234C"/>
        </w:tc>
        <w:tc>
          <w:tcPr>
            <w:tcW w:w="3325" w:type="dxa"/>
            <w:gridSpan w:val="2"/>
          </w:tcPr>
          <w:p w14:paraId="2B9F3FE0" w14:textId="77777777" w:rsidR="00AB6A7D" w:rsidRPr="00247EF5" w:rsidRDefault="00AB6A7D" w:rsidP="00EB234C">
            <w:pPr>
              <w:cnfStyle w:val="000000100000" w:firstRow="0" w:lastRow="0" w:firstColumn="0" w:lastColumn="0" w:oddVBand="0" w:evenVBand="0" w:oddHBand="1" w:evenHBand="0" w:firstRowFirstColumn="0" w:firstRowLastColumn="0" w:lastRowFirstColumn="0" w:lastRowLastColumn="0"/>
            </w:pPr>
          </w:p>
        </w:tc>
        <w:tc>
          <w:tcPr>
            <w:tcW w:w="990" w:type="dxa"/>
          </w:tcPr>
          <w:p w14:paraId="17623EA2" w14:textId="77777777" w:rsidR="00AB6A7D" w:rsidRPr="00247EF5" w:rsidRDefault="00AB6A7D" w:rsidP="00EB234C">
            <w:pPr>
              <w:cnfStyle w:val="000000100000" w:firstRow="0" w:lastRow="0" w:firstColumn="0" w:lastColumn="0" w:oddVBand="0" w:evenVBand="0" w:oddHBand="1" w:evenHBand="0" w:firstRowFirstColumn="0" w:firstRowLastColumn="0" w:lastRowFirstColumn="0" w:lastRowLastColumn="0"/>
            </w:pPr>
          </w:p>
        </w:tc>
        <w:tc>
          <w:tcPr>
            <w:tcW w:w="990" w:type="dxa"/>
            <w:gridSpan w:val="2"/>
          </w:tcPr>
          <w:p w14:paraId="2F09808E" w14:textId="77777777" w:rsidR="00AB6A7D" w:rsidRPr="00247EF5" w:rsidRDefault="00AB6A7D" w:rsidP="00EB234C">
            <w:pPr>
              <w:cnfStyle w:val="000000100000" w:firstRow="0" w:lastRow="0" w:firstColumn="0" w:lastColumn="0" w:oddVBand="0" w:evenVBand="0" w:oddHBand="1" w:evenHBand="0" w:firstRowFirstColumn="0" w:firstRowLastColumn="0" w:lastRowFirstColumn="0" w:lastRowLastColumn="0"/>
            </w:pPr>
            <w:r w:rsidRPr="00247EF5">
              <w:t>C arm</w:t>
            </w:r>
          </w:p>
        </w:tc>
        <w:tc>
          <w:tcPr>
            <w:tcW w:w="720" w:type="dxa"/>
          </w:tcPr>
          <w:p w14:paraId="1A9587CD" w14:textId="77777777" w:rsidR="00AB6A7D" w:rsidRPr="00247EF5" w:rsidRDefault="00AB6A7D" w:rsidP="00EB234C">
            <w:pPr>
              <w:cnfStyle w:val="000000100000" w:firstRow="0" w:lastRow="0" w:firstColumn="0" w:lastColumn="0" w:oddVBand="0" w:evenVBand="0" w:oddHBand="1" w:evenHBand="0" w:firstRowFirstColumn="0" w:firstRowLastColumn="0" w:lastRowFirstColumn="0" w:lastRowLastColumn="0"/>
            </w:pPr>
            <w:r w:rsidRPr="00247EF5">
              <w:t>I arm</w:t>
            </w:r>
          </w:p>
        </w:tc>
        <w:tc>
          <w:tcPr>
            <w:tcW w:w="1265" w:type="dxa"/>
          </w:tcPr>
          <w:p w14:paraId="7587907F" w14:textId="77777777" w:rsidR="00AB6A7D" w:rsidRPr="00247EF5" w:rsidRDefault="00AB6A7D" w:rsidP="00EB234C">
            <w:pPr>
              <w:cnfStyle w:val="000000100000" w:firstRow="0" w:lastRow="0" w:firstColumn="0" w:lastColumn="0" w:oddVBand="0" w:evenVBand="0" w:oddHBand="1" w:evenHBand="0" w:firstRowFirstColumn="0" w:firstRowLastColumn="0" w:lastRowFirstColumn="0" w:lastRowLastColumn="0"/>
            </w:pPr>
            <w:r w:rsidRPr="00247EF5">
              <w:t>Pre-trial (C and I arms)</w:t>
            </w:r>
          </w:p>
        </w:tc>
        <w:tc>
          <w:tcPr>
            <w:tcW w:w="900" w:type="dxa"/>
          </w:tcPr>
          <w:p w14:paraId="6CBF4DD9" w14:textId="77777777" w:rsidR="00AB6A7D" w:rsidRPr="00247EF5" w:rsidRDefault="00AB6A7D" w:rsidP="00EB234C">
            <w:pPr>
              <w:cnfStyle w:val="000000100000" w:firstRow="0" w:lastRow="0" w:firstColumn="0" w:lastColumn="0" w:oddVBand="0" w:evenVBand="0" w:oddHBand="1" w:evenHBand="0" w:firstRowFirstColumn="0" w:firstRowLastColumn="0" w:lastRowFirstColumn="0" w:lastRowLastColumn="0"/>
            </w:pPr>
            <w:r w:rsidRPr="00247EF5">
              <w:t>C</w:t>
            </w:r>
            <w:r>
              <w:t xml:space="preserve"> arm, </w:t>
            </w:r>
            <w:r w:rsidRPr="00247EF5">
              <w:t>trial</w:t>
            </w:r>
          </w:p>
        </w:tc>
        <w:tc>
          <w:tcPr>
            <w:tcW w:w="1075" w:type="dxa"/>
            <w:gridSpan w:val="2"/>
          </w:tcPr>
          <w:p w14:paraId="021A6576" w14:textId="77777777" w:rsidR="00AB6A7D" w:rsidRPr="00247EF5" w:rsidRDefault="00AB6A7D" w:rsidP="00EB234C">
            <w:pPr>
              <w:cnfStyle w:val="000000100000" w:firstRow="0" w:lastRow="0" w:firstColumn="0" w:lastColumn="0" w:oddVBand="0" w:evenVBand="0" w:oddHBand="1" w:evenHBand="0" w:firstRowFirstColumn="0" w:firstRowLastColumn="0" w:lastRowFirstColumn="0" w:lastRowLastColumn="0"/>
            </w:pPr>
            <w:r w:rsidRPr="00247EF5">
              <w:t>I arm, trial</w:t>
            </w:r>
          </w:p>
        </w:tc>
      </w:tr>
      <w:tr w:rsidR="0033732E" w:rsidRPr="00E31597" w14:paraId="37C3E287" w14:textId="77777777" w:rsidTr="00BC19A8">
        <w:tc>
          <w:tcPr>
            <w:cnfStyle w:val="001000000000" w:firstRow="0" w:lastRow="0" w:firstColumn="1" w:lastColumn="0" w:oddVBand="0" w:evenVBand="0" w:oddHBand="0" w:evenHBand="0" w:firstRowFirstColumn="0" w:firstRowLastColumn="0" w:lastRowFirstColumn="0" w:lastRowLastColumn="0"/>
            <w:tcW w:w="1800" w:type="dxa"/>
          </w:tcPr>
          <w:p w14:paraId="77305AAC" w14:textId="77777777" w:rsidR="00AB6A7D" w:rsidRPr="00247EF5" w:rsidRDefault="00AB6A7D" w:rsidP="00EB234C"/>
        </w:tc>
        <w:tc>
          <w:tcPr>
            <w:tcW w:w="1530" w:type="dxa"/>
          </w:tcPr>
          <w:p w14:paraId="1513782A" w14:textId="77777777" w:rsidR="00AB6A7D" w:rsidRPr="008814B7" w:rsidRDefault="00AB6A7D" w:rsidP="00EB234C">
            <w:pPr>
              <w:cnfStyle w:val="000000000000" w:firstRow="0" w:lastRow="0" w:firstColumn="0" w:lastColumn="0" w:oddVBand="0" w:evenVBand="0" w:oddHBand="0" w:evenHBand="0" w:firstRowFirstColumn="0" w:firstRowLastColumn="0" w:lastRowFirstColumn="0" w:lastRowLastColumn="0"/>
            </w:pPr>
            <w:r w:rsidRPr="008814B7">
              <w:t>Predictions</w:t>
            </w:r>
          </w:p>
        </w:tc>
        <w:tc>
          <w:tcPr>
            <w:tcW w:w="1795" w:type="dxa"/>
          </w:tcPr>
          <w:p w14:paraId="26F5AA84" w14:textId="77777777" w:rsidR="00AB6A7D" w:rsidRPr="008814B7" w:rsidRDefault="00AB6A7D" w:rsidP="00EB234C">
            <w:pPr>
              <w:cnfStyle w:val="000000000000" w:firstRow="0" w:lastRow="0" w:firstColumn="0" w:lastColumn="0" w:oddVBand="0" w:evenVBand="0" w:oddHBand="0" w:evenHBand="0" w:firstRowFirstColumn="0" w:firstRowLastColumn="0" w:lastRowFirstColumn="0" w:lastRowLastColumn="0"/>
            </w:pPr>
            <w:r w:rsidRPr="008814B7">
              <w:t>Trial data</w:t>
            </w:r>
          </w:p>
        </w:tc>
        <w:tc>
          <w:tcPr>
            <w:tcW w:w="990" w:type="dxa"/>
          </w:tcPr>
          <w:p w14:paraId="399B59D4" w14:textId="77777777" w:rsidR="00AB6A7D" w:rsidRPr="00247EF5" w:rsidRDefault="00AB6A7D" w:rsidP="00EB234C">
            <w:pPr>
              <w:cnfStyle w:val="000000000000" w:firstRow="0" w:lastRow="0" w:firstColumn="0" w:lastColumn="0" w:oddVBand="0" w:evenVBand="0" w:oddHBand="0" w:evenHBand="0" w:firstRowFirstColumn="0" w:firstRowLastColumn="0" w:lastRowFirstColumn="0" w:lastRowLastColumn="0"/>
            </w:pPr>
          </w:p>
        </w:tc>
        <w:tc>
          <w:tcPr>
            <w:tcW w:w="990" w:type="dxa"/>
            <w:gridSpan w:val="2"/>
          </w:tcPr>
          <w:p w14:paraId="17D1E59F" w14:textId="77777777" w:rsidR="00AB6A7D" w:rsidRPr="00247EF5" w:rsidRDefault="00AB6A7D" w:rsidP="00EB234C">
            <w:pPr>
              <w:cnfStyle w:val="000000000000" w:firstRow="0" w:lastRow="0" w:firstColumn="0" w:lastColumn="0" w:oddVBand="0" w:evenVBand="0" w:oddHBand="0" w:evenHBand="0" w:firstRowFirstColumn="0" w:firstRowLastColumn="0" w:lastRowFirstColumn="0" w:lastRowLastColumn="0"/>
            </w:pPr>
          </w:p>
        </w:tc>
        <w:tc>
          <w:tcPr>
            <w:tcW w:w="720" w:type="dxa"/>
          </w:tcPr>
          <w:p w14:paraId="6A62C2CD" w14:textId="77777777" w:rsidR="00AB6A7D" w:rsidRPr="00247EF5" w:rsidRDefault="00AB6A7D" w:rsidP="00EB234C">
            <w:pPr>
              <w:cnfStyle w:val="000000000000" w:firstRow="0" w:lastRow="0" w:firstColumn="0" w:lastColumn="0" w:oddVBand="0" w:evenVBand="0" w:oddHBand="0" w:evenHBand="0" w:firstRowFirstColumn="0" w:firstRowLastColumn="0" w:lastRowFirstColumn="0" w:lastRowLastColumn="0"/>
            </w:pPr>
          </w:p>
        </w:tc>
        <w:tc>
          <w:tcPr>
            <w:tcW w:w="1265" w:type="dxa"/>
          </w:tcPr>
          <w:p w14:paraId="69D81B98" w14:textId="77777777" w:rsidR="00AB6A7D" w:rsidRPr="00247EF5" w:rsidRDefault="00AB6A7D" w:rsidP="00EB234C">
            <w:pPr>
              <w:cnfStyle w:val="000000000000" w:firstRow="0" w:lastRow="0" w:firstColumn="0" w:lastColumn="0" w:oddVBand="0" w:evenVBand="0" w:oddHBand="0" w:evenHBand="0" w:firstRowFirstColumn="0" w:firstRowLastColumn="0" w:lastRowFirstColumn="0" w:lastRowLastColumn="0"/>
            </w:pPr>
          </w:p>
        </w:tc>
        <w:tc>
          <w:tcPr>
            <w:tcW w:w="900" w:type="dxa"/>
          </w:tcPr>
          <w:p w14:paraId="22A7905B" w14:textId="77777777" w:rsidR="00AB6A7D" w:rsidRPr="00247EF5" w:rsidRDefault="00AB6A7D" w:rsidP="00EB234C">
            <w:pPr>
              <w:cnfStyle w:val="000000000000" w:firstRow="0" w:lastRow="0" w:firstColumn="0" w:lastColumn="0" w:oddVBand="0" w:evenVBand="0" w:oddHBand="0" w:evenHBand="0" w:firstRowFirstColumn="0" w:firstRowLastColumn="0" w:lastRowFirstColumn="0" w:lastRowLastColumn="0"/>
            </w:pPr>
          </w:p>
        </w:tc>
        <w:tc>
          <w:tcPr>
            <w:tcW w:w="1075" w:type="dxa"/>
            <w:gridSpan w:val="2"/>
          </w:tcPr>
          <w:p w14:paraId="1159A963" w14:textId="77777777" w:rsidR="00AB6A7D" w:rsidRPr="00247EF5" w:rsidRDefault="00AB6A7D" w:rsidP="00EB234C">
            <w:pPr>
              <w:cnfStyle w:val="000000000000" w:firstRow="0" w:lastRow="0" w:firstColumn="0" w:lastColumn="0" w:oddVBand="0" w:evenVBand="0" w:oddHBand="0" w:evenHBand="0" w:firstRowFirstColumn="0" w:firstRowLastColumn="0" w:lastRowFirstColumn="0" w:lastRowLastColumn="0"/>
            </w:pPr>
          </w:p>
        </w:tc>
      </w:tr>
      <w:tr w:rsidR="0033732E" w14:paraId="5549436C" w14:textId="77777777" w:rsidTr="00BC1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70D62B48" w14:textId="77777777" w:rsidR="00AB6A7D" w:rsidRDefault="00AB6A7D" w:rsidP="00EB234C">
            <w:r>
              <w:t>Upper-East province, Ghana</w:t>
            </w:r>
          </w:p>
        </w:tc>
        <w:tc>
          <w:tcPr>
            <w:tcW w:w="1530" w:type="dxa"/>
          </w:tcPr>
          <w:p w14:paraId="63476BFB" w14:textId="4214F9CE" w:rsidR="00AB6A7D" w:rsidRPr="00AD3387" w:rsidRDefault="008A2C6B" w:rsidP="008A2C6B">
            <w:pPr>
              <w:cnfStyle w:val="000000100000" w:firstRow="0" w:lastRow="0" w:firstColumn="0" w:lastColumn="0" w:oddVBand="0" w:evenVBand="0" w:oddHBand="1" w:evenHBand="0" w:firstRowFirstColumn="0" w:firstRowLastColumn="0" w:lastRowFirstColumn="0" w:lastRowLastColumn="0"/>
            </w:pPr>
            <w:r>
              <w:t>69</w:t>
            </w:r>
            <w:r w:rsidR="00AB6A7D" w:rsidRPr="00AD3387">
              <w:t xml:space="preserve">%* </w:t>
            </w:r>
            <w:r w:rsidR="00AB6A7D" w:rsidRPr="00AD3387">
              <w:br/>
              <w:t>(</w:t>
            </w:r>
            <w:r>
              <w:t>0-59 months</w:t>
            </w:r>
            <w:r w:rsidR="00AB6A7D" w:rsidRPr="00AD3387">
              <w:t>)</w:t>
            </w:r>
          </w:p>
        </w:tc>
        <w:tc>
          <w:tcPr>
            <w:tcW w:w="1795" w:type="dxa"/>
          </w:tcPr>
          <w:p w14:paraId="46065BB8" w14:textId="77777777" w:rsidR="00AB6A7D" w:rsidRPr="00694E5B" w:rsidRDefault="00AB6A7D" w:rsidP="00EB234C">
            <w:pPr>
              <w:cnfStyle w:val="000000100000" w:firstRow="0" w:lastRow="0" w:firstColumn="0" w:lastColumn="0" w:oddVBand="0" w:evenVBand="0" w:oddHBand="1" w:evenHBand="0" w:firstRowFirstColumn="0" w:firstRowLastColumn="0" w:lastRowFirstColumn="0" w:lastRowLastColumn="0"/>
            </w:pPr>
            <w:r w:rsidRPr="00694E5B">
              <w:t xml:space="preserve">69% </w:t>
            </w:r>
            <w:r>
              <w:br/>
            </w:r>
            <w:r w:rsidRPr="00694E5B">
              <w:t>(0-59 months)</w:t>
            </w:r>
          </w:p>
        </w:tc>
        <w:tc>
          <w:tcPr>
            <w:tcW w:w="990" w:type="dxa"/>
          </w:tcPr>
          <w:p w14:paraId="7CF96C05" w14:textId="77777777" w:rsidR="00AB6A7D" w:rsidRPr="00522FE4" w:rsidRDefault="00AB6A7D" w:rsidP="00EB234C">
            <w:pPr>
              <w:cnfStyle w:val="000000100000" w:firstRow="0" w:lastRow="0" w:firstColumn="0" w:lastColumn="0" w:oddVBand="0" w:evenVBand="0" w:oddHBand="1" w:evenHBand="0" w:firstRowFirstColumn="0" w:firstRowLastColumn="0" w:lastRowFirstColumn="0" w:lastRowLastColumn="0"/>
            </w:pPr>
            <w:r w:rsidRPr="00522FE4">
              <w:t>1.53</w:t>
            </w:r>
          </w:p>
        </w:tc>
        <w:tc>
          <w:tcPr>
            <w:tcW w:w="990" w:type="dxa"/>
            <w:gridSpan w:val="2"/>
          </w:tcPr>
          <w:p w14:paraId="07B1F547" w14:textId="77777777" w:rsidR="00AB6A7D" w:rsidRDefault="00AB6A7D" w:rsidP="00EB234C">
            <w:pPr>
              <w:cnfStyle w:val="000000100000" w:firstRow="0" w:lastRow="0" w:firstColumn="0" w:lastColumn="0" w:oddVBand="0" w:evenVBand="0" w:oddHBand="1" w:evenHBand="0" w:firstRowFirstColumn="0" w:firstRowLastColumn="0" w:lastRowFirstColumn="0" w:lastRowLastColumn="0"/>
            </w:pPr>
            <w:r>
              <w:t>0%</w:t>
            </w:r>
          </w:p>
        </w:tc>
        <w:tc>
          <w:tcPr>
            <w:tcW w:w="720" w:type="dxa"/>
          </w:tcPr>
          <w:p w14:paraId="511B6934" w14:textId="77777777" w:rsidR="00AB6A7D" w:rsidRDefault="00AB6A7D" w:rsidP="00EB234C">
            <w:pPr>
              <w:cnfStyle w:val="000000100000" w:firstRow="0" w:lastRow="0" w:firstColumn="0" w:lastColumn="0" w:oddVBand="0" w:evenVBand="0" w:oddHBand="1" w:evenHBand="0" w:firstRowFirstColumn="0" w:firstRowLastColumn="0" w:lastRowFirstColumn="0" w:lastRowLastColumn="0"/>
            </w:pPr>
            <w:r>
              <w:t>60%</w:t>
            </w:r>
          </w:p>
        </w:tc>
        <w:tc>
          <w:tcPr>
            <w:tcW w:w="1265" w:type="dxa"/>
          </w:tcPr>
          <w:p w14:paraId="239FC383" w14:textId="77777777" w:rsidR="00AB6A7D" w:rsidRDefault="00AB6A7D" w:rsidP="00EB234C">
            <w:pPr>
              <w:cnfStyle w:val="000000100000" w:firstRow="0" w:lastRow="0" w:firstColumn="0" w:lastColumn="0" w:oddVBand="0" w:evenVBand="0" w:oddHBand="1" w:evenHBand="0" w:firstRowFirstColumn="0" w:firstRowLastColumn="0" w:lastRowFirstColumn="0" w:lastRowLastColumn="0"/>
            </w:pPr>
            <w:r w:rsidRPr="00AC6619">
              <w:t>10%</w:t>
            </w:r>
          </w:p>
        </w:tc>
        <w:tc>
          <w:tcPr>
            <w:tcW w:w="900" w:type="dxa"/>
          </w:tcPr>
          <w:p w14:paraId="431C4757" w14:textId="77777777" w:rsidR="00AB6A7D" w:rsidRDefault="00AB6A7D" w:rsidP="00EB234C">
            <w:pPr>
              <w:cnfStyle w:val="000000100000" w:firstRow="0" w:lastRow="0" w:firstColumn="0" w:lastColumn="0" w:oddVBand="0" w:evenVBand="0" w:oddHBand="1" w:evenHBand="0" w:firstRowFirstColumn="0" w:firstRowLastColumn="0" w:lastRowFirstColumn="0" w:lastRowLastColumn="0"/>
            </w:pPr>
            <w:r w:rsidRPr="00AC6619">
              <w:t>10%</w:t>
            </w:r>
          </w:p>
        </w:tc>
        <w:tc>
          <w:tcPr>
            <w:tcW w:w="1075" w:type="dxa"/>
            <w:gridSpan w:val="2"/>
          </w:tcPr>
          <w:p w14:paraId="2EE9AAC6" w14:textId="77777777" w:rsidR="00AB6A7D" w:rsidRDefault="00AB6A7D" w:rsidP="00EB234C">
            <w:pPr>
              <w:cnfStyle w:val="000000100000" w:firstRow="0" w:lastRow="0" w:firstColumn="0" w:lastColumn="0" w:oddVBand="0" w:evenVBand="0" w:oddHBand="1" w:evenHBand="0" w:firstRowFirstColumn="0" w:firstRowLastColumn="0" w:lastRowFirstColumn="0" w:lastRowLastColumn="0"/>
            </w:pPr>
            <w:r w:rsidRPr="00AC6619">
              <w:t>10%</w:t>
            </w:r>
          </w:p>
        </w:tc>
      </w:tr>
      <w:tr w:rsidR="0033732E" w14:paraId="2E7DA63F" w14:textId="77777777" w:rsidTr="00BC19A8">
        <w:tc>
          <w:tcPr>
            <w:cnfStyle w:val="001000000000" w:firstRow="0" w:lastRow="0" w:firstColumn="1" w:lastColumn="0" w:oddVBand="0" w:evenVBand="0" w:oddHBand="0" w:evenHBand="0" w:firstRowFirstColumn="0" w:firstRowLastColumn="0" w:lastRowFirstColumn="0" w:lastRowLastColumn="0"/>
            <w:tcW w:w="1800" w:type="dxa"/>
          </w:tcPr>
          <w:p w14:paraId="76AC69BC" w14:textId="77777777" w:rsidR="00AB6A7D" w:rsidRDefault="00AB6A7D" w:rsidP="00EB234C">
            <w:r>
              <w:t>Asembo Bay, Western Kenya</w:t>
            </w:r>
          </w:p>
        </w:tc>
        <w:tc>
          <w:tcPr>
            <w:tcW w:w="1530" w:type="dxa"/>
          </w:tcPr>
          <w:p w14:paraId="4F6159E4" w14:textId="1600018E" w:rsidR="00AB6A7D" w:rsidRPr="00AD3387" w:rsidRDefault="008A2C6B" w:rsidP="00EB234C">
            <w:pPr>
              <w:cnfStyle w:val="000000000000" w:firstRow="0" w:lastRow="0" w:firstColumn="0" w:lastColumn="0" w:oddVBand="0" w:evenVBand="0" w:oddHBand="0" w:evenHBand="0" w:firstRowFirstColumn="0" w:firstRowLastColumn="0" w:lastRowFirstColumn="0" w:lastRowLastColumn="0"/>
            </w:pPr>
            <w:r>
              <w:t>48</w:t>
            </w:r>
            <w:r w:rsidR="00AB6A7D" w:rsidRPr="00AD3387">
              <w:t xml:space="preserve">%* </w:t>
            </w:r>
            <w:r w:rsidR="00AB6A7D" w:rsidRPr="00AD3387">
              <w:br/>
              <w:t>(</w:t>
            </w:r>
            <w:r w:rsidR="00BC19A8">
              <w:t>0-59 months</w:t>
            </w:r>
            <w:r w:rsidR="00AB6A7D" w:rsidRPr="00AD3387">
              <w:t>)</w:t>
            </w:r>
          </w:p>
        </w:tc>
        <w:tc>
          <w:tcPr>
            <w:tcW w:w="1795" w:type="dxa"/>
          </w:tcPr>
          <w:p w14:paraId="64C25EC3" w14:textId="5DFB9F25" w:rsidR="00AB6A7D" w:rsidRPr="00694E5B" w:rsidRDefault="00AB6A7D" w:rsidP="00EB234C">
            <w:pPr>
              <w:cnfStyle w:val="000000000000" w:firstRow="0" w:lastRow="0" w:firstColumn="0" w:lastColumn="0" w:oddVBand="0" w:evenVBand="0" w:oddHBand="0" w:evenHBand="0" w:firstRowFirstColumn="0" w:firstRowLastColumn="0" w:lastRowFirstColumn="0" w:lastRowLastColumn="0"/>
            </w:pPr>
            <w:r w:rsidRPr="00694E5B">
              <w:t xml:space="preserve">63% </w:t>
            </w:r>
            <w:r>
              <w:br/>
            </w:r>
            <w:r w:rsidRPr="00694E5B">
              <w:t>(0</w:t>
            </w:r>
            <w:r w:rsidR="00BA5E73">
              <w:t>–</w:t>
            </w:r>
            <w:r w:rsidRPr="00694E5B">
              <w:t>35 months, 3</w:t>
            </w:r>
            <w:r w:rsidRPr="00694E5B">
              <w:rPr>
                <w:vertAlign w:val="superscript"/>
              </w:rPr>
              <w:t>rd</w:t>
            </w:r>
            <w:r w:rsidRPr="00694E5B">
              <w:t>/</w:t>
            </w:r>
            <w:r>
              <w:t xml:space="preserve"> </w:t>
            </w:r>
            <w:r w:rsidRPr="00694E5B">
              <w:t>last survey)</w:t>
            </w:r>
          </w:p>
        </w:tc>
        <w:tc>
          <w:tcPr>
            <w:tcW w:w="990" w:type="dxa"/>
          </w:tcPr>
          <w:p w14:paraId="0FBA3E01" w14:textId="77777777" w:rsidR="00AB6A7D" w:rsidRPr="00522FE4" w:rsidRDefault="00AB6A7D" w:rsidP="00EB234C">
            <w:pPr>
              <w:cnfStyle w:val="000000000000" w:firstRow="0" w:lastRow="0" w:firstColumn="0" w:lastColumn="0" w:oddVBand="0" w:evenVBand="0" w:oddHBand="0" w:evenHBand="0" w:firstRowFirstColumn="0" w:firstRowLastColumn="0" w:lastRowFirstColumn="0" w:lastRowLastColumn="0"/>
            </w:pPr>
            <w:r w:rsidRPr="00522FE4">
              <w:t>0.50</w:t>
            </w:r>
          </w:p>
        </w:tc>
        <w:tc>
          <w:tcPr>
            <w:tcW w:w="990" w:type="dxa"/>
            <w:gridSpan w:val="2"/>
          </w:tcPr>
          <w:p w14:paraId="76E953B3" w14:textId="77777777" w:rsidR="00AB6A7D" w:rsidRDefault="00AB6A7D" w:rsidP="00EB234C">
            <w:pPr>
              <w:cnfStyle w:val="000000000000" w:firstRow="0" w:lastRow="0" w:firstColumn="0" w:lastColumn="0" w:oddVBand="0" w:evenVBand="0" w:oddHBand="0" w:evenHBand="0" w:firstRowFirstColumn="0" w:firstRowLastColumn="0" w:lastRowFirstColumn="0" w:lastRowLastColumn="0"/>
            </w:pPr>
            <w:r>
              <w:t>5%</w:t>
            </w:r>
          </w:p>
        </w:tc>
        <w:tc>
          <w:tcPr>
            <w:tcW w:w="720" w:type="dxa"/>
          </w:tcPr>
          <w:p w14:paraId="703CE1BA" w14:textId="77777777" w:rsidR="00AB6A7D" w:rsidRDefault="00AB6A7D" w:rsidP="00EB234C">
            <w:pPr>
              <w:cnfStyle w:val="000000000000" w:firstRow="0" w:lastRow="0" w:firstColumn="0" w:lastColumn="0" w:oddVBand="0" w:evenVBand="0" w:oddHBand="0" w:evenHBand="0" w:firstRowFirstColumn="0" w:firstRowLastColumn="0" w:lastRowFirstColumn="0" w:lastRowLastColumn="0"/>
            </w:pPr>
            <w:r>
              <w:t>57%</w:t>
            </w:r>
          </w:p>
        </w:tc>
        <w:tc>
          <w:tcPr>
            <w:tcW w:w="1265" w:type="dxa"/>
          </w:tcPr>
          <w:p w14:paraId="6AAC8565" w14:textId="77777777" w:rsidR="00AB6A7D" w:rsidRDefault="00AB6A7D" w:rsidP="00EB234C">
            <w:pPr>
              <w:cnfStyle w:val="000000000000" w:firstRow="0" w:lastRow="0" w:firstColumn="0" w:lastColumn="0" w:oddVBand="0" w:evenVBand="0" w:oddHBand="0" w:evenHBand="0" w:firstRowFirstColumn="0" w:firstRowLastColumn="0" w:lastRowFirstColumn="0" w:lastRowLastColumn="0"/>
            </w:pPr>
            <w:r>
              <w:t>10%</w:t>
            </w:r>
          </w:p>
        </w:tc>
        <w:tc>
          <w:tcPr>
            <w:tcW w:w="900" w:type="dxa"/>
          </w:tcPr>
          <w:p w14:paraId="77865206" w14:textId="77777777" w:rsidR="00AB6A7D" w:rsidRDefault="00AB6A7D" w:rsidP="00EB234C">
            <w:pPr>
              <w:cnfStyle w:val="000000000000" w:firstRow="0" w:lastRow="0" w:firstColumn="0" w:lastColumn="0" w:oddVBand="0" w:evenVBand="0" w:oddHBand="0" w:evenHBand="0" w:firstRowFirstColumn="0" w:firstRowLastColumn="0" w:lastRowFirstColumn="0" w:lastRowLastColumn="0"/>
            </w:pPr>
            <w:r>
              <w:t>30%**</w:t>
            </w:r>
          </w:p>
        </w:tc>
        <w:tc>
          <w:tcPr>
            <w:tcW w:w="1075" w:type="dxa"/>
            <w:gridSpan w:val="2"/>
          </w:tcPr>
          <w:p w14:paraId="7705A451" w14:textId="77777777" w:rsidR="00AB6A7D" w:rsidRDefault="00AB6A7D" w:rsidP="00EB234C">
            <w:pPr>
              <w:cnfStyle w:val="000000000000" w:firstRow="0" w:lastRow="0" w:firstColumn="0" w:lastColumn="0" w:oddVBand="0" w:evenVBand="0" w:oddHBand="0" w:evenHBand="0" w:firstRowFirstColumn="0" w:firstRowLastColumn="0" w:lastRowFirstColumn="0" w:lastRowLastColumn="0"/>
            </w:pPr>
            <w:r>
              <w:t>30%**</w:t>
            </w:r>
          </w:p>
        </w:tc>
      </w:tr>
      <w:tr w:rsidR="0033732E" w14:paraId="7F6C91EB" w14:textId="77777777" w:rsidTr="00BC1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255F8B3E" w14:textId="77777777" w:rsidR="00AB6A7D" w:rsidRDefault="00AB6A7D" w:rsidP="00EB234C">
            <w:r>
              <w:t>Kilifi / Coast, Kenya</w:t>
            </w:r>
          </w:p>
        </w:tc>
        <w:tc>
          <w:tcPr>
            <w:tcW w:w="1530" w:type="dxa"/>
          </w:tcPr>
          <w:p w14:paraId="5D6D8085" w14:textId="2C76822C" w:rsidR="00AB6A7D" w:rsidRPr="00694E5B" w:rsidRDefault="008A2C6B" w:rsidP="00EB234C">
            <w:pPr>
              <w:cnfStyle w:val="000000100000" w:firstRow="0" w:lastRow="0" w:firstColumn="0" w:lastColumn="0" w:oddVBand="0" w:evenVBand="0" w:oddHBand="1" w:evenHBand="0" w:firstRowFirstColumn="0" w:firstRowLastColumn="0" w:lastRowFirstColumn="0" w:lastRowLastColumn="0"/>
            </w:pPr>
            <w:r>
              <w:t>35</w:t>
            </w:r>
            <w:r w:rsidR="00AB6A7D" w:rsidRPr="00694E5B">
              <w:t xml:space="preserve">% </w:t>
            </w:r>
            <w:r w:rsidR="00AB6A7D">
              <w:br/>
            </w:r>
            <w:r w:rsidR="00AB6A7D" w:rsidRPr="00694E5B">
              <w:t>(2</w:t>
            </w:r>
            <w:r w:rsidR="00BA5E73">
              <w:t>–</w:t>
            </w:r>
            <w:r w:rsidR="00AB6A7D" w:rsidRPr="00694E5B">
              <w:t>9 years)</w:t>
            </w:r>
          </w:p>
        </w:tc>
        <w:tc>
          <w:tcPr>
            <w:tcW w:w="1795" w:type="dxa"/>
          </w:tcPr>
          <w:p w14:paraId="4CE85498" w14:textId="2670D60E" w:rsidR="00AB6A7D" w:rsidRPr="00694E5B" w:rsidRDefault="00BC19A8" w:rsidP="00EB234C">
            <w:pPr>
              <w:cnfStyle w:val="000000100000" w:firstRow="0" w:lastRow="0" w:firstColumn="0" w:lastColumn="0" w:oddVBand="0" w:evenVBand="0" w:oddHBand="1" w:evenHBand="0" w:firstRowFirstColumn="0" w:firstRowLastColumn="0" w:lastRowFirstColumn="0" w:lastRowLastColumn="0"/>
            </w:pPr>
            <w:r>
              <w:t>35</w:t>
            </w:r>
            <w:r w:rsidR="00AB6A7D" w:rsidRPr="00694E5B">
              <w:t xml:space="preserve">% </w:t>
            </w:r>
            <w:r w:rsidR="00AB6A7D">
              <w:br/>
            </w:r>
            <w:r w:rsidR="00AB6A7D" w:rsidRPr="00694E5B">
              <w:t>(1</w:t>
            </w:r>
            <w:r w:rsidR="00BA5E73">
              <w:t>–</w:t>
            </w:r>
            <w:r w:rsidR="00AB6A7D" w:rsidRPr="00694E5B">
              <w:t>9 years)</w:t>
            </w:r>
          </w:p>
        </w:tc>
        <w:tc>
          <w:tcPr>
            <w:tcW w:w="990" w:type="dxa"/>
          </w:tcPr>
          <w:p w14:paraId="080222BD" w14:textId="77777777" w:rsidR="00AB6A7D" w:rsidRDefault="00AB6A7D" w:rsidP="00EB234C">
            <w:pPr>
              <w:cnfStyle w:val="000000100000" w:firstRow="0" w:lastRow="0" w:firstColumn="0" w:lastColumn="0" w:oddVBand="0" w:evenVBand="0" w:oddHBand="1" w:evenHBand="0" w:firstRowFirstColumn="0" w:firstRowLastColumn="0" w:lastRowFirstColumn="0" w:lastRowLastColumn="0"/>
            </w:pPr>
            <w:r>
              <w:t>0.48</w:t>
            </w:r>
          </w:p>
        </w:tc>
        <w:tc>
          <w:tcPr>
            <w:tcW w:w="990" w:type="dxa"/>
            <w:gridSpan w:val="2"/>
          </w:tcPr>
          <w:p w14:paraId="54FB6621" w14:textId="77777777" w:rsidR="00AB6A7D" w:rsidRDefault="00AB6A7D" w:rsidP="00EB234C">
            <w:pPr>
              <w:cnfStyle w:val="000000100000" w:firstRow="0" w:lastRow="0" w:firstColumn="0" w:lastColumn="0" w:oddVBand="0" w:evenVBand="0" w:oddHBand="1" w:evenHBand="0" w:firstRowFirstColumn="0" w:firstRowLastColumn="0" w:lastRowFirstColumn="0" w:lastRowLastColumn="0"/>
            </w:pPr>
            <w:r>
              <w:t>0%</w:t>
            </w:r>
          </w:p>
        </w:tc>
        <w:tc>
          <w:tcPr>
            <w:tcW w:w="720" w:type="dxa"/>
          </w:tcPr>
          <w:p w14:paraId="4B89E60A" w14:textId="77777777" w:rsidR="00AB6A7D" w:rsidRDefault="00AB6A7D" w:rsidP="00EB234C">
            <w:pPr>
              <w:cnfStyle w:val="000000100000" w:firstRow="0" w:lastRow="0" w:firstColumn="0" w:lastColumn="0" w:oddVBand="0" w:evenVBand="0" w:oddHBand="1" w:evenHBand="0" w:firstRowFirstColumn="0" w:firstRowLastColumn="0" w:lastRowFirstColumn="0" w:lastRowLastColumn="0"/>
            </w:pPr>
            <w:r>
              <w:t>60%</w:t>
            </w:r>
          </w:p>
        </w:tc>
        <w:tc>
          <w:tcPr>
            <w:tcW w:w="1265" w:type="dxa"/>
          </w:tcPr>
          <w:p w14:paraId="044AF69C" w14:textId="77777777" w:rsidR="00AB6A7D" w:rsidRDefault="00AB6A7D" w:rsidP="00EB234C">
            <w:pPr>
              <w:cnfStyle w:val="000000100000" w:firstRow="0" w:lastRow="0" w:firstColumn="0" w:lastColumn="0" w:oddVBand="0" w:evenVBand="0" w:oddHBand="1" w:evenHBand="0" w:firstRowFirstColumn="0" w:firstRowLastColumn="0" w:lastRowFirstColumn="0" w:lastRowLastColumn="0"/>
            </w:pPr>
            <w:r>
              <w:t>10%</w:t>
            </w:r>
          </w:p>
        </w:tc>
        <w:tc>
          <w:tcPr>
            <w:tcW w:w="900" w:type="dxa"/>
          </w:tcPr>
          <w:p w14:paraId="4AE38481" w14:textId="77777777" w:rsidR="00AB6A7D" w:rsidRDefault="00AB6A7D" w:rsidP="00EB234C">
            <w:pPr>
              <w:cnfStyle w:val="000000100000" w:firstRow="0" w:lastRow="0" w:firstColumn="0" w:lastColumn="0" w:oddVBand="0" w:evenVBand="0" w:oddHBand="1" w:evenHBand="0" w:firstRowFirstColumn="0" w:firstRowLastColumn="0" w:lastRowFirstColumn="0" w:lastRowLastColumn="0"/>
            </w:pPr>
            <w:r>
              <w:t>30%**</w:t>
            </w:r>
          </w:p>
        </w:tc>
        <w:tc>
          <w:tcPr>
            <w:tcW w:w="1075" w:type="dxa"/>
            <w:gridSpan w:val="2"/>
          </w:tcPr>
          <w:p w14:paraId="155F2DCB" w14:textId="77777777" w:rsidR="00AB6A7D" w:rsidRDefault="00AB6A7D" w:rsidP="00EB234C">
            <w:pPr>
              <w:cnfStyle w:val="000000100000" w:firstRow="0" w:lastRow="0" w:firstColumn="0" w:lastColumn="0" w:oddVBand="0" w:evenVBand="0" w:oddHBand="1" w:evenHBand="0" w:firstRowFirstColumn="0" w:firstRowLastColumn="0" w:lastRowFirstColumn="0" w:lastRowLastColumn="0"/>
            </w:pPr>
            <w:r>
              <w:t>30%**</w:t>
            </w:r>
          </w:p>
        </w:tc>
      </w:tr>
      <w:tr w:rsidR="00AB6A7D" w14:paraId="09E1AA5F" w14:textId="77777777" w:rsidTr="00BC19A8">
        <w:tc>
          <w:tcPr>
            <w:cnfStyle w:val="001000000000" w:firstRow="0" w:lastRow="0" w:firstColumn="1" w:lastColumn="0" w:oddVBand="0" w:evenVBand="0" w:oddHBand="0" w:evenHBand="0" w:firstRowFirstColumn="0" w:firstRowLastColumn="0" w:lastRowFirstColumn="0" w:lastRowLastColumn="0"/>
            <w:tcW w:w="1800" w:type="dxa"/>
          </w:tcPr>
          <w:p w14:paraId="0326E806" w14:textId="77777777" w:rsidR="00AB6A7D" w:rsidRDefault="00AB6A7D" w:rsidP="00EB234C">
            <w:r>
              <w:t>Source</w:t>
            </w:r>
          </w:p>
        </w:tc>
        <w:tc>
          <w:tcPr>
            <w:tcW w:w="1530" w:type="dxa"/>
          </w:tcPr>
          <w:p w14:paraId="069FE734" w14:textId="77777777" w:rsidR="00AB6A7D" w:rsidRPr="00694E5B" w:rsidRDefault="00AB6A7D" w:rsidP="00EB234C">
            <w:pPr>
              <w:cnfStyle w:val="000000000000" w:firstRow="0" w:lastRow="0" w:firstColumn="0" w:lastColumn="0" w:oddVBand="0" w:evenVBand="0" w:oddHBand="0" w:evenHBand="0" w:firstRowFirstColumn="0" w:firstRowLastColumn="0" w:lastRowFirstColumn="0" w:lastRowLastColumn="0"/>
            </w:pPr>
            <w:r>
              <w:t>*</w:t>
            </w:r>
          </w:p>
        </w:tc>
        <w:tc>
          <w:tcPr>
            <w:tcW w:w="1795" w:type="dxa"/>
          </w:tcPr>
          <w:p w14:paraId="3F757223" w14:textId="5EEC80D6" w:rsidR="00AB6A7D" w:rsidRPr="00694E5B" w:rsidRDefault="0018140D" w:rsidP="00E566AB">
            <w:pPr>
              <w:cnfStyle w:val="000000000000" w:firstRow="0" w:lastRow="0" w:firstColumn="0" w:lastColumn="0" w:oddVBand="0" w:evenVBand="0" w:oddHBand="0" w:evenHBand="0" w:firstRowFirstColumn="0" w:firstRowLastColumn="0" w:lastRowFirstColumn="0" w:lastRowLastColumn="0"/>
            </w:pPr>
            <w:r>
              <w:fldChar w:fldCharType="begin"/>
            </w:r>
            <w:r w:rsidR="00E566AB">
              <w:instrText xml:space="preserve"> ADDIN EN.CITE &lt;EndNote&gt;&lt;Cite&gt;&lt;Author&gt;Lengeler&lt;/Author&gt;&lt;Year&gt;2004&lt;/Year&gt;&lt;RecNum&gt;2033&lt;/RecNum&gt;&lt;DisplayText&gt;[1]&lt;/DisplayText&gt;&lt;record&gt;&lt;rec-number&gt;2033&lt;/rec-number&gt;&lt;foreign-keys&gt;&lt;key app="EN" db-id="dtz50rr5a0tdt0etvw35szph0drzvzxrtwe0"&gt;2033&lt;/key&gt;&lt;/foreign-keys&gt;&lt;ref-type name="Report"&gt;27&lt;/ref-type&gt;&lt;contributors&gt;&lt;authors&gt;&lt;author&gt;Lengeler, C.&lt;/author&gt;&lt;/authors&gt;&lt;secondary-authors&gt;&lt;author&gt;Editorial Group: Cochrane Infectious Diseases Group&lt;/author&gt;&lt;/secondary-authors&gt;&lt;tertiary-authors&gt;&lt;author&gt;John Wiley &amp;amp; Sons, Ltd.&lt;/author&gt;&lt;/tertiary-authors&gt;&lt;/contributors&gt;&lt;auth-address&gt;Public Health and Epidemiology, Swiss Tropical Institute, Basel, Switzerland, 4002.&lt;/auth-address&gt;&lt;titles&gt;&lt;title&gt;Insecticide-treated bed nets and curtains for preventing malaria&lt;/title&gt;&lt;secondary-title&gt;Cochrane Database Syst Rev&lt;/secondary-title&gt;&lt;/titles&gt;&lt;pages&gt;CD000363&lt;/pages&gt;&lt;number&gt;3&lt;/number&gt;&lt;keywords&gt;&lt;keyword&gt;*Bedding and Linens&lt;/keyword&gt;&lt;keyword&gt;Female&lt;/keyword&gt;&lt;keyword&gt;Human&lt;/keyword&gt;&lt;keyword&gt;Insecticides/*administration &amp;amp; dosage&lt;/keyword&gt;&lt;keyword&gt;Malaria/*prevention &amp;amp; control&lt;/keyword&gt;&lt;keyword&gt;Malaria, Falciparum/prevention &amp;amp; control&lt;/keyword&gt;&lt;keyword&gt;Malaria, Vivax/prevention &amp;amp; control&lt;/keyword&gt;&lt;keyword&gt;Male&lt;/keyword&gt;&lt;keyword&gt;Mosquito Control/*methods&lt;/keyword&gt;&lt;keyword&gt;Pregnancy&lt;/keyword&gt;&lt;keyword&gt;Randomized Controlled Trials&lt;/keyword&gt;&lt;/keywords&gt;&lt;dates&gt;&lt;year&gt;2004&lt;/year&gt;&lt;pub-dates&gt;&lt;date&gt;18 January&lt;/date&gt;&lt;/pub-dates&gt;&lt;/dates&gt;&lt;accession-num&gt;15106149&lt;/accession-num&gt;&lt;label&gt;review, bednet: effectiveness, RCT&lt;/label&gt;&lt;urls&gt;&lt;related-urls&gt;&lt;url&gt;http://onlinelibrary.wiley.com/doi/10.1002/14651858.CD000363.pub2/pdf&lt;/url&gt;&lt;/related-urls&gt;&lt;/urls&gt;&lt;electronic-resource-num&gt;10.1002/14651858.CD000363.pub2&amp;#xD;&lt;/electronic-resource-num&gt;&lt;/record&gt;&lt;/Cite&gt;&lt;/EndNote&gt;</w:instrText>
            </w:r>
            <w:r>
              <w:fldChar w:fldCharType="separate"/>
            </w:r>
            <w:r w:rsidR="00E566AB">
              <w:rPr>
                <w:noProof/>
              </w:rPr>
              <w:t>[</w:t>
            </w:r>
            <w:hyperlink w:anchor="_ENREF_1" w:tooltip="Lengeler, 2004 #2033" w:history="1">
              <w:r w:rsidR="00E566AB">
                <w:rPr>
                  <w:noProof/>
                </w:rPr>
                <w:t>1</w:t>
              </w:r>
            </w:hyperlink>
            <w:r w:rsidR="00E566AB">
              <w:rPr>
                <w:noProof/>
              </w:rPr>
              <w:t>]</w:t>
            </w:r>
            <w:r>
              <w:fldChar w:fldCharType="end"/>
            </w:r>
          </w:p>
        </w:tc>
        <w:tc>
          <w:tcPr>
            <w:tcW w:w="990" w:type="dxa"/>
          </w:tcPr>
          <w:p w14:paraId="17A874B0" w14:textId="4D2D9290" w:rsidR="00AB6A7D" w:rsidRDefault="0018140D" w:rsidP="00E566AB">
            <w:pPr>
              <w:cnfStyle w:val="000000000000" w:firstRow="0" w:lastRow="0" w:firstColumn="0" w:lastColumn="0" w:oddVBand="0" w:evenVBand="0" w:oddHBand="0" w:evenHBand="0" w:firstRowFirstColumn="0" w:firstRowLastColumn="0" w:lastRowFirstColumn="0" w:lastRowLastColumn="0"/>
            </w:pPr>
            <w:r>
              <w:fldChar w:fldCharType="begin">
                <w:fldData xml:space="preserve">PEVuZE5vdGU+PENpdGU+PEF1dGhvcj5TaW5rYTwvQXV0aG9yPjxZZWFyPjIwMTA8L1llYXI+PFJl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</w:fldData>
              </w:fldChar>
            </w:r>
            <w:r w:rsidR="00E566AB">
              <w:instrText xml:space="preserve"> ADDIN EN.CITE </w:instrText>
            </w:r>
            <w:r w:rsidR="00E566AB">
              <w:fldChar w:fldCharType="begin">
                <w:fldData xml:space="preserve">PEVuZE5vdGU+PENpdGU+PEF1dGhvcj5TaW5rYTwvQXV0aG9yPjxZZWFyPjIwMTA8L1llYXI+PFJl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</w:fldData>
              </w:fldChar>
            </w:r>
            <w:r w:rsidR="00E566AB">
              <w:instrText xml:space="preserve"> ADDIN EN.CITE.DATA </w:instrText>
            </w:r>
            <w:r w:rsidR="00E566AB">
              <w:fldChar w:fldCharType="end"/>
            </w:r>
            <w:r>
              <w:fldChar w:fldCharType="separate"/>
            </w:r>
            <w:r w:rsidR="00E566AB">
              <w:rPr>
                <w:noProof/>
              </w:rPr>
              <w:t>[</w:t>
            </w:r>
            <w:hyperlink w:anchor="_ENREF_2" w:tooltip="Sinka, 2010 #5058" w:history="1">
              <w:r w:rsidR="00E566AB">
                <w:rPr>
                  <w:noProof/>
                </w:rPr>
                <w:t>2</w:t>
              </w:r>
            </w:hyperlink>
            <w:r w:rsidR="00E566AB">
              <w:rPr>
                <w:noProof/>
              </w:rPr>
              <w:t xml:space="preserve">, </w:t>
            </w:r>
            <w:hyperlink w:anchor="_ENREF_3" w:tooltip="Sinka, 2012 #5057" w:history="1">
              <w:r w:rsidR="00E566AB">
                <w:rPr>
                  <w:noProof/>
                </w:rPr>
                <w:t>3</w:t>
              </w:r>
            </w:hyperlink>
            <w:r w:rsidR="00E566AB">
              <w:rPr>
                <w:noProof/>
              </w:rPr>
              <w:t>]</w:t>
            </w:r>
            <w:r>
              <w:fldChar w:fldCharType="end"/>
            </w:r>
          </w:p>
        </w:tc>
        <w:tc>
          <w:tcPr>
            <w:tcW w:w="4950" w:type="dxa"/>
            <w:gridSpan w:val="7"/>
          </w:tcPr>
          <w:p w14:paraId="34912F2C" w14:textId="5F6FABCC" w:rsidR="00AB6A7D" w:rsidRDefault="00AB6A7D" w:rsidP="00EB234C">
            <w:pPr>
              <w:cnfStyle w:val="000000000000" w:firstRow="0" w:lastRow="0" w:firstColumn="0" w:lastColumn="0" w:oddVBand="0" w:evenVBand="0" w:oddHBand="0" w:evenHBand="0" w:firstRowFirstColumn="0" w:firstRowLastColumn="0" w:lastRowFirstColumn="0" w:lastRowLastColumn="0"/>
            </w:pPr>
            <w:r>
              <w:t xml:space="preserve">Asembo: </w:t>
            </w:r>
            <w:r w:rsidR="0018140D">
              <w:fldChar w:fldCharType="begin">
                <w:fldData xml:space="preserve">PEVuZE5vdGU+PENpdGU+PEF1dGhvcj5QaGlsbGlwcy1Ib3dhcmQ8L0F1dGhvcj48WWVhcj4yMDAz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</w:fldData>
              </w:fldChar>
            </w:r>
            <w:r w:rsidR="00E566AB">
              <w:instrText xml:space="preserve"> ADDIN EN.CITE </w:instrText>
            </w:r>
            <w:r w:rsidR="00E566AB">
              <w:fldChar w:fldCharType="begin">
                <w:fldData xml:space="preserve">PEVuZE5vdGU+PENpdGU+PEF1dGhvcj5QaGlsbGlwcy1Ib3dhcmQ8L0F1dGhvcj48WWVhcj4yMDAz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</w:fldData>
              </w:fldChar>
            </w:r>
            <w:r w:rsidR="00E566AB">
              <w:instrText xml:space="preserve"> ADDIN EN.CITE.DATA </w:instrText>
            </w:r>
            <w:r w:rsidR="00E566AB">
              <w:fldChar w:fldCharType="end"/>
            </w:r>
            <w:r w:rsidR="0018140D">
              <w:fldChar w:fldCharType="separate"/>
            </w:r>
            <w:r w:rsidR="00E566AB">
              <w:rPr>
                <w:noProof/>
              </w:rPr>
              <w:t>[</w:t>
            </w:r>
            <w:hyperlink w:anchor="_ENREF_4" w:tooltip="Phillips-Howard, 2003 #1079" w:history="1">
              <w:r w:rsidR="00E566AB">
                <w:rPr>
                  <w:noProof/>
                </w:rPr>
                <w:t>4</w:t>
              </w:r>
            </w:hyperlink>
            <w:r w:rsidR="00E566AB">
              <w:rPr>
                <w:noProof/>
              </w:rPr>
              <w:t xml:space="preserve">, </w:t>
            </w:r>
            <w:hyperlink w:anchor="_ENREF_5" w:tooltip="Hawley, 2003 #1104" w:history="1">
              <w:r w:rsidR="00E566AB">
                <w:rPr>
                  <w:noProof/>
                </w:rPr>
                <w:t>5</w:t>
              </w:r>
            </w:hyperlink>
            <w:r w:rsidR="00E566AB">
              <w:rPr>
                <w:noProof/>
              </w:rPr>
              <w:t>]</w:t>
            </w:r>
            <w:r w:rsidR="0018140D">
              <w:fldChar w:fldCharType="end"/>
            </w:r>
          </w:p>
          <w:p w14:paraId="40CB7D68" w14:textId="3C461393" w:rsidR="00AB6A7D" w:rsidRDefault="00AB6A7D" w:rsidP="00EB234C">
            <w:pPr>
              <w:cnfStyle w:val="000000000000" w:firstRow="0" w:lastRow="0" w:firstColumn="0" w:lastColumn="0" w:oddVBand="0" w:evenVBand="0" w:oddHBand="0" w:evenHBand="0" w:firstRowFirstColumn="0" w:firstRowLastColumn="0" w:lastRowFirstColumn="0" w:lastRowLastColumn="0"/>
            </w:pPr>
            <w:r>
              <w:t xml:space="preserve">Ghana: </w:t>
            </w:r>
            <w:r w:rsidR="0018140D">
              <w:fldChar w:fldCharType="begin"/>
            </w:r>
            <w:r w:rsidR="00E566AB">
              <w:instrText xml:space="preserve"> ADDIN EN.CITE &lt;EndNote&gt;&lt;Cite&gt;&lt;Author&gt;Binka&lt;/Author&gt;&lt;Year&gt;1996&lt;/Year&gt;&lt;RecNum&gt;135&lt;/RecNum&gt;&lt;DisplayText&gt;[6]&lt;/DisplayText&gt;&lt;record&gt;&lt;rec-number&gt;135&lt;/rec-number&gt;&lt;foreign-keys&gt;&lt;key app="EN" db-id="dtz50rr5a0tdt0etvw35szph0drzvzxrtwe0"&gt;135&lt;/key&gt;&lt;/foreign-keys&gt;&lt;ref-type name="Journal Article"&gt;17&lt;/ref-type&gt;&lt;contributors&gt;&lt;authors&gt;&lt;author&gt;Binka, F. N.&lt;/author&gt;&lt;author&gt;Kubaje, A.&lt;/author&gt;&lt;author&gt;Adjuik, M.&lt;/author&gt;&lt;author&gt;Williams, L. A.&lt;/author&gt;&lt;author&gt;Lengeler, C.&lt;/author&gt;&lt;author&gt;Maude, G. H.&lt;/author&gt;&lt;author&gt;Armah, G. E.&lt;/author&gt;&lt;author&gt;Kajihara, B.&lt;/author&gt;&lt;author&gt;Adiamah, J. H.&lt;/author&gt;&lt;author&gt;Smith, P. G.&lt;/author&gt;&lt;/authors&gt;&lt;/contributors&gt;&lt;titles&gt;&lt;title&gt;Impact of permethrin impregnated bednets on child mortality in Kassena-Nankana district, Ghana: a randomized controlled trial&lt;/title&gt;&lt;secondary-title&gt;Trop Med Int Health&lt;/secondary-title&gt;&lt;/titles&gt;&lt;pages&gt;147-54&lt;/pages&gt;&lt;volume&gt;1&lt;/volume&gt;&lt;number&gt;2&lt;/number&gt;&lt;keywords&gt;&lt;keyword&gt;*Bedding and Linens&lt;/keyword&gt;&lt;keyword&gt;Cause of Death&lt;/keyword&gt;&lt;keyword&gt;Child, Preschool&lt;/keyword&gt;&lt;keyword&gt;Female&lt;/keyword&gt;&lt;keyword&gt;Ghana/epidemiology&lt;/keyword&gt;&lt;keyword&gt;Human&lt;/keyword&gt;&lt;keyword&gt;Infant&lt;/keyword&gt;&lt;keyword&gt;*Infant Mortality&lt;/keyword&gt;&lt;keyword&gt;*Insecticides, Botanical&lt;/keyword&gt;&lt;keyword&gt;Longitudinal Studies&lt;/keyword&gt;&lt;keyword&gt;Malaria, Falciparum/mortality/*prevention &amp;amp; control&lt;/keyword&gt;&lt;keyword&gt;Male&lt;/keyword&gt;&lt;keyword&gt;Mosquito Control/*methods&lt;/keyword&gt;&lt;keyword&gt;Population Surveillance&lt;/keyword&gt;&lt;keyword&gt;*Pyrethrins&lt;/keyword&gt;&lt;keyword&gt;Rural Health&lt;/keyword&gt;&lt;keyword&gt;Seasons&lt;/keyword&gt;&lt;keyword&gt;Support, Non-U.S. Gov&amp;apos;t&lt;/keyword&gt;&lt;/keywords&gt;&lt;dates&gt;&lt;year&gt;1996&lt;/year&gt;&lt;/dates&gt;&lt;label&gt;bednet, mortality: child, surveillance, VBA, seasonality&lt;/label&gt;&lt;urls&gt;&lt;/urls&gt;&lt;/record&gt;&lt;/Cite&gt;&lt;/EndNote&gt;</w:instrText>
            </w:r>
            <w:r w:rsidR="0018140D">
              <w:fldChar w:fldCharType="separate"/>
            </w:r>
            <w:r w:rsidR="00E566AB">
              <w:rPr>
                <w:noProof/>
              </w:rPr>
              <w:t>[</w:t>
            </w:r>
            <w:hyperlink w:anchor="_ENREF_6" w:tooltip="Binka, 1996 #135" w:history="1">
              <w:r w:rsidR="00E566AB">
                <w:rPr>
                  <w:noProof/>
                </w:rPr>
                <w:t>6</w:t>
              </w:r>
            </w:hyperlink>
            <w:r w:rsidR="00E566AB">
              <w:rPr>
                <w:noProof/>
              </w:rPr>
              <w:t>]</w:t>
            </w:r>
            <w:r w:rsidR="0018140D">
              <w:fldChar w:fldCharType="end"/>
            </w:r>
          </w:p>
          <w:p w14:paraId="5996D120" w14:textId="52E4167A" w:rsidR="00AB6A7D" w:rsidRDefault="00AB6A7D" w:rsidP="00E566AB">
            <w:pPr>
              <w:cnfStyle w:val="000000000000" w:firstRow="0" w:lastRow="0" w:firstColumn="0" w:lastColumn="0" w:oddVBand="0" w:evenVBand="0" w:oddHBand="0" w:evenHBand="0" w:firstRowFirstColumn="0" w:firstRowLastColumn="0" w:lastRowFirstColumn="0" w:lastRowLastColumn="0"/>
            </w:pPr>
            <w:r>
              <w:t xml:space="preserve">Kilifi: </w:t>
            </w:r>
            <w:r w:rsidR="0018140D">
              <w:fldChar w:fldCharType="begin"/>
            </w:r>
            <w:r w:rsidR="00E566AB">
              <w:instrText xml:space="preserve"> ADDIN EN.CITE &lt;EndNote&gt;&lt;Cite&gt;&lt;Author&gt;Nevill&lt;/Author&gt;&lt;Year&gt;1996&lt;/Year&gt;&lt;RecNum&gt;83&lt;/RecNum&gt;&lt;DisplayText&gt;[7]&lt;/DisplayText&gt;&lt;record&gt;&lt;rec-number&gt;83&lt;/rec-number&gt;&lt;foreign-keys&gt;&lt;key app="EN" db-id="dtz50rr5a0tdt0etvw35szph0drzvzxrtwe0"&gt;83&lt;/key&gt;&lt;/foreign-keys&gt;&lt;ref-type name="Journal Article"&gt;17&lt;/ref-type&gt;&lt;contributors&gt;&lt;authors&gt;&lt;author&gt;Nevill, C. G.&lt;/author&gt;&lt;author&gt;Some, E. S.&lt;/author&gt;&lt;author&gt;Mung&amp;apos;ala, V. O.&lt;/author&gt;&lt;author&gt;Mutemi, W.&lt;/author&gt;&lt;author&gt;New, L.&lt;/author&gt;&lt;author&gt;Marsh, K.&lt;/author&gt;&lt;author&gt;Lengeler, C.&lt;/author&gt;&lt;author&gt;Snow, R. W.&lt;/author&gt;&lt;/authors&gt;&lt;/contributors&gt;&lt;titles&gt;&lt;title&gt;Insecticide-treated bednets reduce mortality and severe morbidity from malaria among children on the Kenyan coast&lt;/title&gt;&lt;secondary-title&gt;Trop Med Int Health&lt;/secondary-title&gt;&lt;/titles&gt;&lt;pages&gt;139-46&lt;/pages&gt;&lt;volume&gt;1&lt;/volume&gt;&lt;number&gt;2&lt;/number&gt;&lt;keywords&gt;&lt;keyword&gt;*Bedding and Linens&lt;/keyword&gt;&lt;keyword&gt;Child, Preschool&lt;/keyword&gt;&lt;keyword&gt;Human&lt;/keyword&gt;&lt;keyword&gt;Infant&lt;/keyword&gt;&lt;keyword&gt;Infant Mortality&lt;/keyword&gt;&lt;keyword&gt;*Insecticides, Botanical&lt;/keyword&gt;&lt;keyword&gt;Kenya/epidemiology&lt;/keyword&gt;&lt;keyword&gt;Malaria, Falciparum/epidemiology/*prevention &amp;amp; control&lt;/keyword&gt;&lt;keyword&gt;Morbidity&lt;/keyword&gt;&lt;keyword&gt;Mosquito Control/*methods&lt;/keyword&gt;&lt;keyword&gt;Population Surveillance&lt;/keyword&gt;&lt;keyword&gt;*Pyrethrins&lt;/keyword&gt;&lt;keyword&gt;Rural Health&lt;/keyword&gt;&lt;keyword&gt;Support, Non-U.S. Gov&amp;apos;t&lt;/keyword&gt;&lt;/keywords&gt;&lt;dates&gt;&lt;year&gt;1996&lt;/year&gt;&lt;/dates&gt;&lt;label&gt;mortality: child, RCT, bednet_: effectiveness&lt;/label&gt;&lt;urls&gt;&lt;/urls&gt;&lt;/record&gt;&lt;/Cite&gt;&lt;/EndNote&gt;</w:instrText>
            </w:r>
            <w:r w:rsidR="0018140D">
              <w:fldChar w:fldCharType="separate"/>
            </w:r>
            <w:r w:rsidR="00E566AB">
              <w:rPr>
                <w:noProof/>
              </w:rPr>
              <w:t>[</w:t>
            </w:r>
            <w:hyperlink w:anchor="_ENREF_7" w:tooltip="Nevill, 1996 #83" w:history="1">
              <w:r w:rsidR="00E566AB">
                <w:rPr>
                  <w:noProof/>
                </w:rPr>
                <w:t>7</w:t>
              </w:r>
            </w:hyperlink>
            <w:r w:rsidR="00E566AB">
              <w:rPr>
                <w:noProof/>
              </w:rPr>
              <w:t>]</w:t>
            </w:r>
            <w:r w:rsidR="0018140D">
              <w:fldChar w:fldCharType="end"/>
            </w:r>
          </w:p>
        </w:tc>
      </w:tr>
    </w:tbl>
    <w:p w14:paraId="3151A7A6" w14:textId="77777777" w:rsidR="00AB6A7D" w:rsidRDefault="00AB6A7D" w:rsidP="00EB234C"/>
    <w:p w14:paraId="24995A6E" w14:textId="77777777" w:rsidR="00AB6A7D" w:rsidRPr="008E612B" w:rsidRDefault="00AB6A7D" w:rsidP="00EB234C">
      <w:pPr>
        <w:rPr>
          <w:sz w:val="20"/>
        </w:rPr>
      </w:pPr>
      <w:r w:rsidRPr="008E612B">
        <w:rPr>
          <w:sz w:val="20"/>
        </w:rPr>
        <w:t>Abbreviations: CV = coefficient of variation, C = control, I = intervention; ITN = insecticide treated net.</w:t>
      </w:r>
    </w:p>
    <w:p w14:paraId="2A2F009C" w14:textId="53649416" w:rsidR="00AB6A7D" w:rsidRPr="008E612B" w:rsidRDefault="00AB6A7D" w:rsidP="00EB234C">
      <w:pPr>
        <w:rPr>
          <w:sz w:val="20"/>
        </w:rPr>
      </w:pPr>
      <w:r w:rsidRPr="008E612B">
        <w:rPr>
          <w:sz w:val="20"/>
        </w:rPr>
        <w:t xml:space="preserve">Notes to Table </w:t>
      </w:r>
      <w:r w:rsidR="008E612B" w:rsidRPr="008E612B">
        <w:rPr>
          <w:sz w:val="20"/>
        </w:rPr>
        <w:t>AF</w:t>
      </w:r>
      <w:r w:rsidR="00BC19A8">
        <w:rPr>
          <w:sz w:val="20"/>
        </w:rPr>
        <w:t>3</w:t>
      </w:r>
      <w:r w:rsidR="00FA6AE9" w:rsidRPr="008E612B">
        <w:rPr>
          <w:sz w:val="20"/>
        </w:rPr>
        <w:t>.A</w:t>
      </w:r>
      <w:r w:rsidRPr="008E612B">
        <w:rPr>
          <w:sz w:val="20"/>
        </w:rPr>
        <w:t>:</w:t>
      </w:r>
    </w:p>
    <w:p w14:paraId="2E659B9B" w14:textId="0B01A135" w:rsidR="002F6E3F" w:rsidRPr="002F6E3F" w:rsidRDefault="00AB6A7D" w:rsidP="00EB234C">
      <w:pPr>
        <w:rPr>
          <w:sz w:val="20"/>
          <w:szCs w:val="20"/>
        </w:rPr>
      </w:pPr>
      <w:r w:rsidRPr="008E612B">
        <w:rPr>
          <w:i/>
          <w:sz w:val="20"/>
        </w:rPr>
        <w:t xml:space="preserve">* </w:t>
      </w:r>
      <w:r w:rsidRPr="002F6E3F">
        <w:rPr>
          <w:sz w:val="20"/>
          <w:szCs w:val="20"/>
        </w:rPr>
        <w:t xml:space="preserve">Calculated </w:t>
      </w:r>
      <w:r w:rsidR="008A2C6B">
        <w:rPr>
          <w:sz w:val="20"/>
          <w:szCs w:val="20"/>
        </w:rPr>
        <w:t xml:space="preserve">from predictions for 2-9 year group, </w:t>
      </w:r>
      <w:r w:rsidRPr="002F6E3F">
        <w:rPr>
          <w:sz w:val="20"/>
          <w:szCs w:val="20"/>
        </w:rPr>
        <w:t>using age patterns and relationship as in OpenMalaria simulations</w:t>
      </w:r>
      <w:proofErr w:type="gramStart"/>
      <w:r w:rsidRPr="002F6E3F">
        <w:rPr>
          <w:sz w:val="20"/>
          <w:szCs w:val="20"/>
        </w:rPr>
        <w:t xml:space="preserve">: </w:t>
      </w:r>
      <w:proofErr w:type="gramEnd"/>
      <w:r w:rsidRPr="002F6E3F">
        <w:rPr>
          <w:sz w:val="20"/>
          <w:szCs w:val="20"/>
        </w:rPr>
        <w:br/>
      </w:r>
      <m:oMath>
        <m:r>
          <m:rPr>
            <m:sty m:val="p"/>
          </m:rPr>
          <w:rPr>
            <w:rFonts w:ascii="Cambria Math" w:hAnsi="Cambria Math"/>
            <w:sz w:val="20"/>
            <w:szCs w:val="20"/>
          </w:rPr>
          <m:t>y= 0.282863x+ 0.72199</m:t>
        </m:r>
        <m:sSup>
          <m:sSupPr>
            <m:ctrlPr>
              <w:rPr>
                <w:rFonts w:ascii="Cambria Math" w:hAnsi="Cambria Math"/>
                <w:sz w:val="20"/>
                <w:szCs w:val="20"/>
              </w:rPr>
            </m:ctrlPr>
          </m:sSupPr>
          <m:e>
            <m:r>
              <m:rPr>
                <m:sty m:val="p"/>
              </m:rPr>
              <w:rPr>
                <w:rFonts w:ascii="Cambria Math" w:hAnsi="Cambria Math"/>
                <w:sz w:val="20"/>
                <w:szCs w:val="20"/>
              </w:rPr>
              <m:t>x</m:t>
            </m:r>
          </m:e>
          <m:sup>
            <m:r>
              <w:rPr>
                <w:rFonts w:ascii="Cambria Math" w:hAnsi="Cambria Math"/>
                <w:sz w:val="20"/>
                <w:szCs w:val="20"/>
              </w:rPr>
              <m:t>2</m:t>
            </m:r>
          </m:sup>
        </m:sSup>
      </m:oMath>
      <w:r w:rsidR="002205A5" w:rsidRPr="002F6E3F">
        <w:rPr>
          <w:sz w:val="20"/>
          <w:szCs w:val="20"/>
        </w:rPr>
        <w:t xml:space="preserve">, </w:t>
      </w:r>
      <w:r w:rsidR="002F6E3F">
        <w:rPr>
          <w:sz w:val="20"/>
          <w:szCs w:val="20"/>
        </w:rPr>
        <w:br/>
      </w:r>
      <w:r w:rsidR="002205A5" w:rsidRPr="002F6E3F">
        <w:rPr>
          <w:sz w:val="20"/>
          <w:szCs w:val="20"/>
        </w:rPr>
        <w:t xml:space="preserve">where </w:t>
      </w:r>
      <m:oMath>
        <m:r>
          <m:rPr>
            <m:sty m:val="p"/>
          </m:rPr>
          <w:rPr>
            <w:rFonts w:ascii="Cambria Math" w:hAnsi="Cambria Math"/>
            <w:sz w:val="20"/>
            <w:szCs w:val="20"/>
          </w:rPr>
          <m:t>y</m:t>
        </m:r>
      </m:oMath>
      <w:r w:rsidR="002205A5" w:rsidRPr="002F6E3F">
        <w:rPr>
          <w:sz w:val="20"/>
          <w:szCs w:val="20"/>
        </w:rPr>
        <w:t xml:space="preserve"> is </w:t>
      </w:r>
      <w:r w:rsidR="002F6E3F" w:rsidRPr="002F6E3F">
        <w:rPr>
          <w:i/>
          <w:sz w:val="20"/>
          <w:szCs w:val="20"/>
        </w:rPr>
        <w:t>Pf</w:t>
      </w:r>
      <w:r w:rsidR="002F6E3F" w:rsidRPr="002F6E3F">
        <w:rPr>
          <w:sz w:val="20"/>
          <w:szCs w:val="20"/>
        </w:rPr>
        <w:t xml:space="preserve">PR </w:t>
      </w:r>
      <w:r w:rsidR="002205A5" w:rsidRPr="002F6E3F">
        <w:rPr>
          <w:sz w:val="20"/>
          <w:szCs w:val="20"/>
        </w:rPr>
        <w:t xml:space="preserve">in the age group 0 to 4 </w:t>
      </w:r>
      <w:r w:rsidR="002F6E3F" w:rsidRPr="002F6E3F">
        <w:rPr>
          <w:sz w:val="20"/>
          <w:szCs w:val="20"/>
        </w:rPr>
        <w:t xml:space="preserve">years, </w:t>
      </w:r>
      <w:r w:rsidR="00161039" w:rsidRPr="002F6E3F">
        <w:rPr>
          <w:sz w:val="20"/>
          <w:szCs w:val="20"/>
        </w:rPr>
        <w:t xml:space="preserve">and </w:t>
      </w:r>
      <m:oMath>
        <m:r>
          <w:rPr>
            <w:rFonts w:ascii="Cambria Math" w:hAnsi="Cambria Math"/>
            <w:sz w:val="20"/>
            <w:szCs w:val="20"/>
          </w:rPr>
          <m:t>x</m:t>
        </m:r>
      </m:oMath>
      <w:r w:rsidR="00161039" w:rsidRPr="002F6E3F">
        <w:rPr>
          <w:sz w:val="20"/>
          <w:szCs w:val="20"/>
        </w:rPr>
        <w:t xml:space="preserve"> is </w:t>
      </w:r>
      <w:r w:rsidR="002F6E3F" w:rsidRPr="002F6E3F">
        <w:rPr>
          <w:i/>
          <w:sz w:val="20"/>
          <w:szCs w:val="20"/>
        </w:rPr>
        <w:t>Pf</w:t>
      </w:r>
      <w:r w:rsidR="002F6E3F" w:rsidRPr="002F6E3F">
        <w:rPr>
          <w:sz w:val="20"/>
          <w:szCs w:val="20"/>
        </w:rPr>
        <w:t xml:space="preserve">PR </w:t>
      </w:r>
      <w:r w:rsidR="00161039" w:rsidRPr="002F6E3F">
        <w:rPr>
          <w:sz w:val="20"/>
          <w:szCs w:val="20"/>
        </w:rPr>
        <w:t>in the age group 2 to 9</w:t>
      </w:r>
      <w:r w:rsidRPr="002F6E3F">
        <w:rPr>
          <w:sz w:val="20"/>
          <w:szCs w:val="20"/>
        </w:rPr>
        <w:t xml:space="preserve"> </w:t>
      </w:r>
      <w:r w:rsidR="002F6E3F" w:rsidRPr="002F6E3F">
        <w:rPr>
          <w:sz w:val="20"/>
          <w:szCs w:val="20"/>
        </w:rPr>
        <w:t xml:space="preserve">years. </w:t>
      </w:r>
    </w:p>
    <w:p w14:paraId="260F5054" w14:textId="0B0F52BE" w:rsidR="00AB6A7D" w:rsidRPr="008E612B" w:rsidRDefault="00AB6A7D" w:rsidP="00EB234C">
      <w:pPr>
        <w:rPr>
          <w:sz w:val="20"/>
        </w:rPr>
      </w:pPr>
      <w:r w:rsidRPr="008E612B">
        <w:rPr>
          <w:sz w:val="20"/>
        </w:rPr>
        <w:t xml:space="preserve">In the two Kenya trials, coverage of effective case management was higher than the regional typical coverage at the time, since trials undertook active disease surveillance and treated any detected cases, in both control and intervention arms. These trial-specific high treatment coverages were simulated (instead of provincial averages for the pre-ITN period), to avoid over-estimating the added value of ITNs. </w:t>
      </w:r>
    </w:p>
    <w:p w14:paraId="34897724" w14:textId="77777777" w:rsidR="00AB6A7D" w:rsidRPr="00B4747E" w:rsidRDefault="00AB6A7D" w:rsidP="00EB234C"/>
    <w:p w14:paraId="18AC64A4" w14:textId="77777777" w:rsidR="00AB6A7D" w:rsidRPr="00B4747E" w:rsidRDefault="00AB6A7D" w:rsidP="00EB234C"/>
    <w:p w14:paraId="0F9CB783" w14:textId="5D046201" w:rsidR="00B4747E" w:rsidRPr="00B4747E" w:rsidRDefault="00B4747E" w:rsidP="00EB234C">
      <w:r>
        <w:t xml:space="preserve">Our external validation evaluated the regression models ‘fit’ against trial-observed reductions for </w:t>
      </w:r>
      <w:r w:rsidRPr="00B4747E">
        <w:t xml:space="preserve">both for all-cause post-neonatal under-5 mortality and for malaria-attributable mortality (MAM). These </w:t>
      </w:r>
      <w:r>
        <w:t xml:space="preserve">two validation outcomes </w:t>
      </w:r>
      <w:r w:rsidRPr="00B4747E">
        <w:t>are based on the same trial-observed data for all-cause post-neonatal under-5 mortality (ACCM), but expressed differently. In trial data, the protective efficacy (PE) of ITNs in reducing malaria-attribut</w:t>
      </w:r>
      <w:r w:rsidR="00341E7F">
        <w:t>able</w:t>
      </w:r>
      <w:r w:rsidRPr="00B4747E">
        <w:t xml:space="preserve"> mortality (the complement of the rate ratio shown) reflects the observed ACCM rate reduction, expressed as percentage of control-arm malaria-attributed mortality, according to the definition used by WHO and the UN Child Health Epidemiology Reference Group (CHERG) in regional and global estimates of malaria mortality trends and lives saved by ITNs </w:t>
      </w:r>
      <w:r w:rsidR="0018140D">
        <w:fldChar w:fldCharType="begin"/>
      </w:r>
      <w:r w:rsidR="00E566AB">
        <w:instrText xml:space="preserve"> ADDIN EN.CITE &lt;EndNote&gt;&lt;Cite&gt;&lt;Author&gt;Eisele&lt;/Author&gt;&lt;Year&gt;2010&lt;/Year&gt;&lt;RecNum&gt;3526&lt;/RecNum&gt;&lt;DisplayText&gt;[8]&lt;/DisplayText&gt;&lt;record&gt;&lt;rec-number&gt;3526&lt;/rec-number&gt;&lt;foreign-keys&gt;&lt;key app="EN" db-id="dtz50rr5a0tdt0etvw35szph0drzvzxrtwe0"&gt;3526&lt;/key&gt;&lt;/foreign-keys&gt;&lt;ref-type name="Journal Article"&gt;17&lt;/ref-type&gt;&lt;contributors&gt;&lt;authors&gt;&lt;author&gt;Eisele, T.P.&lt;/author&gt;&lt;author&gt;Larsen, D.&lt;/author&gt;&lt;author&gt;Steketee, R.&lt;/author&gt;&lt;/authors&gt;&lt;/contributors&gt;&lt;titles&gt;&lt;title&gt;&lt;style face="normal" font="default" size="100%"&gt;Protective efficacy of interventions for preventing malaria mortality in children in &lt;/style&gt;&lt;style face="italic" font="default" size="100%"&gt;Plasmodium falciparum&lt;/style&gt;&lt;style face="normal" font="default" size="100%"&gt; endemic areas / Modeling the Impact of Scaling up Interventions for Malaria&lt;/style&gt;&lt;/title&gt;&lt;secondary-title&gt;Int J Epid&lt;/secondary-title&gt;&lt;/titles&gt;&lt;pages&gt;i88-i101&lt;/pages&gt;&lt;volume&gt;39&lt;/volume&gt;&lt;number&gt;Suppl.1&lt;/number&gt;&lt;dates&gt;&lt;year&gt;2010&lt;/year&gt;&lt;/dates&gt;&lt;urls&gt;&lt;/urls&gt;&lt;/record&gt;&lt;/Cite&gt;&lt;/EndNote&gt;</w:instrText>
      </w:r>
      <w:r w:rsidR="0018140D">
        <w:fldChar w:fldCharType="separate"/>
      </w:r>
      <w:r w:rsidR="00E566AB">
        <w:rPr>
          <w:noProof/>
        </w:rPr>
        <w:t>[</w:t>
      </w:r>
      <w:hyperlink w:anchor="_ENREF_8" w:tooltip="Eisele, 2010 #3526" w:history="1">
        <w:r w:rsidR="00E566AB">
          <w:rPr>
            <w:noProof/>
          </w:rPr>
          <w:t>8</w:t>
        </w:r>
      </w:hyperlink>
      <w:r w:rsidR="00E566AB">
        <w:rPr>
          <w:noProof/>
        </w:rPr>
        <w:t>]</w:t>
      </w:r>
      <w:r w:rsidR="0018140D">
        <w:fldChar w:fldCharType="end"/>
      </w:r>
      <w:r w:rsidRPr="00B4747E">
        <w:t xml:space="preserve">: </w:t>
      </w:r>
    </w:p>
    <w:p w14:paraId="0A38E3DA" w14:textId="77777777" w:rsidR="00B4747E" w:rsidRPr="00B4747E" w:rsidRDefault="00B4747E" w:rsidP="00EB234C"/>
    <w:p w14:paraId="6397C42B" w14:textId="77777777" w:rsidR="00982998" w:rsidRPr="00B4747E" w:rsidRDefault="0070697E" w:rsidP="00EB234C">
      <m:oMathPara>
        <m:oMath>
          <m:sSub>
            <m:sSubPr>
              <m:ctrlPr>
                <w:rPr>
                  <w:rFonts w:ascii="Cambria Math" w:hAnsi="Cambria Math"/>
                </w:rPr>
              </m:ctrlPr>
            </m:sSubPr>
            <m:e>
              <m:r>
                <w:rPr>
                  <w:rFonts w:ascii="Cambria Math" w:hAnsi="Cambria Math"/>
                </w:rPr>
                <m:t>PE</m:t>
              </m:r>
            </m:e>
            <m:sub>
              <m:r>
                <w:rPr>
                  <w:rFonts w:ascii="Cambria Math" w:hAnsi="Cambria Math"/>
                </w:rPr>
                <m:t>MAM</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PE</m:t>
                  </m:r>
                </m:e>
                <m:sub>
                  <m:r>
                    <w:rPr>
                      <w:rFonts w:ascii="Cambria Math" w:hAnsi="Cambria Math"/>
                    </w:rPr>
                    <m:t>ACCM</m:t>
                  </m:r>
                </m:sub>
              </m:sSub>
            </m:num>
            <m:den>
              <m:r>
                <w:rPr>
                  <w:rFonts w:ascii="Cambria Math" w:hAnsi="Cambria Math"/>
                </w:rPr>
                <m:t>β</m:t>
              </m:r>
            </m:den>
          </m:f>
        </m:oMath>
      </m:oMathPara>
    </w:p>
    <w:p w14:paraId="5491F7C4" w14:textId="77777777" w:rsidR="00BC19A8" w:rsidRDefault="00BC19A8" w:rsidP="00EB234C"/>
    <w:p w14:paraId="51747ACA" w14:textId="3FDACEA6" w:rsidR="00341E7F" w:rsidRPr="00341E7F" w:rsidRDefault="00B4747E" w:rsidP="00EB234C">
      <w:r w:rsidRPr="00B4747E">
        <w:t xml:space="preserve">where </w:t>
      </w:r>
      <m:oMath>
        <m:r>
          <w:rPr>
            <w:rFonts w:ascii="Cambria Math" w:hAnsi="Cambria Math"/>
          </w:rPr>
          <m:t>β</m:t>
        </m:r>
      </m:oMath>
      <w:r w:rsidRPr="00B4747E">
        <w:t xml:space="preserve"> is an estimate of the </w:t>
      </w:r>
      <w:r w:rsidR="00DD15CB">
        <w:t>proportion</w:t>
      </w:r>
      <w:r w:rsidR="00DD15CB" w:rsidRPr="00B4747E">
        <w:t xml:space="preserve"> </w:t>
      </w:r>
      <w:r w:rsidRPr="00B4747E">
        <w:t xml:space="preserve">of deaths from all-causes due to malaria among children in areas without access to malaria prevention </w:t>
      </w:r>
      <w:r w:rsidRPr="00341E7F">
        <w:t>interventions</w:t>
      </w:r>
      <w:r w:rsidR="00341E7F" w:rsidRPr="00341E7F">
        <w:t xml:space="preserve">, which was estimated at 36% in Asembo </w:t>
      </w:r>
      <w:r w:rsidR="00341E7F" w:rsidRPr="00341E7F">
        <w:fldChar w:fldCharType="begin">
          <w:fldData xml:space="preserve">PEVuZE5vdGU+PENpdGU+PEF1dGhvcj5QaGlsbGlwcy1Ib3dhcmQ8L0F1dGhvcj48WWVhcj4yMDAz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</w:fldData>
        </w:fldChar>
      </w:r>
      <w:r w:rsidR="00E566AB">
        <w:instrText xml:space="preserve"> ADDIN EN.CITE </w:instrText>
      </w:r>
      <w:r w:rsidR="00E566AB">
        <w:fldChar w:fldCharType="begin">
          <w:fldData xml:space="preserve">PEVuZE5vdGU+PENpdGU+PEF1dGhvcj5QaGlsbGlwcy1Ib3dhcmQ8L0F1dGhvcj48WWVhcj4yMDAz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</w:fldData>
        </w:fldChar>
      </w:r>
      <w:r w:rsidR="00E566AB">
        <w:instrText xml:space="preserve"> ADDIN EN.CITE.DATA </w:instrText>
      </w:r>
      <w:r w:rsidR="00E566AB">
        <w:fldChar w:fldCharType="end"/>
      </w:r>
      <w:r w:rsidR="00341E7F" w:rsidRPr="00341E7F">
        <w:fldChar w:fldCharType="separate"/>
      </w:r>
      <w:r w:rsidR="00E566AB">
        <w:rPr>
          <w:noProof/>
        </w:rPr>
        <w:t>[</w:t>
      </w:r>
      <w:hyperlink w:anchor="_ENREF_4" w:tooltip="Phillips-Howard, 2003 #1079" w:history="1">
        <w:r w:rsidR="00E566AB">
          <w:rPr>
            <w:noProof/>
          </w:rPr>
          <w:t>4</w:t>
        </w:r>
      </w:hyperlink>
      <w:r w:rsidR="00E566AB">
        <w:rPr>
          <w:noProof/>
        </w:rPr>
        <w:t xml:space="preserve">, </w:t>
      </w:r>
      <w:hyperlink w:anchor="_ENREF_5" w:tooltip="Hawley, 2003 #1104" w:history="1">
        <w:r w:rsidR="00E566AB">
          <w:rPr>
            <w:noProof/>
          </w:rPr>
          <w:t>5</w:t>
        </w:r>
      </w:hyperlink>
      <w:r w:rsidR="00E566AB">
        <w:rPr>
          <w:noProof/>
        </w:rPr>
        <w:t>]</w:t>
      </w:r>
      <w:r w:rsidR="00341E7F" w:rsidRPr="00341E7F">
        <w:fldChar w:fldCharType="end"/>
      </w:r>
      <w:r w:rsidR="00341E7F" w:rsidRPr="00341E7F">
        <w:t xml:space="preserve">, 41% in Ghana </w:t>
      </w:r>
      <w:r w:rsidR="00341E7F" w:rsidRPr="00341E7F">
        <w:fldChar w:fldCharType="begin"/>
      </w:r>
      <w:r w:rsidR="00E566AB">
        <w:instrText xml:space="preserve"> ADDIN EN.CITE &lt;EndNote&gt;&lt;Cite&gt;&lt;Author&gt;Binka&lt;/Author&gt;&lt;Year&gt;1996&lt;/Year&gt;&lt;RecNum&gt;135&lt;/RecNum&gt;&lt;DisplayText&gt;[6]&lt;/DisplayText&gt;&lt;record&gt;&lt;rec-number&gt;135&lt;/rec-number&gt;&lt;foreign-keys&gt;&lt;key app="EN" db-id="dtz50rr5a0tdt0etvw35szph0drzvzxrtwe0"&gt;135&lt;/key&gt;&lt;/foreign-keys&gt;&lt;ref-type name="Journal Article"&gt;17&lt;/ref-type&gt;&lt;contributors&gt;&lt;authors&gt;&lt;author&gt;Binka, F. N.&lt;/author&gt;&lt;author&gt;Kubaje, A.&lt;/author&gt;&lt;author&gt;Adjuik, M.&lt;/author&gt;&lt;author&gt;Williams, L. A.&lt;/author&gt;&lt;author&gt;Lengeler, C.&lt;/author&gt;&lt;author&gt;Maude, G. H.&lt;/author&gt;&lt;author&gt;Armah, G. E.&lt;/author&gt;&lt;author&gt;Kajihara, B.&lt;/author&gt;&lt;author&gt;Adiamah, J. H.&lt;/author&gt;&lt;author&gt;Smith, P. G.&lt;/author&gt;&lt;/authors&gt;&lt;/contributors&gt;&lt;titles&gt;&lt;title&gt;Impact of permethrin impregnated bednets on child mortality in Kassena-Nankana district, Ghana: a randomized controlled trial&lt;/title&gt;&lt;secondary-title&gt;Trop Med Int Health&lt;/secondary-title&gt;&lt;/titles&gt;&lt;pages&gt;147-54&lt;/pages&gt;&lt;volume&gt;1&lt;/volume&gt;&lt;number&gt;2&lt;/number&gt;&lt;keywords&gt;&lt;keyword&gt;*Bedding and Linens&lt;/keyword&gt;&lt;keyword&gt;Cause of Death&lt;/keyword&gt;&lt;keyword&gt;Child, Preschool&lt;/keyword&gt;&lt;keyword&gt;Female&lt;/keyword&gt;&lt;keyword&gt;Ghana/epidemiology&lt;/keyword&gt;&lt;keyword&gt;Human&lt;/keyword&gt;&lt;keyword&gt;Infant&lt;/keyword&gt;&lt;keyword&gt;*Infant Mortality&lt;/keyword&gt;&lt;keyword&gt;*Insecticides, Botanical&lt;/keyword&gt;&lt;keyword&gt;Longitudinal Studies&lt;/keyword&gt;&lt;keyword&gt;Malaria, Falciparum/mortality/*prevention &amp;amp; control&lt;/keyword&gt;&lt;keyword&gt;Male&lt;/keyword&gt;&lt;keyword&gt;Mosquito Control/*methods&lt;/keyword&gt;&lt;keyword&gt;Population Surveillance&lt;/keyword&gt;&lt;keyword&gt;*Pyrethrins&lt;/keyword&gt;&lt;keyword&gt;Rural Health&lt;/keyword&gt;&lt;keyword&gt;Seasons&lt;/keyword&gt;&lt;keyword&gt;Support, Non-U.S. Gov&amp;apos;t&lt;/keyword&gt;&lt;/keywords&gt;&lt;dates&gt;&lt;year&gt;1996&lt;/year&gt;&lt;/dates&gt;&lt;label&gt;bednet, mortality: child, surveillance, VBA, seasonality&lt;/label&gt;&lt;urls&gt;&lt;/urls&gt;&lt;/record&gt;&lt;/Cite&gt;&lt;/EndNote&gt;</w:instrText>
      </w:r>
      <w:r w:rsidR="00341E7F" w:rsidRPr="00341E7F">
        <w:fldChar w:fldCharType="separate"/>
      </w:r>
      <w:r w:rsidR="00E566AB">
        <w:rPr>
          <w:noProof/>
        </w:rPr>
        <w:t>[</w:t>
      </w:r>
      <w:hyperlink w:anchor="_ENREF_6" w:tooltip="Binka, 1996 #135" w:history="1">
        <w:r w:rsidR="00E566AB">
          <w:rPr>
            <w:noProof/>
          </w:rPr>
          <w:t>6</w:t>
        </w:r>
      </w:hyperlink>
      <w:r w:rsidR="00E566AB">
        <w:rPr>
          <w:noProof/>
        </w:rPr>
        <w:t>]</w:t>
      </w:r>
      <w:r w:rsidR="00341E7F" w:rsidRPr="00341E7F">
        <w:fldChar w:fldCharType="end"/>
      </w:r>
      <w:r w:rsidR="00341E7F" w:rsidRPr="00341E7F">
        <w:t xml:space="preserve">, and 46% in Kilifi </w:t>
      </w:r>
      <w:r w:rsidR="00341E7F" w:rsidRPr="00341E7F">
        <w:fldChar w:fldCharType="begin"/>
      </w:r>
      <w:r w:rsidR="00E566AB">
        <w:instrText xml:space="preserve"> ADDIN EN.CITE &lt;EndNote&gt;&lt;Cite&gt;&lt;Author&gt;Nevill&lt;/Author&gt;&lt;Year&gt;1996&lt;/Year&gt;&lt;RecNum&gt;83&lt;/RecNum&gt;&lt;DisplayText&gt;[7]&lt;/DisplayText&gt;&lt;record&gt;&lt;rec-number&gt;83&lt;/rec-number&gt;&lt;foreign-keys&gt;&lt;key app="EN" db-id="dtz50rr5a0tdt0etvw35szph0drzvzxrtwe0"&gt;83&lt;/key&gt;&lt;/foreign-keys&gt;&lt;ref-type name="Journal Article"&gt;17&lt;/ref-type&gt;&lt;contributors&gt;&lt;authors&gt;&lt;author&gt;Nevill, C. G.&lt;/author&gt;&lt;author&gt;Some, E. S.&lt;/author&gt;&lt;author&gt;Mung&amp;apos;ala, V. O.&lt;/author&gt;&lt;author&gt;Mutemi, W.&lt;/author&gt;&lt;author&gt;New, L.&lt;/author&gt;&lt;author&gt;Marsh, K.&lt;/author&gt;&lt;author&gt;Lengeler, C.&lt;/author&gt;&lt;author&gt;Snow, R. W.&lt;/author&gt;&lt;/authors&gt;&lt;/contributors&gt;&lt;titles&gt;&lt;title&gt;Insecticide-treated bednets reduce mortality and severe morbidity from malaria among children on the Kenyan coast&lt;/title&gt;&lt;secondary-title&gt;Trop Med Int Health&lt;/secondary-title&gt;&lt;/titles&gt;&lt;pages&gt;139-46&lt;/pages&gt;&lt;volume&gt;1&lt;/volume&gt;&lt;number&gt;2&lt;/number&gt;&lt;keywords&gt;&lt;keyword&gt;*Bedding and Linens&lt;/keyword&gt;&lt;keyword&gt;Child, Preschool&lt;/keyword&gt;&lt;keyword&gt;Human&lt;/keyword&gt;&lt;keyword&gt;Infant&lt;/keyword&gt;&lt;keyword&gt;Infant Mortality&lt;/keyword&gt;&lt;keyword&gt;*Insecticides, Botanical&lt;/keyword&gt;&lt;keyword&gt;Kenya/epidemiology&lt;/keyword&gt;&lt;keyword&gt;Malaria, Falciparum/epidemiology/*prevention &amp;amp; control&lt;/keyword&gt;&lt;keyword&gt;Morbidity&lt;/keyword&gt;&lt;keyword&gt;Mosquito Control/*methods&lt;/keyword&gt;&lt;keyword&gt;Population Surveillance&lt;/keyword&gt;&lt;keyword&gt;*Pyrethrins&lt;/keyword&gt;&lt;keyword&gt;Rural Health&lt;/keyword&gt;&lt;keyword&gt;Support, Non-U.S. Gov&amp;apos;t&lt;/keyword&gt;&lt;/keywords&gt;&lt;dates&gt;&lt;year&gt;1996&lt;/year&gt;&lt;/dates&gt;&lt;label&gt;mortality: child, RCT, bednet_: effectiveness&lt;/label&gt;&lt;urls&gt;&lt;/urls&gt;&lt;/record&gt;&lt;/Cite&gt;&lt;/EndNote&gt;</w:instrText>
      </w:r>
      <w:r w:rsidR="00341E7F" w:rsidRPr="00341E7F">
        <w:fldChar w:fldCharType="separate"/>
      </w:r>
      <w:r w:rsidR="00E566AB">
        <w:rPr>
          <w:noProof/>
        </w:rPr>
        <w:t>[</w:t>
      </w:r>
      <w:hyperlink w:anchor="_ENREF_7" w:tooltip="Nevill, 1996 #83" w:history="1">
        <w:r w:rsidR="00E566AB">
          <w:rPr>
            <w:noProof/>
          </w:rPr>
          <w:t>7</w:t>
        </w:r>
      </w:hyperlink>
      <w:r w:rsidR="00E566AB">
        <w:rPr>
          <w:noProof/>
        </w:rPr>
        <w:t>]</w:t>
      </w:r>
      <w:r w:rsidR="00341E7F" w:rsidRPr="00341E7F">
        <w:fldChar w:fldCharType="end"/>
      </w:r>
      <w:r w:rsidR="00341E7F" w:rsidRPr="00341E7F">
        <w:t>.</w:t>
      </w:r>
    </w:p>
    <w:p w14:paraId="1C8C4977" w14:textId="77777777" w:rsidR="00B4747E" w:rsidRPr="00B4747E" w:rsidRDefault="00B4747E" w:rsidP="00EB234C"/>
    <w:p w14:paraId="4CEB1CFE" w14:textId="65155873" w:rsidR="00B4747E" w:rsidRPr="00B4747E" w:rsidRDefault="00B4747E" w:rsidP="00EB234C">
      <w:r w:rsidRPr="00B4747E">
        <w:t>OpenMalaria outputs and their statistical model emulations do not provide estimates of ACCM, but instead, provide estimates of direct and indirect malaria mortality in ITN and control arms. In order to convert these outputs to estimates of the risk ratio of ITN intervention in terms of ACCM and MAM in the single-cause of death framework used by MERG, the equations below for the risk ratios for MAM (RR</w:t>
      </w:r>
      <w:r w:rsidRPr="00B4747E">
        <w:rPr>
          <w:vertAlign w:val="subscript"/>
        </w:rPr>
        <w:t>MAM</w:t>
      </w:r>
      <w:r w:rsidRPr="00B4747E">
        <w:t xml:space="preserve">; Equation </w:t>
      </w:r>
      <w:r w:rsidR="00BC19A8">
        <w:t>3</w:t>
      </w:r>
      <w:r w:rsidR="002F6E3F">
        <w:t>.</w:t>
      </w:r>
      <w:r w:rsidRPr="00B4747E">
        <w:t>1) and ACCM (RR</w:t>
      </w:r>
      <w:r w:rsidRPr="00B4747E">
        <w:rPr>
          <w:vertAlign w:val="subscript"/>
        </w:rPr>
        <w:t>ACCM</w:t>
      </w:r>
      <w:r w:rsidRPr="00B4747E">
        <w:t xml:space="preserve">; Equation </w:t>
      </w:r>
      <w:r w:rsidR="00BC19A8">
        <w:t>3</w:t>
      </w:r>
      <w:r w:rsidR="002F6E3F">
        <w:t>.</w:t>
      </w:r>
      <w:r w:rsidRPr="00B4747E">
        <w:t xml:space="preserve">2) were used: </w:t>
      </w:r>
    </w:p>
    <w:p w14:paraId="72C4100A" w14:textId="77777777" w:rsidR="00B4747E" w:rsidRPr="00B4747E" w:rsidRDefault="00B4747E" w:rsidP="00EB234C"/>
    <w:p w14:paraId="4A81081F" w14:textId="2418DAFB" w:rsidR="00982998" w:rsidRPr="00B4747E" w:rsidRDefault="0070697E" w:rsidP="00EB234C">
      <m:oMath>
        <m:sSub>
          <m:sSubPr>
            <m:ctrlPr>
              <w:rPr>
                <w:rFonts w:ascii="Cambria Math" w:hAnsi="Cambria Math"/>
              </w:rPr>
            </m:ctrlPr>
          </m:sSubPr>
          <m:e>
            <m:r>
              <w:rPr>
                <w:rFonts w:ascii="Cambria Math" w:hAnsi="Cambria Math"/>
              </w:rPr>
              <m:t>RR</m:t>
            </m:r>
          </m:e>
          <m:sub>
            <m:r>
              <w:rPr>
                <w:rFonts w:ascii="Cambria Math" w:hAnsi="Cambria Math"/>
              </w:rPr>
              <m:t>MAM</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DMR</m:t>
                </m:r>
              </m:e>
              <m:sub>
                <m:r>
                  <w:rPr>
                    <w:rFonts w:ascii="Cambria Math" w:hAnsi="Cambria Math"/>
                  </w:rPr>
                  <m:t>i</m:t>
                </m:r>
              </m:sub>
            </m:sSub>
          </m:num>
          <m:den>
            <m:sSub>
              <m:sSubPr>
                <m:ctrlPr>
                  <w:rPr>
                    <w:rFonts w:ascii="Cambria Math" w:hAnsi="Cambria Math"/>
                  </w:rPr>
                </m:ctrlPr>
              </m:sSubPr>
              <m:e>
                <m:r>
                  <w:rPr>
                    <w:rFonts w:ascii="Cambria Math" w:hAnsi="Cambria Math"/>
                  </w:rPr>
                  <m:t>DMR</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IMR</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IMR</m:t>
                </m:r>
              </m:e>
              <m:sub>
                <m:r>
                  <w:rPr>
                    <w:rFonts w:ascii="Cambria Math" w:hAnsi="Cambria Math"/>
                  </w:rPr>
                  <m:t>i</m:t>
                </m:r>
              </m:sub>
            </m:sSub>
          </m:den>
        </m:f>
        <m:r>
          <m:rPr>
            <m:sty m:val="p"/>
          </m:rPr>
          <w:rPr>
            <w:rFonts w:ascii="Cambria Math" w:hAnsi="Cambria Math"/>
          </w:rPr>
          <m:t xml:space="preserve">               Eq</m:t>
        </m:r>
        <m:r>
          <m:rPr>
            <m:sty m:val="p"/>
          </m:rPr>
          <w:rPr>
            <w:rFonts w:ascii="Cambria Math" w:hAnsi="Cambria Math"/>
          </w:rPr>
          <m:t>3</m:t>
        </m:r>
        <m:r>
          <m:rPr>
            <m:sty m:val="p"/>
          </m:rPr>
          <w:rPr>
            <w:rFonts w:ascii="Cambria Math" w:hAnsi="Cambria Math"/>
          </w:rPr>
          <m:t>.1</m:t>
        </m:r>
      </m:oMath>
      <w:r w:rsidR="00DD15CB">
        <w:tab/>
      </w:r>
    </w:p>
    <w:p w14:paraId="6278D193" w14:textId="77777777" w:rsidR="00B4747E" w:rsidRPr="00B4747E" w:rsidRDefault="00B4747E" w:rsidP="00EB234C"/>
    <w:p w14:paraId="500CD19D" w14:textId="77777777" w:rsidR="00B4747E" w:rsidRPr="00B4747E" w:rsidRDefault="00B4747E" w:rsidP="00EB234C">
      <w:proofErr w:type="gramStart"/>
      <w:r w:rsidRPr="00B4747E">
        <w:t>with</w:t>
      </w:r>
      <w:proofErr w:type="gramEnd"/>
      <w:r w:rsidRPr="00B4747E">
        <w:t xml:space="preserve">: </w:t>
      </w:r>
    </w:p>
    <w:p w14:paraId="16D24C61" w14:textId="74C6524D" w:rsidR="00B4747E" w:rsidRPr="00B4747E" w:rsidRDefault="00B4747E" w:rsidP="00EB234C">
      <w:proofErr w:type="spellStart"/>
      <w:r w:rsidRPr="00B4747E">
        <w:t>DMR</w:t>
      </w:r>
      <w:r w:rsidRPr="00B4747E">
        <w:rPr>
          <w:vertAlign w:val="subscript"/>
        </w:rPr>
        <w:t>i</w:t>
      </w:r>
      <w:proofErr w:type="spellEnd"/>
      <w:r w:rsidRPr="00B4747E">
        <w:t xml:space="preserve"> the direct </w:t>
      </w:r>
      <w:r w:rsidR="00341E7F">
        <w:t xml:space="preserve">malaria </w:t>
      </w:r>
      <w:r w:rsidRPr="00B4747E">
        <w:t xml:space="preserve">mortality </w:t>
      </w:r>
      <w:r w:rsidR="00341E7F">
        <w:t xml:space="preserve">rate </w:t>
      </w:r>
      <w:r w:rsidRPr="00B4747E">
        <w:t xml:space="preserve">in the intervention arm, </w:t>
      </w:r>
    </w:p>
    <w:p w14:paraId="1CC8DEA3" w14:textId="77504543" w:rsidR="00B4747E" w:rsidRPr="00B4747E" w:rsidRDefault="00B4747E" w:rsidP="00EB234C">
      <w:proofErr w:type="spellStart"/>
      <w:r w:rsidRPr="00B4747E">
        <w:t>DMR</w:t>
      </w:r>
      <w:r w:rsidRPr="00B4747E">
        <w:rPr>
          <w:vertAlign w:val="subscript"/>
        </w:rPr>
        <w:t>c</w:t>
      </w:r>
      <w:proofErr w:type="spellEnd"/>
      <w:r w:rsidRPr="00B4747E">
        <w:t xml:space="preserve"> the direct </w:t>
      </w:r>
      <w:r w:rsidR="00341E7F">
        <w:t xml:space="preserve">malaria </w:t>
      </w:r>
      <w:r w:rsidRPr="00B4747E">
        <w:t xml:space="preserve">mortality </w:t>
      </w:r>
      <w:r w:rsidR="00341E7F">
        <w:t xml:space="preserve">rate </w:t>
      </w:r>
      <w:r w:rsidRPr="00B4747E">
        <w:t xml:space="preserve">in the control arm, </w:t>
      </w:r>
    </w:p>
    <w:p w14:paraId="6111CBEF" w14:textId="5D7E0DC1" w:rsidR="00B4747E" w:rsidRPr="00B4747E" w:rsidRDefault="00B4747E" w:rsidP="00EB234C">
      <w:proofErr w:type="spellStart"/>
      <w:r w:rsidRPr="00B4747E">
        <w:t>IMR</w:t>
      </w:r>
      <w:r w:rsidRPr="00B4747E">
        <w:rPr>
          <w:vertAlign w:val="subscript"/>
        </w:rPr>
        <w:t>i</w:t>
      </w:r>
      <w:proofErr w:type="spellEnd"/>
      <w:r w:rsidRPr="00B4747E">
        <w:t xml:space="preserve"> the indirect </w:t>
      </w:r>
      <w:r w:rsidR="00341E7F">
        <w:t xml:space="preserve">malaria </w:t>
      </w:r>
      <w:r w:rsidRPr="00B4747E">
        <w:t xml:space="preserve">mortality </w:t>
      </w:r>
      <w:r w:rsidR="00341E7F">
        <w:t xml:space="preserve">rate </w:t>
      </w:r>
      <w:r w:rsidRPr="00B4747E">
        <w:t xml:space="preserve">in the intervention arm, </w:t>
      </w:r>
    </w:p>
    <w:p w14:paraId="02C97CED" w14:textId="47E28D0A" w:rsidR="00B4747E" w:rsidRPr="00B4747E" w:rsidRDefault="00B4747E" w:rsidP="00EB234C">
      <w:proofErr w:type="spellStart"/>
      <w:r w:rsidRPr="00B4747E">
        <w:t>IMR</w:t>
      </w:r>
      <w:r w:rsidRPr="00B4747E">
        <w:rPr>
          <w:vertAlign w:val="subscript"/>
        </w:rPr>
        <w:t>c</w:t>
      </w:r>
      <w:proofErr w:type="spellEnd"/>
      <w:r w:rsidRPr="00B4747E">
        <w:t xml:space="preserve"> the indirect </w:t>
      </w:r>
      <w:r w:rsidR="00341E7F">
        <w:t xml:space="preserve">malaria </w:t>
      </w:r>
      <w:r w:rsidRPr="00B4747E">
        <w:t xml:space="preserve">mortality </w:t>
      </w:r>
      <w:r w:rsidR="00341E7F">
        <w:t xml:space="preserve">rate </w:t>
      </w:r>
      <w:r w:rsidRPr="00B4747E">
        <w:t xml:space="preserve">in the control arm. </w:t>
      </w:r>
    </w:p>
    <w:p w14:paraId="06CA2F32" w14:textId="77777777" w:rsidR="00B4747E" w:rsidRPr="00B4747E" w:rsidRDefault="00B4747E" w:rsidP="00EB234C"/>
    <w:p w14:paraId="44B953E4" w14:textId="4D0CC4AF" w:rsidR="00982998" w:rsidRPr="00B4747E" w:rsidRDefault="0070697E" w:rsidP="00EB234C">
      <m:oMath>
        <m:sSub>
          <m:sSubPr>
            <m:ctrlPr>
              <w:rPr>
                <w:rFonts w:ascii="Cambria Math" w:hAnsi="Cambria Math"/>
              </w:rPr>
            </m:ctrlPr>
          </m:sSubPr>
          <m:e>
            <m:r>
              <w:rPr>
                <w:rFonts w:ascii="Cambria Math" w:hAnsi="Cambria Math"/>
              </w:rPr>
              <m:t>RR</m:t>
            </m:r>
          </m:e>
          <m:sub>
            <m:r>
              <w:rPr>
                <w:rFonts w:ascii="Cambria Math" w:hAnsi="Cambria Math"/>
              </w:rPr>
              <m:t>ACCM</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DMR</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IMR</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ACCM</m:t>
                </m:r>
              </m:e>
              <m:sub>
                <m:r>
                  <w:rPr>
                    <w:rFonts w:ascii="Cambria Math" w:hAnsi="Cambria Math"/>
                  </w:rPr>
                  <m:t>c</m:t>
                </m:r>
              </m:sub>
            </m:sSub>
            <m:d>
              <m:dPr>
                <m:ctrlPr>
                  <w:rPr>
                    <w:rFonts w:ascii="Cambria Math" w:hAnsi="Cambria Math"/>
                  </w:rPr>
                </m:ctrlPr>
              </m:dPr>
              <m:e>
                <m:r>
                  <m:rPr>
                    <m:sty m:val="p"/>
                  </m:rPr>
                  <w:rPr>
                    <w:rFonts w:ascii="Cambria Math" w:hAnsi="Cambria Math"/>
                  </w:rPr>
                  <m:t>1-</m:t>
                </m:r>
                <m:r>
                  <w:rPr>
                    <w:rFonts w:ascii="Cambria Math" w:hAnsi="Cambria Math"/>
                  </w:rPr>
                  <m:t>β</m:t>
                </m:r>
                <m:d>
                  <m:dPr>
                    <m:ctrlPr>
                      <w:rPr>
                        <w:rFonts w:ascii="Cambria Math" w:hAnsi="Cambria Math"/>
                      </w:rPr>
                    </m:ctrlPr>
                  </m:dPr>
                  <m:e>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IMR</m:t>
                            </m:r>
                          </m:e>
                          <m:sub>
                            <m:r>
                              <w:rPr>
                                <w:rFonts w:ascii="Cambria Math" w:hAnsi="Cambria Math"/>
                              </w:rPr>
                              <m:t>c</m:t>
                            </m:r>
                          </m:sub>
                        </m:sSub>
                      </m:num>
                      <m:den>
                        <m:sSub>
                          <m:sSubPr>
                            <m:ctrlPr>
                              <w:rPr>
                                <w:rFonts w:ascii="Cambria Math" w:hAnsi="Cambria Math"/>
                              </w:rPr>
                            </m:ctrlPr>
                          </m:sSubPr>
                          <m:e>
                            <m:r>
                              <w:rPr>
                                <w:rFonts w:ascii="Cambria Math" w:hAnsi="Cambria Math"/>
                              </w:rPr>
                              <m:t>DMR</m:t>
                            </m:r>
                          </m:e>
                          <m:sub>
                            <m:r>
                              <w:rPr>
                                <w:rFonts w:ascii="Cambria Math" w:hAnsi="Cambria Math"/>
                              </w:rPr>
                              <m:t>c</m:t>
                            </m:r>
                          </m:sub>
                        </m:sSub>
                      </m:den>
                    </m:f>
                  </m:e>
                </m:d>
              </m:e>
            </m:d>
          </m:num>
          <m:den>
            <m:sSub>
              <m:sSubPr>
                <m:ctrlPr>
                  <w:rPr>
                    <w:rFonts w:ascii="Cambria Math" w:hAnsi="Cambria Math"/>
                  </w:rPr>
                </m:ctrlPr>
              </m:sSubPr>
              <m:e>
                <m:r>
                  <w:rPr>
                    <w:rFonts w:ascii="Cambria Math" w:hAnsi="Cambria Math"/>
                  </w:rPr>
                  <m:t>DMR</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IMR</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ACCM</m:t>
                </m:r>
              </m:e>
              <m:sub>
                <m:r>
                  <w:rPr>
                    <w:rFonts w:ascii="Cambria Math" w:hAnsi="Cambria Math"/>
                  </w:rPr>
                  <m:t>c</m:t>
                </m:r>
              </m:sub>
            </m:sSub>
            <m:d>
              <m:dPr>
                <m:ctrlPr>
                  <w:rPr>
                    <w:rFonts w:ascii="Cambria Math" w:hAnsi="Cambria Math"/>
                  </w:rPr>
                </m:ctrlPr>
              </m:dPr>
              <m:e>
                <m:r>
                  <m:rPr>
                    <m:sty m:val="p"/>
                  </m:rPr>
                  <w:rPr>
                    <w:rFonts w:ascii="Cambria Math" w:hAnsi="Cambria Math"/>
                  </w:rPr>
                  <m:t>1-</m:t>
                </m:r>
                <m:r>
                  <w:rPr>
                    <w:rFonts w:ascii="Cambria Math" w:hAnsi="Cambria Math"/>
                  </w:rPr>
                  <m:t>β</m:t>
                </m:r>
                <m:d>
                  <m:dPr>
                    <m:ctrlPr>
                      <w:rPr>
                        <w:rFonts w:ascii="Cambria Math" w:hAnsi="Cambria Math"/>
                      </w:rPr>
                    </m:ctrlPr>
                  </m:dPr>
                  <m:e>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IMR</m:t>
                            </m:r>
                          </m:e>
                          <m:sub>
                            <m:r>
                              <w:rPr>
                                <w:rFonts w:ascii="Cambria Math" w:hAnsi="Cambria Math"/>
                              </w:rPr>
                              <m:t>c</m:t>
                            </m:r>
                          </m:sub>
                        </m:sSub>
                      </m:num>
                      <m:den>
                        <m:sSub>
                          <m:sSubPr>
                            <m:ctrlPr>
                              <w:rPr>
                                <w:rFonts w:ascii="Cambria Math" w:hAnsi="Cambria Math"/>
                              </w:rPr>
                            </m:ctrlPr>
                          </m:sSubPr>
                          <m:e>
                            <m:r>
                              <w:rPr>
                                <w:rFonts w:ascii="Cambria Math" w:hAnsi="Cambria Math"/>
                              </w:rPr>
                              <m:t>DMR</m:t>
                            </m:r>
                          </m:e>
                          <m:sub>
                            <m:r>
                              <w:rPr>
                                <w:rFonts w:ascii="Cambria Math" w:hAnsi="Cambria Math"/>
                              </w:rPr>
                              <m:t>c</m:t>
                            </m:r>
                          </m:sub>
                        </m:sSub>
                      </m:den>
                    </m:f>
                  </m:e>
                </m:d>
              </m:e>
            </m:d>
            <m:r>
              <m:rPr>
                <m:sty m:val="p"/>
              </m:rPr>
              <w:rPr>
                <w:rFonts w:ascii="Cambria Math" w:hAnsi="Cambria Math"/>
              </w:rPr>
              <m:t>()</m:t>
            </m:r>
          </m:den>
        </m:f>
        <m:r>
          <w:rPr>
            <w:rFonts w:ascii="Cambria Math" w:hAnsi="Cambria Math"/>
          </w:rPr>
          <m:t xml:space="preserve">       </m:t>
        </m:r>
        <m:r>
          <m:rPr>
            <m:sty m:val="p"/>
          </m:rPr>
          <w:rPr>
            <w:rFonts w:ascii="Cambria Math" w:hAnsi="Cambria Math"/>
          </w:rPr>
          <m:t>Eq</m:t>
        </m:r>
        <m:r>
          <m:rPr>
            <m:sty m:val="p"/>
          </m:rPr>
          <w:rPr>
            <w:rFonts w:ascii="Cambria Math" w:hAnsi="Cambria Math"/>
          </w:rPr>
          <m:t>3</m:t>
        </m:r>
        <m:r>
          <m:rPr>
            <m:sty m:val="p"/>
          </m:rPr>
          <w:rPr>
            <w:rFonts w:ascii="Cambria Math" w:hAnsi="Cambria Math"/>
          </w:rPr>
          <m:t>.2</m:t>
        </m:r>
      </m:oMath>
      <w:r w:rsidR="00DD15CB">
        <w:tab/>
      </w:r>
    </w:p>
    <w:p w14:paraId="15714AA5" w14:textId="77777777" w:rsidR="00B4747E" w:rsidRPr="00B4747E" w:rsidRDefault="00B4747E" w:rsidP="00EB234C"/>
    <w:p w14:paraId="36495586" w14:textId="77777777" w:rsidR="00B4747E" w:rsidRDefault="00B4747E" w:rsidP="00EB234C"/>
    <w:p w14:paraId="3662D301" w14:textId="77777777" w:rsidR="00B4747E" w:rsidRPr="00B4747E" w:rsidRDefault="00B4747E" w:rsidP="00EB234C">
      <w:proofErr w:type="gramStart"/>
      <w:r w:rsidRPr="00B4747E">
        <w:t>with</w:t>
      </w:r>
      <w:proofErr w:type="gramEnd"/>
      <w:r w:rsidRPr="00B4747E">
        <w:t xml:space="preserve">: </w:t>
      </w:r>
    </w:p>
    <w:p w14:paraId="08459CF1" w14:textId="2CD63DA4" w:rsidR="00B4747E" w:rsidRPr="00B4747E" w:rsidRDefault="00B4747E" w:rsidP="00EB234C">
      <w:proofErr w:type="spellStart"/>
      <w:r w:rsidRPr="00B4747E">
        <w:t>ACCM</w:t>
      </w:r>
      <w:r w:rsidRPr="00B4747E">
        <w:rPr>
          <w:vertAlign w:val="subscript"/>
        </w:rPr>
        <w:t>c</w:t>
      </w:r>
      <w:proofErr w:type="spellEnd"/>
      <w:r w:rsidRPr="00B4747E">
        <w:t xml:space="preserve"> the ACCM from the trial data control arm</w:t>
      </w:r>
      <w:r w:rsidR="00744DA9">
        <w:t>,</w:t>
      </w:r>
    </w:p>
    <w:p w14:paraId="71A27947" w14:textId="77777777" w:rsidR="00B4747E" w:rsidRPr="00B4747E" w:rsidRDefault="00B4747E" w:rsidP="00EB234C">
      <w:proofErr w:type="spellStart"/>
      <w:r w:rsidRPr="00B4747E">
        <w:t>DMR</w:t>
      </w:r>
      <w:r w:rsidRPr="00B4747E">
        <w:rPr>
          <w:vertAlign w:val="subscript"/>
        </w:rPr>
        <w:t>i</w:t>
      </w:r>
      <w:proofErr w:type="spellEnd"/>
      <w:r w:rsidRPr="00B4747E">
        <w:t xml:space="preserve"> the direct mortality in the intervention arm, </w:t>
      </w:r>
    </w:p>
    <w:p w14:paraId="01138DAF" w14:textId="77777777" w:rsidR="00B4747E" w:rsidRPr="00B4747E" w:rsidRDefault="00B4747E" w:rsidP="00EB234C">
      <w:proofErr w:type="spellStart"/>
      <w:r w:rsidRPr="00B4747E">
        <w:t>DMR</w:t>
      </w:r>
      <w:r w:rsidRPr="00B4747E">
        <w:rPr>
          <w:vertAlign w:val="subscript"/>
        </w:rPr>
        <w:t>c</w:t>
      </w:r>
      <w:proofErr w:type="spellEnd"/>
      <w:r w:rsidRPr="00B4747E">
        <w:t xml:space="preserve"> the direct mortality in the control arm, </w:t>
      </w:r>
    </w:p>
    <w:p w14:paraId="662F33D6" w14:textId="77777777" w:rsidR="00B4747E" w:rsidRPr="00B4747E" w:rsidRDefault="00B4747E" w:rsidP="00EB234C">
      <w:proofErr w:type="spellStart"/>
      <w:r w:rsidRPr="00B4747E">
        <w:t>IMR</w:t>
      </w:r>
      <w:r w:rsidRPr="00B4747E">
        <w:rPr>
          <w:vertAlign w:val="subscript"/>
        </w:rPr>
        <w:t>i</w:t>
      </w:r>
      <w:proofErr w:type="spellEnd"/>
      <w:r w:rsidRPr="00B4747E">
        <w:t xml:space="preserve"> the indirect mortality in the intervention arm, </w:t>
      </w:r>
    </w:p>
    <w:p w14:paraId="51042FEB" w14:textId="77777777" w:rsidR="00744DA9" w:rsidRDefault="00B4747E" w:rsidP="00EB234C">
      <w:proofErr w:type="spellStart"/>
      <w:r w:rsidRPr="00B4747E">
        <w:t>IMR</w:t>
      </w:r>
      <w:r w:rsidRPr="00B4747E">
        <w:rPr>
          <w:vertAlign w:val="subscript"/>
        </w:rPr>
        <w:t>c</w:t>
      </w:r>
      <w:proofErr w:type="spellEnd"/>
      <w:r w:rsidRPr="00B4747E">
        <w:t xml:space="preserve"> the indirect mortality in the control arm</w:t>
      </w:r>
      <w:r w:rsidR="00744DA9">
        <w:t>,</w:t>
      </w:r>
    </w:p>
    <w:p w14:paraId="623DF0D5" w14:textId="2212BFF8" w:rsidR="00C71140" w:rsidRDefault="00744DA9" w:rsidP="00EB234C">
      <w:pPr>
        <w:rPr>
          <w:rFonts w:ascii="Verdana" w:hAnsi="Verdana"/>
          <w:sz w:val="20"/>
          <w:szCs w:val="20"/>
        </w:rPr>
      </w:pPr>
      <m:oMath>
        <m:r>
          <w:rPr>
            <w:rFonts w:ascii="Cambria Math" w:hAnsi="Cambria Math"/>
          </w:rPr>
          <m:t>β</m:t>
        </m:r>
      </m:oMath>
      <w:r w:rsidRPr="00B4747E">
        <w:t xml:space="preserve"> </w:t>
      </w:r>
      <w:proofErr w:type="gramStart"/>
      <w:r>
        <w:t>the</w:t>
      </w:r>
      <w:proofErr w:type="gramEnd"/>
      <w:r>
        <w:t xml:space="preserve"> </w:t>
      </w:r>
      <w:r w:rsidRPr="00B4747E">
        <w:t>estimate</w:t>
      </w:r>
      <w:r>
        <w:t>d</w:t>
      </w:r>
      <w:r w:rsidRPr="00B4747E">
        <w:t xml:space="preserve"> </w:t>
      </w:r>
      <w:r w:rsidR="00DD15CB">
        <w:t>proportion</w:t>
      </w:r>
      <w:r w:rsidR="00DD15CB" w:rsidRPr="00B4747E">
        <w:t xml:space="preserve"> </w:t>
      </w:r>
      <w:r w:rsidRPr="00B4747E">
        <w:t xml:space="preserve">of deaths from all-causes due to malaria among children in areas without access to malaria prevention </w:t>
      </w:r>
      <w:r w:rsidRPr="00341E7F">
        <w:t>interventions</w:t>
      </w:r>
      <w:r>
        <w:t>, as above</w:t>
      </w:r>
      <w:r>
        <w:rPr>
          <w:rFonts w:ascii="Verdana" w:hAnsi="Verdana"/>
          <w:sz w:val="20"/>
          <w:szCs w:val="20"/>
        </w:rPr>
        <w:t>.</w:t>
      </w:r>
    </w:p>
    <w:p w14:paraId="7AA8BB12" w14:textId="77777777" w:rsidR="00C71140" w:rsidRPr="00B4747E" w:rsidRDefault="00C71140" w:rsidP="00EB234C"/>
    <w:p w14:paraId="041B9361" w14:textId="35CD2258" w:rsidR="00B4747E" w:rsidRPr="00B4747E" w:rsidRDefault="00B4747E" w:rsidP="00EB234C">
      <w:r w:rsidRPr="00B4747E">
        <w:t xml:space="preserve">In Equation </w:t>
      </w:r>
      <w:r w:rsidR="00BC19A8">
        <w:t>3</w:t>
      </w:r>
      <w:r w:rsidR="002F6E3F">
        <w:t>.</w:t>
      </w:r>
      <w:r w:rsidRPr="00B4747E">
        <w:t xml:space="preserve">1, the denominator is the direct malaria mortality in the control arm plus the difference in indirect mortality between control and intervention arms, i.e. indirect </w:t>
      </w:r>
      <w:r w:rsidR="00341E7F">
        <w:t xml:space="preserve">malaria-related </w:t>
      </w:r>
      <w:r w:rsidRPr="00B4747E">
        <w:t>mortality that would be identified as due to malaria in the single cause of death framework because it was prevented by the intervention. This corresponds to the definition and calculation of RR</w:t>
      </w:r>
      <w:r w:rsidRPr="00B4747E">
        <w:rPr>
          <w:vertAlign w:val="subscript"/>
        </w:rPr>
        <w:t>MAM</w:t>
      </w:r>
      <w:r w:rsidRPr="00B4747E">
        <w:t xml:space="preserve"> used by the United National Child Health Epidemiology Reference Group (CHERG) used as input to the LiST model of child survival interventions </w:t>
      </w:r>
      <w:r w:rsidR="0018140D">
        <w:fldChar w:fldCharType="begin"/>
      </w:r>
      <w:r w:rsidR="00E566AB">
        <w:instrText xml:space="preserve"> ADDIN EN.CITE &lt;EndNote&gt;&lt;Cite&gt;&lt;Author&gt;Eisele&lt;/Author&gt;&lt;Year&gt;2010&lt;/Year&gt;&lt;RecNum&gt;3526&lt;/RecNum&gt;&lt;DisplayText&gt;[8]&lt;/DisplayText&gt;&lt;record&gt;&lt;rec-number&gt;3526&lt;/rec-number&gt;&lt;foreign-keys&gt;&lt;key app="EN" db-id="dtz50rr5a0tdt0etvw35szph0drzvzxrtwe0"&gt;3526&lt;/key&gt;&lt;/foreign-keys&gt;&lt;ref-type name="Journal Article"&gt;17&lt;/ref-type&gt;&lt;contributors&gt;&lt;authors&gt;&lt;author&gt;Eisele, T.P.&lt;/author&gt;&lt;author&gt;Larsen, D.&lt;/author&gt;&lt;author&gt;Steketee, R.&lt;/author&gt;&lt;/authors&gt;&lt;/contributors&gt;&lt;titles&gt;&lt;title&gt;&lt;style face="normal" font="default" size="100%"&gt;Protective efficacy of interventions for preventing malaria mortality in children in &lt;/style&gt;&lt;style face="italic" font="default" size="100%"&gt;Plasmodium falciparum&lt;/style&gt;&lt;style face="normal" font="default" size="100%"&gt; endemic areas / Modeling the Impact of Scaling up Interventions for Malaria&lt;/style&gt;&lt;/title&gt;&lt;secondary-title&gt;Int J Epid&lt;/secondary-title&gt;&lt;/titles&gt;&lt;pages&gt;i88-i101&lt;/pages&gt;&lt;volume&gt;39&lt;/volume&gt;&lt;number&gt;Suppl.1&lt;/number&gt;&lt;dates&gt;&lt;year&gt;2010&lt;/year&gt;&lt;/dates&gt;&lt;urls&gt;&lt;/urls&gt;&lt;/record&gt;&lt;/Cite&gt;&lt;/EndNote&gt;</w:instrText>
      </w:r>
      <w:r w:rsidR="0018140D">
        <w:fldChar w:fldCharType="separate"/>
      </w:r>
      <w:r w:rsidR="00E566AB">
        <w:rPr>
          <w:noProof/>
        </w:rPr>
        <w:t>[</w:t>
      </w:r>
      <w:hyperlink w:anchor="_ENREF_8" w:tooltip="Eisele, 2010 #3526" w:history="1">
        <w:r w:rsidR="00E566AB">
          <w:rPr>
            <w:noProof/>
          </w:rPr>
          <w:t>8</w:t>
        </w:r>
      </w:hyperlink>
      <w:r w:rsidR="00E566AB">
        <w:rPr>
          <w:noProof/>
        </w:rPr>
        <w:t>]</w:t>
      </w:r>
      <w:r w:rsidR="0018140D">
        <w:fldChar w:fldCharType="end"/>
      </w:r>
      <w:r>
        <w:t>.</w:t>
      </w:r>
    </w:p>
    <w:p w14:paraId="30F1AF7B" w14:textId="77777777" w:rsidR="00B4747E" w:rsidRPr="00B4747E" w:rsidRDefault="00B4747E" w:rsidP="00EB234C"/>
    <w:p w14:paraId="42E5C0D9" w14:textId="5ED0517E" w:rsidR="00B4747E" w:rsidRPr="00B4747E" w:rsidRDefault="00B4747E" w:rsidP="00EB234C">
      <w:r w:rsidRPr="00B4747E">
        <w:t xml:space="preserve">Equation </w:t>
      </w:r>
      <w:r w:rsidR="00BC19A8">
        <w:t>3</w:t>
      </w:r>
      <w:r w:rsidR="002F6E3F">
        <w:t>.</w:t>
      </w:r>
      <w:r w:rsidRPr="00B4747E">
        <w:t>2 calculates the corresponding RR</w:t>
      </w:r>
      <w:r w:rsidRPr="00B4747E">
        <w:rPr>
          <w:vertAlign w:val="subscript"/>
        </w:rPr>
        <w:t>ACCM</w:t>
      </w:r>
      <w:r w:rsidRPr="00B4747E">
        <w:t xml:space="preserve"> </w:t>
      </w:r>
      <w:r w:rsidR="00341E7F" w:rsidRPr="00341E7F">
        <w:t xml:space="preserve">in </w:t>
      </w:r>
      <w:r w:rsidR="00341E7F" w:rsidRPr="002F6E3F">
        <w:t>OpenMalaria-based</w:t>
      </w:r>
      <w:r w:rsidR="00341E7F" w:rsidRPr="00341E7F">
        <w:t xml:space="preserve"> regressions, as the sum of the model-predicted malaria direct mortality rate in the intervention arm, the model-predicted indirect malaria-related mortality rate in the intervention arm and the non-malaria (other-cause) mortality rate </w:t>
      </w:r>
      <w:r w:rsidR="00744DA9">
        <w:t>in the control arm in trial observations</w:t>
      </w:r>
      <w:r w:rsidR="00341E7F" w:rsidRPr="00341E7F">
        <w:t xml:space="preserve"> (which was assumed to be the same in the trial intervention arm, and in predictions), divided by the sum of model-predicted malaria direct mortality in the control arm, model-</w:t>
      </w:r>
      <w:r w:rsidR="00341E7F" w:rsidRPr="00341E7F">
        <w:lastRenderedPageBreak/>
        <w:t xml:space="preserve">predicted indirect malaria-related mortality in the control arm and non-malaria (other-cause) mortality </w:t>
      </w:r>
      <w:r w:rsidR="00744DA9">
        <w:t>in the control arm in trial observations</w:t>
      </w:r>
      <w:r w:rsidR="00341E7F" w:rsidRPr="00341E7F">
        <w:t>.</w:t>
      </w:r>
      <w:r w:rsidRPr="00B4747E">
        <w:t xml:space="preserve"> </w:t>
      </w:r>
    </w:p>
    <w:p w14:paraId="03242365" w14:textId="77777777" w:rsidR="00B4747E" w:rsidRPr="00B4747E" w:rsidRDefault="00B4747E" w:rsidP="00EB234C"/>
    <w:p w14:paraId="175F265A" w14:textId="75BE9FC0" w:rsidR="00F678E8" w:rsidRPr="00FA6AE9" w:rsidRDefault="00B4747E" w:rsidP="00EB234C">
      <w:r w:rsidRPr="00B4747E">
        <w:t xml:space="preserve">Using these equations, </w:t>
      </w:r>
      <w:r w:rsidR="00264D2C" w:rsidRPr="00264D2C">
        <w:rPr>
          <w:u w:val="single"/>
        </w:rPr>
        <w:t>Table AF</w:t>
      </w:r>
      <w:r w:rsidR="00BC19A8">
        <w:rPr>
          <w:u w:val="single"/>
        </w:rPr>
        <w:t>3</w:t>
      </w:r>
      <w:r w:rsidR="00264D2C" w:rsidRPr="00264D2C">
        <w:rPr>
          <w:u w:val="single"/>
        </w:rPr>
        <w:t>.B</w:t>
      </w:r>
      <w:r w:rsidRPr="00B4747E">
        <w:t xml:space="preserve"> </w:t>
      </w:r>
      <w:r w:rsidR="00264D2C">
        <w:t>s</w:t>
      </w:r>
      <w:r w:rsidRPr="00B4747E">
        <w:t xml:space="preserve">hows predictions against the data with their 95% confidence bounds, illustrating that for 9 of 10 health outcomes evaluated across the </w:t>
      </w:r>
      <w:r w:rsidR="00BC19A8">
        <w:t>three</w:t>
      </w:r>
      <w:r w:rsidRPr="00B4747E">
        <w:t xml:space="preserve"> trials, the predicted relative risk was within the 95% confidence bound of the trial observation. The one consistent difference is </w:t>
      </w:r>
      <w:r w:rsidRPr="00B4747E">
        <w:rPr>
          <w:i/>
        </w:rPr>
        <w:t>Pf</w:t>
      </w:r>
      <w:r w:rsidRPr="00B4747E">
        <w:t>PR in Ghana.</w:t>
      </w:r>
    </w:p>
    <w:p w14:paraId="1EAE14C2" w14:textId="2CA8F74A" w:rsidR="00F678E8" w:rsidRDefault="00F678E8" w:rsidP="00EB234C"/>
    <w:p w14:paraId="6923A8DF" w14:textId="77777777" w:rsidR="00AD1BB8" w:rsidRDefault="00AD1BB8" w:rsidP="00EB234C"/>
    <w:p w14:paraId="6FEAB585" w14:textId="259E420E" w:rsidR="00DA553D" w:rsidRPr="008E612B" w:rsidRDefault="00FA6AE9" w:rsidP="00EB234C">
      <w:pPr>
        <w:rPr>
          <w:b/>
        </w:rPr>
      </w:pPr>
      <w:r w:rsidRPr="008E612B">
        <w:rPr>
          <w:b/>
        </w:rPr>
        <w:t xml:space="preserve">Table </w:t>
      </w:r>
      <w:r w:rsidR="00264D2C" w:rsidRPr="008E612B">
        <w:rPr>
          <w:b/>
        </w:rPr>
        <w:t>AF</w:t>
      </w:r>
      <w:r w:rsidR="00492268">
        <w:rPr>
          <w:b/>
        </w:rPr>
        <w:t>3</w:t>
      </w:r>
      <w:r w:rsidRPr="008E612B">
        <w:rPr>
          <w:b/>
        </w:rPr>
        <w:t>.B Observed and regression-predicted relative risks (intervention / control arm) of health outcomes in 3 cluster-randomized ITN trials</w:t>
      </w:r>
    </w:p>
    <w:p w14:paraId="2D69C7DA" w14:textId="77777777" w:rsidR="00FA6AE9" w:rsidRDefault="00FA6AE9" w:rsidP="00EB234C"/>
    <w:tbl>
      <w:tblPr>
        <w:tblStyle w:val="PlainTable21"/>
        <w:tblW w:w="10800" w:type="dxa"/>
        <w:tblLook w:val="04A0" w:firstRow="1" w:lastRow="0" w:firstColumn="1" w:lastColumn="0" w:noHBand="0" w:noVBand="1"/>
      </w:tblPr>
      <w:tblGrid>
        <w:gridCol w:w="1200"/>
        <w:gridCol w:w="2860"/>
        <w:gridCol w:w="639"/>
        <w:gridCol w:w="807"/>
        <w:gridCol w:w="853"/>
        <w:gridCol w:w="1121"/>
        <w:gridCol w:w="1231"/>
        <w:gridCol w:w="2089"/>
      </w:tblGrid>
      <w:tr w:rsidR="00F14E0F" w:rsidRPr="00BC19A8" w14:paraId="5B340185" w14:textId="77777777" w:rsidTr="00BC19A8">
        <w:trPr>
          <w:gridAfter w:val="1"/>
          <w:cnfStyle w:val="100000000000" w:firstRow="1" w:lastRow="0" w:firstColumn="0" w:lastColumn="0" w:oddVBand="0" w:evenVBand="0" w:oddHBand="0" w:evenHBand="0" w:firstRowFirstColumn="0" w:firstRowLastColumn="0" w:lastRowFirstColumn="0" w:lastRowLastColumn="0"/>
          <w:wAfter w:w="3274" w:type="dxa"/>
          <w:trHeight w:val="288"/>
        </w:trPr>
        <w:tc>
          <w:tcPr>
            <w:cnfStyle w:val="001000000000" w:firstRow="0" w:lastRow="0" w:firstColumn="1" w:lastColumn="0" w:oddVBand="0" w:evenVBand="0" w:oddHBand="0" w:evenHBand="0" w:firstRowFirstColumn="0" w:firstRowLastColumn="0" w:lastRowFirstColumn="0" w:lastRowLastColumn="0"/>
            <w:tcW w:w="1168" w:type="dxa"/>
            <w:noWrap/>
            <w:hideMark/>
          </w:tcPr>
          <w:p w14:paraId="33A27229" w14:textId="77777777" w:rsidR="00F14E0F" w:rsidRPr="00BC19A8" w:rsidRDefault="00F14E0F" w:rsidP="00F14E0F">
            <w:pPr>
              <w:tabs>
                <w:tab w:val="clear" w:pos="3690"/>
              </w:tabs>
              <w:rPr>
                <w:rFonts w:eastAsia="Times New Roman"/>
                <w:iCs/>
                <w:color w:val="000000"/>
                <w:lang w:eastAsia="en-US"/>
              </w:rPr>
            </w:pPr>
            <w:r w:rsidRPr="00BC19A8">
              <w:rPr>
                <w:rFonts w:eastAsia="Times New Roman"/>
                <w:iCs/>
                <w:color w:val="000000"/>
                <w:lang w:eastAsia="en-US"/>
              </w:rPr>
              <w:t>Trial</w:t>
            </w:r>
          </w:p>
        </w:tc>
        <w:tc>
          <w:tcPr>
            <w:tcW w:w="2860" w:type="dxa"/>
            <w:noWrap/>
            <w:hideMark/>
          </w:tcPr>
          <w:p w14:paraId="7A025865" w14:textId="77777777" w:rsidR="00F14E0F" w:rsidRPr="00BC19A8" w:rsidRDefault="00F14E0F" w:rsidP="00F14E0F">
            <w:pPr>
              <w:tabs>
                <w:tab w:val="clear" w:pos="3690"/>
              </w:tabs>
              <w:cnfStyle w:val="100000000000" w:firstRow="1" w:lastRow="0" w:firstColumn="0" w:lastColumn="0" w:oddVBand="0" w:evenVBand="0" w:oddHBand="0" w:evenHBand="0" w:firstRowFirstColumn="0" w:firstRowLastColumn="0" w:lastRowFirstColumn="0" w:lastRowLastColumn="0"/>
              <w:rPr>
                <w:rFonts w:eastAsia="Times New Roman"/>
                <w:iCs/>
                <w:color w:val="000000"/>
                <w:lang w:eastAsia="en-US"/>
              </w:rPr>
            </w:pPr>
            <w:r w:rsidRPr="00BC19A8">
              <w:rPr>
                <w:rFonts w:eastAsia="Times New Roman"/>
                <w:iCs/>
                <w:color w:val="000000"/>
                <w:lang w:eastAsia="en-US"/>
              </w:rPr>
              <w:t>Health outcome</w:t>
            </w:r>
          </w:p>
        </w:tc>
        <w:tc>
          <w:tcPr>
            <w:tcW w:w="1446" w:type="dxa"/>
            <w:gridSpan w:val="2"/>
            <w:noWrap/>
            <w:hideMark/>
          </w:tcPr>
          <w:p w14:paraId="47062229" w14:textId="77777777" w:rsidR="00F14E0F" w:rsidRPr="00BC19A8" w:rsidRDefault="00F14E0F" w:rsidP="00F14E0F">
            <w:pPr>
              <w:tabs>
                <w:tab w:val="clear" w:pos="3690"/>
              </w:tabs>
              <w:cnfStyle w:val="100000000000" w:firstRow="1" w:lastRow="0" w:firstColumn="0" w:lastColumn="0" w:oddVBand="0" w:evenVBand="0" w:oddHBand="0" w:evenHBand="0" w:firstRowFirstColumn="0" w:firstRowLastColumn="0" w:lastRowFirstColumn="0" w:lastRowLastColumn="0"/>
              <w:rPr>
                <w:rFonts w:eastAsia="Times New Roman"/>
                <w:iCs/>
                <w:color w:val="000000"/>
                <w:lang w:eastAsia="en-US"/>
              </w:rPr>
            </w:pPr>
            <w:r w:rsidRPr="00BC19A8">
              <w:rPr>
                <w:rFonts w:eastAsia="Times New Roman"/>
                <w:iCs/>
                <w:color w:val="000000"/>
                <w:lang w:eastAsia="en-US"/>
              </w:rPr>
              <w:t>Observed</w:t>
            </w:r>
          </w:p>
        </w:tc>
        <w:tc>
          <w:tcPr>
            <w:tcW w:w="853" w:type="dxa"/>
            <w:noWrap/>
            <w:hideMark/>
          </w:tcPr>
          <w:p w14:paraId="51596851" w14:textId="77777777" w:rsidR="00F14E0F" w:rsidRPr="00BC19A8" w:rsidRDefault="00F14E0F" w:rsidP="00F14E0F">
            <w:pPr>
              <w:tabs>
                <w:tab w:val="clear" w:pos="3690"/>
              </w:tabs>
              <w:cnfStyle w:val="100000000000" w:firstRow="1" w:lastRow="0" w:firstColumn="0" w:lastColumn="0" w:oddVBand="0" w:evenVBand="0" w:oddHBand="0" w:evenHBand="0" w:firstRowFirstColumn="0" w:firstRowLastColumn="0" w:lastRowFirstColumn="0" w:lastRowLastColumn="0"/>
              <w:rPr>
                <w:rFonts w:eastAsia="Times New Roman"/>
                <w:iCs/>
                <w:color w:val="000000"/>
                <w:lang w:eastAsia="en-US"/>
              </w:rPr>
            </w:pPr>
          </w:p>
        </w:tc>
        <w:tc>
          <w:tcPr>
            <w:tcW w:w="963" w:type="dxa"/>
            <w:tcBorders>
              <w:top w:val="single" w:sz="4" w:space="0" w:color="7F7F7F" w:themeColor="text1" w:themeTint="80"/>
              <w:bottom w:val="single" w:sz="4" w:space="0" w:color="auto"/>
            </w:tcBorders>
            <w:noWrap/>
            <w:hideMark/>
          </w:tcPr>
          <w:p w14:paraId="6E03DB11" w14:textId="77777777" w:rsidR="00F14E0F" w:rsidRPr="00BC19A8" w:rsidRDefault="00F14E0F" w:rsidP="00F14E0F">
            <w:pPr>
              <w:tabs>
                <w:tab w:val="clear" w:pos="3690"/>
              </w:tabs>
              <w:jc w:val="center"/>
              <w:cnfStyle w:val="100000000000" w:firstRow="1" w:lastRow="0" w:firstColumn="0" w:lastColumn="0" w:oddVBand="0" w:evenVBand="0" w:oddHBand="0" w:evenHBand="0" w:firstRowFirstColumn="0" w:firstRowLastColumn="0" w:lastRowFirstColumn="0" w:lastRowLastColumn="0"/>
              <w:rPr>
                <w:rFonts w:eastAsia="Times New Roman"/>
                <w:iCs/>
                <w:lang w:eastAsia="en-US"/>
              </w:rPr>
            </w:pPr>
            <w:r w:rsidRPr="00BC19A8">
              <w:rPr>
                <w:rFonts w:eastAsia="Times New Roman"/>
                <w:iCs/>
                <w:lang w:eastAsia="en-US"/>
              </w:rPr>
              <w:t>Predicted</w:t>
            </w:r>
          </w:p>
        </w:tc>
        <w:tc>
          <w:tcPr>
            <w:tcW w:w="236" w:type="dxa"/>
            <w:hideMark/>
          </w:tcPr>
          <w:p w14:paraId="24F80DBE" w14:textId="77777777" w:rsidR="00F14E0F" w:rsidRPr="00BC19A8" w:rsidRDefault="00F14E0F" w:rsidP="00F14E0F">
            <w:pPr>
              <w:tabs>
                <w:tab w:val="clear" w:pos="3690"/>
              </w:tabs>
              <w:cnfStyle w:val="100000000000" w:firstRow="1" w:lastRow="0" w:firstColumn="0" w:lastColumn="0" w:oddVBand="0" w:evenVBand="0" w:oddHBand="0" w:evenHBand="0" w:firstRowFirstColumn="0" w:firstRowLastColumn="0" w:lastRowFirstColumn="0" w:lastRowLastColumn="0"/>
              <w:rPr>
                <w:rFonts w:eastAsia="Times New Roman"/>
                <w:iCs/>
                <w:color w:val="000000"/>
                <w:lang w:eastAsia="en-US"/>
              </w:rPr>
            </w:pPr>
            <w:r w:rsidRPr="00BC19A8">
              <w:rPr>
                <w:rFonts w:eastAsia="Times New Roman"/>
                <w:iCs/>
                <w:color w:val="000000"/>
                <w:lang w:eastAsia="en-US"/>
              </w:rPr>
              <w:t>Comments</w:t>
            </w:r>
          </w:p>
        </w:tc>
      </w:tr>
      <w:tr w:rsidR="00F14E0F" w:rsidRPr="00F14E0F" w14:paraId="3CF01538" w14:textId="77777777" w:rsidTr="00BC19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168" w:type="dxa"/>
            <w:noWrap/>
            <w:hideMark/>
          </w:tcPr>
          <w:p w14:paraId="752B40CD" w14:textId="77777777" w:rsidR="00F14E0F" w:rsidRPr="00BC19A8" w:rsidRDefault="00F14E0F" w:rsidP="00F14E0F">
            <w:pPr>
              <w:tabs>
                <w:tab w:val="clear" w:pos="3690"/>
              </w:tabs>
              <w:rPr>
                <w:rFonts w:eastAsia="Times New Roman"/>
                <w:iCs/>
                <w:color w:val="000000"/>
                <w:lang w:eastAsia="en-US"/>
              </w:rPr>
            </w:pPr>
            <w:r w:rsidRPr="00BC19A8">
              <w:rPr>
                <w:rFonts w:eastAsia="Times New Roman"/>
                <w:iCs/>
                <w:color w:val="000000"/>
                <w:lang w:eastAsia="en-US"/>
              </w:rPr>
              <w:t> </w:t>
            </w:r>
          </w:p>
        </w:tc>
        <w:tc>
          <w:tcPr>
            <w:tcW w:w="2860" w:type="dxa"/>
            <w:noWrap/>
            <w:hideMark/>
          </w:tcPr>
          <w:p w14:paraId="1761F17C" w14:textId="77777777" w:rsidR="00F14E0F" w:rsidRPr="00BC19A8" w:rsidRDefault="00F14E0F" w:rsidP="00F14E0F">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bCs/>
                <w:iCs/>
                <w:color w:val="000000"/>
                <w:lang w:eastAsia="en-US"/>
              </w:rPr>
            </w:pPr>
            <w:r w:rsidRPr="00BC19A8">
              <w:rPr>
                <w:rFonts w:eastAsia="Times New Roman"/>
                <w:b/>
                <w:bCs/>
                <w:iCs/>
                <w:color w:val="000000"/>
                <w:lang w:eastAsia="en-US"/>
              </w:rPr>
              <w:t> </w:t>
            </w:r>
          </w:p>
        </w:tc>
        <w:tc>
          <w:tcPr>
            <w:tcW w:w="639" w:type="dxa"/>
            <w:noWrap/>
            <w:hideMark/>
          </w:tcPr>
          <w:p w14:paraId="2379E303" w14:textId="77777777" w:rsidR="00F14E0F" w:rsidRPr="00BC19A8" w:rsidRDefault="00F14E0F" w:rsidP="00F14E0F">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bCs/>
                <w:iCs/>
                <w:color w:val="000000"/>
                <w:lang w:eastAsia="en-US"/>
              </w:rPr>
            </w:pPr>
            <w:r w:rsidRPr="00BC19A8">
              <w:rPr>
                <w:rFonts w:eastAsia="Times New Roman"/>
                <w:b/>
                <w:bCs/>
                <w:iCs/>
                <w:color w:val="000000"/>
                <w:lang w:eastAsia="en-US"/>
              </w:rPr>
              <w:t> </w:t>
            </w:r>
          </w:p>
        </w:tc>
        <w:tc>
          <w:tcPr>
            <w:tcW w:w="807" w:type="dxa"/>
            <w:hideMark/>
          </w:tcPr>
          <w:p w14:paraId="1606B013" w14:textId="77777777" w:rsidR="00F14E0F" w:rsidRPr="009A6E7A" w:rsidRDefault="00F14E0F" w:rsidP="00F14E0F">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Cs/>
                <w:iCs/>
                <w:color w:val="000000"/>
                <w:lang w:eastAsia="en-US"/>
              </w:rPr>
            </w:pPr>
            <w:r w:rsidRPr="009A6E7A">
              <w:rPr>
                <w:rFonts w:eastAsia="Times New Roman"/>
                <w:bCs/>
                <w:iCs/>
                <w:color w:val="000000"/>
                <w:lang w:eastAsia="en-US"/>
              </w:rPr>
              <w:t>Low-bound</w:t>
            </w:r>
          </w:p>
        </w:tc>
        <w:tc>
          <w:tcPr>
            <w:tcW w:w="853" w:type="dxa"/>
            <w:hideMark/>
          </w:tcPr>
          <w:p w14:paraId="199D9568" w14:textId="77777777" w:rsidR="00F14E0F" w:rsidRPr="009A6E7A" w:rsidRDefault="00F14E0F" w:rsidP="00F14E0F">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Cs/>
                <w:iCs/>
                <w:color w:val="000000"/>
                <w:lang w:eastAsia="en-US"/>
              </w:rPr>
            </w:pPr>
            <w:r w:rsidRPr="009A6E7A">
              <w:rPr>
                <w:rFonts w:eastAsia="Times New Roman"/>
                <w:bCs/>
                <w:iCs/>
                <w:color w:val="000000"/>
                <w:lang w:eastAsia="en-US"/>
              </w:rPr>
              <w:t>Upper-bound</w:t>
            </w:r>
          </w:p>
        </w:tc>
        <w:tc>
          <w:tcPr>
            <w:tcW w:w="963" w:type="dxa"/>
            <w:tcBorders>
              <w:bottom w:val="single" w:sz="4" w:space="0" w:color="auto"/>
            </w:tcBorders>
            <w:hideMark/>
          </w:tcPr>
          <w:p w14:paraId="4D797BB7" w14:textId="77777777" w:rsidR="00F14E0F" w:rsidRPr="00BC19A8" w:rsidRDefault="00F14E0F" w:rsidP="00F14E0F">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bCs/>
                <w:iCs/>
                <w:lang w:eastAsia="en-US"/>
              </w:rPr>
            </w:pPr>
          </w:p>
        </w:tc>
        <w:tc>
          <w:tcPr>
            <w:tcW w:w="3510" w:type="dxa"/>
            <w:gridSpan w:val="2"/>
            <w:hideMark/>
          </w:tcPr>
          <w:p w14:paraId="488BF984" w14:textId="77777777" w:rsidR="00F14E0F" w:rsidRPr="00BC19A8" w:rsidRDefault="00F14E0F" w:rsidP="00F14E0F">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bCs/>
                <w:iCs/>
                <w:color w:val="000000"/>
                <w:lang w:eastAsia="en-US"/>
              </w:rPr>
            </w:pPr>
            <w:r w:rsidRPr="00BC19A8">
              <w:rPr>
                <w:rFonts w:eastAsia="Times New Roman"/>
                <w:b/>
                <w:bCs/>
                <w:iCs/>
                <w:color w:val="000000"/>
                <w:lang w:eastAsia="en-US"/>
              </w:rPr>
              <w:t> </w:t>
            </w:r>
          </w:p>
        </w:tc>
      </w:tr>
      <w:tr w:rsidR="00F14E0F" w:rsidRPr="00F14E0F" w14:paraId="56388856" w14:textId="77777777" w:rsidTr="00BC19A8">
        <w:trPr>
          <w:trHeight w:val="648"/>
        </w:trPr>
        <w:tc>
          <w:tcPr>
            <w:cnfStyle w:val="001000000000" w:firstRow="0" w:lastRow="0" w:firstColumn="1" w:lastColumn="0" w:oddVBand="0" w:evenVBand="0" w:oddHBand="0" w:evenHBand="0" w:firstRowFirstColumn="0" w:firstRowLastColumn="0" w:lastRowFirstColumn="0" w:lastRowLastColumn="0"/>
            <w:tcW w:w="1168" w:type="dxa"/>
            <w:vMerge w:val="restart"/>
            <w:hideMark/>
          </w:tcPr>
          <w:p w14:paraId="616ADE22" w14:textId="77777777" w:rsidR="00F14E0F" w:rsidRPr="00BC19A8" w:rsidRDefault="00F14E0F" w:rsidP="00F14E0F">
            <w:pPr>
              <w:tabs>
                <w:tab w:val="clear" w:pos="3690"/>
              </w:tabs>
              <w:jc w:val="center"/>
              <w:rPr>
                <w:rFonts w:eastAsia="Times New Roman"/>
                <w:color w:val="000000"/>
                <w:lang w:eastAsia="en-US"/>
              </w:rPr>
            </w:pPr>
            <w:r w:rsidRPr="00BC19A8">
              <w:rPr>
                <w:rFonts w:eastAsia="Times New Roman"/>
                <w:color w:val="000000"/>
                <w:lang w:eastAsia="en-US"/>
              </w:rPr>
              <w:t>Navrongo, GHANA</w:t>
            </w:r>
          </w:p>
        </w:tc>
        <w:tc>
          <w:tcPr>
            <w:tcW w:w="2860" w:type="dxa"/>
            <w:hideMark/>
          </w:tcPr>
          <w:p w14:paraId="5BD8A18E" w14:textId="77777777" w:rsidR="00F14E0F" w:rsidRPr="00BC19A8" w:rsidRDefault="00F14E0F" w:rsidP="003579DE">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All-cause post-neonatal under-5 mortality</w:t>
            </w:r>
          </w:p>
        </w:tc>
        <w:tc>
          <w:tcPr>
            <w:tcW w:w="639" w:type="dxa"/>
            <w:noWrap/>
            <w:vAlign w:val="center"/>
            <w:hideMark/>
          </w:tcPr>
          <w:p w14:paraId="20BAB14F"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0.82</w:t>
            </w:r>
          </w:p>
        </w:tc>
        <w:tc>
          <w:tcPr>
            <w:tcW w:w="807" w:type="dxa"/>
            <w:noWrap/>
            <w:vAlign w:val="center"/>
            <w:hideMark/>
          </w:tcPr>
          <w:p w14:paraId="3530ECAE" w14:textId="77777777"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0.68</w:t>
            </w:r>
          </w:p>
        </w:tc>
        <w:tc>
          <w:tcPr>
            <w:tcW w:w="853" w:type="dxa"/>
            <w:noWrap/>
            <w:vAlign w:val="center"/>
            <w:hideMark/>
          </w:tcPr>
          <w:p w14:paraId="30F4A5E7" w14:textId="77777777"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0.98</w:t>
            </w:r>
          </w:p>
        </w:tc>
        <w:tc>
          <w:tcPr>
            <w:tcW w:w="963" w:type="dxa"/>
            <w:tcBorders>
              <w:top w:val="single" w:sz="4" w:space="0" w:color="auto"/>
            </w:tcBorders>
            <w:noWrap/>
            <w:vAlign w:val="center"/>
            <w:hideMark/>
          </w:tcPr>
          <w:p w14:paraId="348D6ED4"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lang w:eastAsia="en-US"/>
              </w:rPr>
            </w:pPr>
            <w:r w:rsidRPr="009A6E7A">
              <w:rPr>
                <w:rFonts w:eastAsia="Times New Roman"/>
                <w:b/>
                <w:lang w:eastAsia="en-US"/>
              </w:rPr>
              <w:t>0.78</w:t>
            </w:r>
          </w:p>
        </w:tc>
        <w:tc>
          <w:tcPr>
            <w:tcW w:w="3510" w:type="dxa"/>
            <w:gridSpan w:val="2"/>
            <w:hideMark/>
          </w:tcPr>
          <w:p w14:paraId="30E181AD" w14:textId="5B387AD9" w:rsidR="00F14E0F" w:rsidRPr="00BC19A8" w:rsidRDefault="00F14E0F" w:rsidP="00E566AB">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Data from Cochrane review </w:t>
            </w:r>
            <w:r w:rsidR="002548B5" w:rsidRPr="00BC19A8">
              <w:rPr>
                <w:rFonts w:eastAsia="Times New Roman"/>
                <w:color w:val="000000"/>
                <w:lang w:eastAsia="en-US"/>
              </w:rPr>
              <w:fldChar w:fldCharType="begin"/>
            </w:r>
            <w:r w:rsidR="00E566AB" w:rsidRPr="00BC19A8">
              <w:rPr>
                <w:rFonts w:eastAsia="Times New Roman"/>
                <w:color w:val="000000"/>
                <w:lang w:eastAsia="en-US"/>
              </w:rPr>
              <w:instrText xml:space="preserve"> ADDIN EN.CITE &lt;EndNote&gt;&lt;Cite&gt;&lt;Author&gt;Lengeler&lt;/Author&gt;&lt;Year&gt;2004&lt;/Year&gt;&lt;RecNum&gt;2033&lt;/RecNum&gt;&lt;DisplayText&gt;[1]&lt;/DisplayText&gt;&lt;record&gt;&lt;rec-number&gt;2033&lt;/rec-number&gt;&lt;foreign-keys&gt;&lt;key app="EN" db-id="dtz50rr5a0tdt0etvw35szph0drzvzxrtwe0"&gt;2033&lt;/key&gt;&lt;/foreign-keys&gt;&lt;ref-type name="Report"&gt;27&lt;/ref-type&gt;&lt;contributors&gt;&lt;authors&gt;&lt;author&gt;Lengeler, C.&lt;/author&gt;&lt;/authors&gt;&lt;secondary-authors&gt;&lt;author&gt;Editorial Group: Cochrane Infectious Diseases Group&lt;/author&gt;&lt;/secondary-authors&gt;&lt;tertiary-authors&gt;&lt;author&gt;John Wiley &amp;amp; Sons, Ltd.&lt;/author&gt;&lt;/tertiary-authors&gt;&lt;/contributors&gt;&lt;auth-address&gt;Public Health and Epidemiology, Swiss Tropical Institute, Basel, Switzerland, 4002.&lt;/auth-address&gt;&lt;titles&gt;&lt;title&gt;Insecticide-treated bed nets and curtains for preventing malaria&lt;/title&gt;&lt;secondary-title&gt;Cochrane Database Syst Rev&lt;/secondary-title&gt;&lt;/titles&gt;&lt;pages&gt;CD000363&lt;/pages&gt;&lt;number&gt;3&lt;/number&gt;&lt;keywords&gt;&lt;keyword&gt;*Bedding and Linens&lt;/keyword&gt;&lt;keyword&gt;Female&lt;/keyword&gt;&lt;keyword&gt;Human&lt;/keyword&gt;&lt;keyword&gt;Insecticides/*administration &amp;amp; dosage&lt;/keyword&gt;&lt;keyword&gt;Malaria/*prevention &amp;amp; control&lt;/keyword&gt;&lt;keyword&gt;Malaria, Falciparum/prevention &amp;amp; control&lt;/keyword&gt;&lt;keyword&gt;Malaria, Vivax/prevention &amp;amp; control&lt;/keyword&gt;&lt;keyword&gt;Male&lt;/keyword&gt;&lt;keyword&gt;Mosquito Control/*methods&lt;/keyword&gt;&lt;keyword&gt;Pregnancy&lt;/keyword&gt;&lt;keyword&gt;Randomized Controlled Trials&lt;/keyword&gt;&lt;/keywords&gt;&lt;dates&gt;&lt;year&gt;2004&lt;/year&gt;&lt;pub-dates&gt;&lt;date&gt;18 January&lt;/date&gt;&lt;/pub-dates&gt;&lt;/dates&gt;&lt;accession-num&gt;15106149&lt;/accession-num&gt;&lt;label&gt;review, bednet: effectiveness, RCT&lt;/label&gt;&lt;urls&gt;&lt;related-urls&gt;&lt;url&gt;http://onlinelibrary.wiley.com/doi/10.1002/14651858.CD000363.pub2/pdf&lt;/url&gt;&lt;/related-urls&gt;&lt;/urls&gt;&lt;electronic-resource-num&gt;10.1002/14651858.CD000363.pub2&amp;#xD;&lt;/electronic-resource-num&gt;&lt;/record&gt;&lt;/Cite&gt;&lt;/EndNote&gt;</w:instrText>
            </w:r>
            <w:r w:rsidR="002548B5" w:rsidRPr="00BC19A8">
              <w:rPr>
                <w:rFonts w:eastAsia="Times New Roman"/>
                <w:color w:val="000000"/>
                <w:lang w:eastAsia="en-US"/>
              </w:rPr>
              <w:fldChar w:fldCharType="separate"/>
            </w:r>
            <w:r w:rsidR="00E566AB" w:rsidRPr="00BC19A8">
              <w:rPr>
                <w:rFonts w:eastAsia="Times New Roman"/>
                <w:noProof/>
                <w:color w:val="000000"/>
                <w:lang w:eastAsia="en-US"/>
              </w:rPr>
              <w:t>[</w:t>
            </w:r>
            <w:hyperlink w:anchor="_ENREF_1" w:tooltip="Lengeler, 2004 #2033" w:history="1">
              <w:r w:rsidR="00E566AB" w:rsidRPr="00BC19A8">
                <w:rPr>
                  <w:rFonts w:eastAsia="Times New Roman"/>
                  <w:noProof/>
                  <w:color w:val="000000"/>
                  <w:lang w:eastAsia="en-US"/>
                </w:rPr>
                <w:t>1</w:t>
              </w:r>
            </w:hyperlink>
            <w:r w:rsidR="00E566AB" w:rsidRPr="00BC19A8">
              <w:rPr>
                <w:rFonts w:eastAsia="Times New Roman"/>
                <w:noProof/>
                <w:color w:val="000000"/>
                <w:lang w:eastAsia="en-US"/>
              </w:rPr>
              <w:t>]</w:t>
            </w:r>
            <w:r w:rsidR="002548B5" w:rsidRPr="00BC19A8">
              <w:rPr>
                <w:rFonts w:eastAsia="Times New Roman"/>
                <w:color w:val="000000"/>
                <w:lang w:eastAsia="en-US"/>
              </w:rPr>
              <w:fldChar w:fldCharType="end"/>
            </w:r>
          </w:p>
        </w:tc>
      </w:tr>
      <w:tr w:rsidR="00F14E0F" w:rsidRPr="00F14E0F" w14:paraId="6D8291E7" w14:textId="77777777" w:rsidTr="002548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8" w:type="dxa"/>
            <w:vMerge/>
            <w:hideMark/>
          </w:tcPr>
          <w:p w14:paraId="51D337D0" w14:textId="77777777" w:rsidR="00F14E0F" w:rsidRPr="00BC19A8" w:rsidRDefault="00F14E0F" w:rsidP="00F14E0F">
            <w:pPr>
              <w:tabs>
                <w:tab w:val="clear" w:pos="3690"/>
              </w:tabs>
              <w:rPr>
                <w:rFonts w:eastAsia="Times New Roman"/>
                <w:color w:val="000000"/>
                <w:lang w:eastAsia="en-US"/>
              </w:rPr>
            </w:pPr>
          </w:p>
        </w:tc>
        <w:tc>
          <w:tcPr>
            <w:tcW w:w="2860" w:type="dxa"/>
            <w:noWrap/>
            <w:hideMark/>
          </w:tcPr>
          <w:p w14:paraId="2F1107F8" w14:textId="77777777" w:rsidR="00F14E0F" w:rsidRPr="00BC19A8" w:rsidRDefault="00F14E0F" w:rsidP="003579DE">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Malaria-attributable mortality</w:t>
            </w:r>
          </w:p>
        </w:tc>
        <w:tc>
          <w:tcPr>
            <w:tcW w:w="639" w:type="dxa"/>
            <w:noWrap/>
            <w:vAlign w:val="center"/>
            <w:hideMark/>
          </w:tcPr>
          <w:p w14:paraId="3B6B9407"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0.57</w:t>
            </w:r>
          </w:p>
        </w:tc>
        <w:tc>
          <w:tcPr>
            <w:tcW w:w="807" w:type="dxa"/>
            <w:noWrap/>
            <w:vAlign w:val="center"/>
            <w:hideMark/>
          </w:tcPr>
          <w:p w14:paraId="291AAFB4" w14:textId="0D2769C2"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0.22 </w:t>
            </w:r>
          </w:p>
        </w:tc>
        <w:tc>
          <w:tcPr>
            <w:tcW w:w="853" w:type="dxa"/>
            <w:noWrap/>
            <w:vAlign w:val="center"/>
            <w:hideMark/>
          </w:tcPr>
          <w:p w14:paraId="7FD35A16" w14:textId="6BA850E8"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0.95 </w:t>
            </w:r>
          </w:p>
        </w:tc>
        <w:tc>
          <w:tcPr>
            <w:tcW w:w="963" w:type="dxa"/>
            <w:noWrap/>
            <w:vAlign w:val="center"/>
            <w:hideMark/>
          </w:tcPr>
          <w:p w14:paraId="6A340C0E"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lang w:eastAsia="en-US"/>
              </w:rPr>
            </w:pPr>
            <w:r w:rsidRPr="009A6E7A">
              <w:rPr>
                <w:rFonts w:eastAsia="Times New Roman"/>
                <w:b/>
                <w:lang w:eastAsia="en-US"/>
              </w:rPr>
              <w:t>0.64</w:t>
            </w:r>
          </w:p>
        </w:tc>
        <w:tc>
          <w:tcPr>
            <w:tcW w:w="3510" w:type="dxa"/>
            <w:gridSpan w:val="2"/>
            <w:hideMark/>
          </w:tcPr>
          <w:p w14:paraId="69BF5DE9" w14:textId="4186BFCF"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Calculated as described in text of </w:t>
            </w:r>
            <w:r w:rsidR="002548B5" w:rsidRPr="00BC19A8">
              <w:rPr>
                <w:rFonts w:eastAsia="Times New Roman"/>
                <w:color w:val="000000"/>
                <w:lang w:eastAsia="en-US"/>
              </w:rPr>
              <w:t xml:space="preserve">Additional File </w:t>
            </w:r>
            <w:r w:rsidR="00492268" w:rsidRPr="00BC19A8">
              <w:rPr>
                <w:rFonts w:eastAsia="Times New Roman"/>
                <w:color w:val="000000"/>
                <w:lang w:eastAsia="en-US"/>
              </w:rPr>
              <w:t>3</w:t>
            </w:r>
          </w:p>
        </w:tc>
      </w:tr>
      <w:tr w:rsidR="00F14E0F" w:rsidRPr="00F14E0F" w14:paraId="4122F582" w14:textId="77777777" w:rsidTr="002548B5">
        <w:trPr>
          <w:trHeight w:val="288"/>
        </w:trPr>
        <w:tc>
          <w:tcPr>
            <w:cnfStyle w:val="001000000000" w:firstRow="0" w:lastRow="0" w:firstColumn="1" w:lastColumn="0" w:oddVBand="0" w:evenVBand="0" w:oddHBand="0" w:evenHBand="0" w:firstRowFirstColumn="0" w:firstRowLastColumn="0" w:lastRowFirstColumn="0" w:lastRowLastColumn="0"/>
            <w:tcW w:w="1168" w:type="dxa"/>
            <w:vMerge/>
            <w:hideMark/>
          </w:tcPr>
          <w:p w14:paraId="45243817" w14:textId="77777777" w:rsidR="00F14E0F" w:rsidRPr="00BC19A8" w:rsidRDefault="00F14E0F" w:rsidP="00F14E0F">
            <w:pPr>
              <w:tabs>
                <w:tab w:val="clear" w:pos="3690"/>
              </w:tabs>
              <w:rPr>
                <w:rFonts w:eastAsia="Times New Roman"/>
                <w:color w:val="000000"/>
                <w:lang w:eastAsia="en-US"/>
              </w:rPr>
            </w:pPr>
          </w:p>
        </w:tc>
        <w:tc>
          <w:tcPr>
            <w:tcW w:w="2860" w:type="dxa"/>
            <w:noWrap/>
            <w:hideMark/>
          </w:tcPr>
          <w:p w14:paraId="198896DC" w14:textId="77777777" w:rsidR="00F14E0F" w:rsidRPr="00BC19A8" w:rsidRDefault="00F14E0F" w:rsidP="003579DE">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Malaria case incidence</w:t>
            </w:r>
          </w:p>
        </w:tc>
        <w:tc>
          <w:tcPr>
            <w:tcW w:w="639" w:type="dxa"/>
            <w:noWrap/>
            <w:vAlign w:val="center"/>
            <w:hideMark/>
          </w:tcPr>
          <w:p w14:paraId="28103ADC"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NA</w:t>
            </w:r>
          </w:p>
        </w:tc>
        <w:tc>
          <w:tcPr>
            <w:tcW w:w="807" w:type="dxa"/>
            <w:noWrap/>
            <w:vAlign w:val="center"/>
            <w:hideMark/>
          </w:tcPr>
          <w:p w14:paraId="11AEC199" w14:textId="77777777"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p>
        </w:tc>
        <w:tc>
          <w:tcPr>
            <w:tcW w:w="853" w:type="dxa"/>
            <w:noWrap/>
            <w:vAlign w:val="center"/>
            <w:hideMark/>
          </w:tcPr>
          <w:p w14:paraId="7845BC7B" w14:textId="77777777"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US"/>
              </w:rPr>
            </w:pPr>
          </w:p>
        </w:tc>
        <w:tc>
          <w:tcPr>
            <w:tcW w:w="963" w:type="dxa"/>
            <w:noWrap/>
            <w:vAlign w:val="center"/>
            <w:hideMark/>
          </w:tcPr>
          <w:p w14:paraId="265CB9D7"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lang w:eastAsia="en-US"/>
              </w:rPr>
            </w:pPr>
            <w:r w:rsidRPr="009A6E7A">
              <w:rPr>
                <w:rFonts w:eastAsia="Times New Roman"/>
                <w:b/>
                <w:lang w:eastAsia="en-US"/>
              </w:rPr>
              <w:t>0.71</w:t>
            </w:r>
          </w:p>
        </w:tc>
        <w:tc>
          <w:tcPr>
            <w:tcW w:w="3510" w:type="dxa"/>
            <w:gridSpan w:val="2"/>
            <w:hideMark/>
          </w:tcPr>
          <w:p w14:paraId="4E522A06" w14:textId="77777777" w:rsidR="00F14E0F" w:rsidRPr="00BC19A8" w:rsidRDefault="00F14E0F" w:rsidP="00F14E0F">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w:t>
            </w:r>
          </w:p>
        </w:tc>
      </w:tr>
      <w:tr w:rsidR="00F14E0F" w:rsidRPr="00F14E0F" w14:paraId="7053B683" w14:textId="77777777" w:rsidTr="002548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8" w:type="dxa"/>
            <w:vMerge/>
            <w:hideMark/>
          </w:tcPr>
          <w:p w14:paraId="75314115" w14:textId="77777777" w:rsidR="00F14E0F" w:rsidRPr="00BC19A8" w:rsidRDefault="00F14E0F" w:rsidP="00F14E0F">
            <w:pPr>
              <w:tabs>
                <w:tab w:val="clear" w:pos="3690"/>
              </w:tabs>
              <w:rPr>
                <w:rFonts w:eastAsia="Times New Roman"/>
                <w:color w:val="000000"/>
                <w:lang w:eastAsia="en-US"/>
              </w:rPr>
            </w:pPr>
          </w:p>
        </w:tc>
        <w:tc>
          <w:tcPr>
            <w:tcW w:w="2860" w:type="dxa"/>
            <w:noWrap/>
            <w:hideMark/>
          </w:tcPr>
          <w:p w14:paraId="7D9AC00E" w14:textId="77777777" w:rsidR="00F14E0F" w:rsidRPr="00BC19A8" w:rsidRDefault="00F14E0F" w:rsidP="003579DE">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PfPR</w:t>
            </w:r>
          </w:p>
        </w:tc>
        <w:tc>
          <w:tcPr>
            <w:tcW w:w="639" w:type="dxa"/>
            <w:noWrap/>
            <w:vAlign w:val="center"/>
            <w:hideMark/>
          </w:tcPr>
          <w:p w14:paraId="34C6DBFD"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0.96</w:t>
            </w:r>
          </w:p>
        </w:tc>
        <w:tc>
          <w:tcPr>
            <w:tcW w:w="807" w:type="dxa"/>
            <w:noWrap/>
            <w:vAlign w:val="center"/>
            <w:hideMark/>
          </w:tcPr>
          <w:p w14:paraId="4BF238F9" w14:textId="7A98553F"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0.92 </w:t>
            </w:r>
          </w:p>
        </w:tc>
        <w:tc>
          <w:tcPr>
            <w:tcW w:w="853" w:type="dxa"/>
            <w:noWrap/>
            <w:vAlign w:val="center"/>
            <w:hideMark/>
          </w:tcPr>
          <w:p w14:paraId="26808DE9" w14:textId="5B6202A2"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1.01 </w:t>
            </w:r>
          </w:p>
        </w:tc>
        <w:tc>
          <w:tcPr>
            <w:tcW w:w="963" w:type="dxa"/>
            <w:noWrap/>
            <w:vAlign w:val="center"/>
            <w:hideMark/>
          </w:tcPr>
          <w:p w14:paraId="2CD0FB3D"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lang w:eastAsia="en-US"/>
              </w:rPr>
            </w:pPr>
            <w:r w:rsidRPr="009A6E7A">
              <w:rPr>
                <w:rFonts w:eastAsia="Times New Roman"/>
                <w:b/>
                <w:lang w:eastAsia="en-US"/>
              </w:rPr>
              <w:t>0.83</w:t>
            </w:r>
          </w:p>
        </w:tc>
        <w:tc>
          <w:tcPr>
            <w:tcW w:w="3510" w:type="dxa"/>
            <w:gridSpan w:val="2"/>
            <w:hideMark/>
          </w:tcPr>
          <w:p w14:paraId="68431399" w14:textId="51E8123A" w:rsidR="00F14E0F" w:rsidRPr="00BC19A8" w:rsidRDefault="00F14E0F" w:rsidP="00E566AB">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Data from Cochrane review </w:t>
            </w:r>
            <w:r w:rsidR="002548B5" w:rsidRPr="00BC19A8">
              <w:rPr>
                <w:rFonts w:eastAsia="Times New Roman"/>
                <w:color w:val="000000"/>
                <w:lang w:eastAsia="en-US"/>
              </w:rPr>
              <w:fldChar w:fldCharType="begin"/>
            </w:r>
            <w:r w:rsidR="00E566AB" w:rsidRPr="00BC19A8">
              <w:rPr>
                <w:rFonts w:eastAsia="Times New Roman"/>
                <w:color w:val="000000"/>
                <w:lang w:eastAsia="en-US"/>
              </w:rPr>
              <w:instrText xml:space="preserve"> ADDIN EN.CITE &lt;EndNote&gt;&lt;Cite&gt;&lt;Author&gt;Lengeler&lt;/Author&gt;&lt;Year&gt;2004&lt;/Year&gt;&lt;RecNum&gt;2033&lt;/RecNum&gt;&lt;DisplayText&gt;[1]&lt;/DisplayText&gt;&lt;record&gt;&lt;rec-number&gt;2033&lt;/rec-number&gt;&lt;foreign-keys&gt;&lt;key app="EN" db-id="dtz50rr5a0tdt0etvw35szph0drzvzxrtwe0"&gt;2033&lt;/key&gt;&lt;/foreign-keys&gt;&lt;ref-type name="Report"&gt;27&lt;/ref-type&gt;&lt;contributors&gt;&lt;authors&gt;&lt;author&gt;Lengeler, C.&lt;/author&gt;&lt;/authors&gt;&lt;secondary-authors&gt;&lt;author&gt;Editorial Group: Cochrane Infectious Diseases Group&lt;/author&gt;&lt;/secondary-authors&gt;&lt;tertiary-authors&gt;&lt;author&gt;John Wiley &amp;amp; Sons, Ltd.&lt;/author&gt;&lt;/tertiary-authors&gt;&lt;/contributors&gt;&lt;auth-address&gt;Public Health and Epidemiology, Swiss Tropical Institute, Basel, Switzerland, 4002.&lt;/auth-address&gt;&lt;titles&gt;&lt;title&gt;Insecticide-treated bed nets and curtains for preventing malaria&lt;/title&gt;&lt;secondary-title&gt;Cochrane Database Syst Rev&lt;/secondary-title&gt;&lt;/titles&gt;&lt;pages&gt;CD000363&lt;/pages&gt;&lt;number&gt;3&lt;/number&gt;&lt;keywords&gt;&lt;keyword&gt;*Bedding and Linens&lt;/keyword&gt;&lt;keyword&gt;Female&lt;/keyword&gt;&lt;keyword&gt;Human&lt;/keyword&gt;&lt;keyword&gt;Insecticides/*administration &amp;amp; dosage&lt;/keyword&gt;&lt;keyword&gt;Malaria/*prevention &amp;amp; control&lt;/keyword&gt;&lt;keyword&gt;Malaria, Falciparum/prevention &amp;amp; control&lt;/keyword&gt;&lt;keyword&gt;Malaria, Vivax/prevention &amp;amp; control&lt;/keyword&gt;&lt;keyword&gt;Male&lt;/keyword&gt;&lt;keyword&gt;Mosquito Control/*methods&lt;/keyword&gt;&lt;keyword&gt;Pregnancy&lt;/keyword&gt;&lt;keyword&gt;Randomized Controlled Trials&lt;/keyword&gt;&lt;/keywords&gt;&lt;dates&gt;&lt;year&gt;2004&lt;/year&gt;&lt;pub-dates&gt;&lt;date&gt;18 January&lt;/date&gt;&lt;/pub-dates&gt;&lt;/dates&gt;&lt;accession-num&gt;15106149&lt;/accession-num&gt;&lt;label&gt;review, bednet: effectiveness, RCT&lt;/label&gt;&lt;urls&gt;&lt;related-urls&gt;&lt;url&gt;http://onlinelibrary.wiley.com/doi/10.1002/14651858.CD000363.pub2/pdf&lt;/url&gt;&lt;/related-urls&gt;&lt;/urls&gt;&lt;electronic-resource-num&gt;10.1002/14651858.CD000363.pub2&amp;#xD;&lt;/electronic-resource-num&gt;&lt;/record&gt;&lt;/Cite&gt;&lt;/EndNote&gt;</w:instrText>
            </w:r>
            <w:r w:rsidR="002548B5" w:rsidRPr="00BC19A8">
              <w:rPr>
                <w:rFonts w:eastAsia="Times New Roman"/>
                <w:color w:val="000000"/>
                <w:lang w:eastAsia="en-US"/>
              </w:rPr>
              <w:fldChar w:fldCharType="separate"/>
            </w:r>
            <w:r w:rsidR="00E566AB" w:rsidRPr="00BC19A8">
              <w:rPr>
                <w:rFonts w:eastAsia="Times New Roman"/>
                <w:noProof/>
                <w:color w:val="000000"/>
                <w:lang w:eastAsia="en-US"/>
              </w:rPr>
              <w:t>[</w:t>
            </w:r>
            <w:hyperlink w:anchor="_ENREF_1" w:tooltip="Lengeler, 2004 #2033" w:history="1">
              <w:r w:rsidR="00E566AB" w:rsidRPr="00BC19A8">
                <w:rPr>
                  <w:rFonts w:eastAsia="Times New Roman"/>
                  <w:noProof/>
                  <w:color w:val="000000"/>
                  <w:lang w:eastAsia="en-US"/>
                </w:rPr>
                <w:t>1</w:t>
              </w:r>
            </w:hyperlink>
            <w:r w:rsidR="00E566AB" w:rsidRPr="00BC19A8">
              <w:rPr>
                <w:rFonts w:eastAsia="Times New Roman"/>
                <w:noProof/>
                <w:color w:val="000000"/>
                <w:lang w:eastAsia="en-US"/>
              </w:rPr>
              <w:t>]</w:t>
            </w:r>
            <w:r w:rsidR="002548B5" w:rsidRPr="00BC19A8">
              <w:rPr>
                <w:rFonts w:eastAsia="Times New Roman"/>
                <w:color w:val="000000"/>
                <w:lang w:eastAsia="en-US"/>
              </w:rPr>
              <w:fldChar w:fldCharType="end"/>
            </w:r>
          </w:p>
        </w:tc>
      </w:tr>
      <w:tr w:rsidR="00F14E0F" w:rsidRPr="00F14E0F" w14:paraId="22BD08D3" w14:textId="77777777" w:rsidTr="002548B5">
        <w:trPr>
          <w:trHeight w:val="288"/>
        </w:trPr>
        <w:tc>
          <w:tcPr>
            <w:cnfStyle w:val="001000000000" w:firstRow="0" w:lastRow="0" w:firstColumn="1" w:lastColumn="0" w:oddVBand="0" w:evenVBand="0" w:oddHBand="0" w:evenHBand="0" w:firstRowFirstColumn="0" w:firstRowLastColumn="0" w:lastRowFirstColumn="0" w:lastRowLastColumn="0"/>
            <w:tcW w:w="1168" w:type="dxa"/>
            <w:noWrap/>
            <w:hideMark/>
          </w:tcPr>
          <w:p w14:paraId="568DA8F0" w14:textId="77777777" w:rsidR="00F14E0F" w:rsidRPr="00BC19A8" w:rsidRDefault="00F14E0F" w:rsidP="00F14E0F">
            <w:pPr>
              <w:tabs>
                <w:tab w:val="clear" w:pos="3690"/>
              </w:tabs>
              <w:rPr>
                <w:rFonts w:eastAsia="Times New Roman"/>
                <w:color w:val="000000"/>
                <w:lang w:eastAsia="en-US"/>
              </w:rPr>
            </w:pPr>
          </w:p>
        </w:tc>
        <w:tc>
          <w:tcPr>
            <w:tcW w:w="2860" w:type="dxa"/>
            <w:noWrap/>
            <w:hideMark/>
          </w:tcPr>
          <w:p w14:paraId="1396E804" w14:textId="77777777" w:rsidR="00F14E0F" w:rsidRPr="00BC19A8" w:rsidRDefault="00F14E0F" w:rsidP="003579DE">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US"/>
              </w:rPr>
            </w:pPr>
          </w:p>
        </w:tc>
        <w:tc>
          <w:tcPr>
            <w:tcW w:w="639" w:type="dxa"/>
            <w:noWrap/>
            <w:vAlign w:val="center"/>
            <w:hideMark/>
          </w:tcPr>
          <w:p w14:paraId="1F4F995A"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 </w:t>
            </w:r>
          </w:p>
        </w:tc>
        <w:tc>
          <w:tcPr>
            <w:tcW w:w="807" w:type="dxa"/>
            <w:noWrap/>
            <w:vAlign w:val="center"/>
            <w:hideMark/>
          </w:tcPr>
          <w:p w14:paraId="4BBAD881" w14:textId="77777777"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p>
        </w:tc>
        <w:tc>
          <w:tcPr>
            <w:tcW w:w="853" w:type="dxa"/>
            <w:noWrap/>
            <w:vAlign w:val="center"/>
            <w:hideMark/>
          </w:tcPr>
          <w:p w14:paraId="5A10994A" w14:textId="77777777"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US"/>
              </w:rPr>
            </w:pPr>
          </w:p>
        </w:tc>
        <w:tc>
          <w:tcPr>
            <w:tcW w:w="963" w:type="dxa"/>
            <w:noWrap/>
            <w:vAlign w:val="center"/>
            <w:hideMark/>
          </w:tcPr>
          <w:p w14:paraId="49D59036"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lang w:eastAsia="en-US"/>
              </w:rPr>
            </w:pPr>
            <w:r w:rsidRPr="009A6E7A">
              <w:rPr>
                <w:rFonts w:eastAsia="Times New Roman"/>
                <w:b/>
                <w:lang w:eastAsia="en-US"/>
              </w:rPr>
              <w:t> </w:t>
            </w:r>
          </w:p>
        </w:tc>
        <w:tc>
          <w:tcPr>
            <w:tcW w:w="3510" w:type="dxa"/>
            <w:gridSpan w:val="2"/>
            <w:hideMark/>
          </w:tcPr>
          <w:p w14:paraId="210A49C7" w14:textId="77777777" w:rsidR="00F14E0F" w:rsidRPr="00BC19A8" w:rsidRDefault="00F14E0F" w:rsidP="00F14E0F">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w:t>
            </w:r>
          </w:p>
        </w:tc>
      </w:tr>
      <w:tr w:rsidR="00F14E0F" w:rsidRPr="00F14E0F" w14:paraId="6B5EBBC7" w14:textId="77777777" w:rsidTr="002548B5">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168" w:type="dxa"/>
            <w:vMerge w:val="restart"/>
            <w:hideMark/>
          </w:tcPr>
          <w:p w14:paraId="49083C9A" w14:textId="77777777" w:rsidR="00F14E0F" w:rsidRPr="00BC19A8" w:rsidRDefault="00F14E0F" w:rsidP="00F14E0F">
            <w:pPr>
              <w:tabs>
                <w:tab w:val="clear" w:pos="3690"/>
              </w:tabs>
              <w:jc w:val="center"/>
              <w:rPr>
                <w:rFonts w:eastAsia="Times New Roman"/>
                <w:color w:val="000000"/>
                <w:lang w:eastAsia="en-US"/>
              </w:rPr>
            </w:pPr>
            <w:r w:rsidRPr="00BC19A8">
              <w:rPr>
                <w:rFonts w:eastAsia="Times New Roman"/>
                <w:color w:val="000000"/>
                <w:lang w:eastAsia="en-US"/>
              </w:rPr>
              <w:t>Asembo, KENYA</w:t>
            </w:r>
          </w:p>
        </w:tc>
        <w:tc>
          <w:tcPr>
            <w:tcW w:w="2860" w:type="dxa"/>
            <w:hideMark/>
          </w:tcPr>
          <w:p w14:paraId="5C09B164" w14:textId="77777777" w:rsidR="00F14E0F" w:rsidRPr="00BC19A8" w:rsidRDefault="00F14E0F" w:rsidP="003579DE">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All-cause post-neonatal under-5 mortality</w:t>
            </w:r>
          </w:p>
        </w:tc>
        <w:tc>
          <w:tcPr>
            <w:tcW w:w="639" w:type="dxa"/>
            <w:noWrap/>
            <w:vAlign w:val="center"/>
            <w:hideMark/>
          </w:tcPr>
          <w:p w14:paraId="7AE7342C" w14:textId="65B37D48"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lang w:eastAsia="en-US"/>
              </w:rPr>
            </w:pPr>
            <w:r w:rsidRPr="009A6E7A">
              <w:rPr>
                <w:rFonts w:eastAsia="Times New Roman"/>
                <w:b/>
                <w:lang w:eastAsia="en-US"/>
              </w:rPr>
              <w:t xml:space="preserve">0.82 </w:t>
            </w:r>
          </w:p>
        </w:tc>
        <w:tc>
          <w:tcPr>
            <w:tcW w:w="807" w:type="dxa"/>
            <w:noWrap/>
            <w:vAlign w:val="center"/>
            <w:hideMark/>
          </w:tcPr>
          <w:p w14:paraId="12C97CF0" w14:textId="6AD671B4"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lang w:eastAsia="en-US"/>
              </w:rPr>
            </w:pPr>
            <w:r w:rsidRPr="00BC19A8">
              <w:rPr>
                <w:rFonts w:eastAsia="Times New Roman"/>
                <w:lang w:eastAsia="en-US"/>
              </w:rPr>
              <w:t xml:space="preserve">0.72 </w:t>
            </w:r>
          </w:p>
        </w:tc>
        <w:tc>
          <w:tcPr>
            <w:tcW w:w="853" w:type="dxa"/>
            <w:noWrap/>
            <w:vAlign w:val="center"/>
            <w:hideMark/>
          </w:tcPr>
          <w:p w14:paraId="56CACDE4" w14:textId="644F2F32"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lang w:eastAsia="en-US"/>
              </w:rPr>
            </w:pPr>
            <w:r w:rsidRPr="00BC19A8">
              <w:rPr>
                <w:rFonts w:eastAsia="Times New Roman"/>
                <w:lang w:eastAsia="en-US"/>
              </w:rPr>
              <w:t xml:space="preserve">0.92 </w:t>
            </w:r>
          </w:p>
        </w:tc>
        <w:tc>
          <w:tcPr>
            <w:tcW w:w="963" w:type="dxa"/>
            <w:noWrap/>
            <w:vAlign w:val="center"/>
            <w:hideMark/>
          </w:tcPr>
          <w:p w14:paraId="3D498157"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lang w:eastAsia="en-US"/>
              </w:rPr>
            </w:pPr>
            <w:r w:rsidRPr="009A6E7A">
              <w:rPr>
                <w:rFonts w:eastAsia="Times New Roman"/>
                <w:b/>
                <w:lang w:eastAsia="en-US"/>
              </w:rPr>
              <w:t>0.79</w:t>
            </w:r>
          </w:p>
        </w:tc>
        <w:tc>
          <w:tcPr>
            <w:tcW w:w="3510" w:type="dxa"/>
            <w:gridSpan w:val="2"/>
            <w:hideMark/>
          </w:tcPr>
          <w:p w14:paraId="47F3B475" w14:textId="77777777" w:rsidR="00F14E0F" w:rsidRPr="00BC19A8" w:rsidRDefault="00F14E0F" w:rsidP="00F14E0F">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Data based on hazard ratio of 0.72, adjusted for community contamination*</w:t>
            </w:r>
          </w:p>
        </w:tc>
      </w:tr>
      <w:tr w:rsidR="00F14E0F" w:rsidRPr="00F14E0F" w14:paraId="1881F06E" w14:textId="77777777" w:rsidTr="002548B5">
        <w:trPr>
          <w:trHeight w:val="288"/>
        </w:trPr>
        <w:tc>
          <w:tcPr>
            <w:cnfStyle w:val="001000000000" w:firstRow="0" w:lastRow="0" w:firstColumn="1" w:lastColumn="0" w:oddVBand="0" w:evenVBand="0" w:oddHBand="0" w:evenHBand="0" w:firstRowFirstColumn="0" w:firstRowLastColumn="0" w:lastRowFirstColumn="0" w:lastRowLastColumn="0"/>
            <w:tcW w:w="1168" w:type="dxa"/>
            <w:vMerge/>
            <w:hideMark/>
          </w:tcPr>
          <w:p w14:paraId="2C56A1E1" w14:textId="77777777" w:rsidR="00F14E0F" w:rsidRPr="00BC19A8" w:rsidRDefault="00F14E0F" w:rsidP="00F14E0F">
            <w:pPr>
              <w:tabs>
                <w:tab w:val="clear" w:pos="3690"/>
              </w:tabs>
              <w:rPr>
                <w:rFonts w:eastAsia="Times New Roman"/>
                <w:color w:val="000000"/>
                <w:lang w:eastAsia="en-US"/>
              </w:rPr>
            </w:pPr>
          </w:p>
        </w:tc>
        <w:tc>
          <w:tcPr>
            <w:tcW w:w="2860" w:type="dxa"/>
            <w:noWrap/>
            <w:hideMark/>
          </w:tcPr>
          <w:p w14:paraId="128CED76" w14:textId="77777777" w:rsidR="00F14E0F" w:rsidRPr="00BC19A8" w:rsidRDefault="00F14E0F" w:rsidP="003579DE">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Malaria-attributable mortality</w:t>
            </w:r>
          </w:p>
        </w:tc>
        <w:tc>
          <w:tcPr>
            <w:tcW w:w="639" w:type="dxa"/>
            <w:noWrap/>
            <w:vAlign w:val="center"/>
            <w:hideMark/>
          </w:tcPr>
          <w:p w14:paraId="437E8E9A"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0.49</w:t>
            </w:r>
          </w:p>
        </w:tc>
        <w:tc>
          <w:tcPr>
            <w:tcW w:w="807" w:type="dxa"/>
            <w:noWrap/>
            <w:vAlign w:val="center"/>
            <w:hideMark/>
          </w:tcPr>
          <w:p w14:paraId="69316F67" w14:textId="43D752F9"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0.21 </w:t>
            </w:r>
          </w:p>
        </w:tc>
        <w:tc>
          <w:tcPr>
            <w:tcW w:w="853" w:type="dxa"/>
            <w:noWrap/>
            <w:vAlign w:val="center"/>
            <w:hideMark/>
          </w:tcPr>
          <w:p w14:paraId="288BAADF" w14:textId="721FC1FA"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0.78 </w:t>
            </w:r>
          </w:p>
        </w:tc>
        <w:tc>
          <w:tcPr>
            <w:tcW w:w="963" w:type="dxa"/>
            <w:noWrap/>
            <w:vAlign w:val="center"/>
            <w:hideMark/>
          </w:tcPr>
          <w:p w14:paraId="1126E86F"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lang w:eastAsia="en-US"/>
              </w:rPr>
            </w:pPr>
            <w:r w:rsidRPr="009A6E7A">
              <w:rPr>
                <w:rFonts w:eastAsia="Times New Roman"/>
                <w:b/>
                <w:lang w:eastAsia="en-US"/>
              </w:rPr>
              <w:t>0.53</w:t>
            </w:r>
          </w:p>
        </w:tc>
        <w:tc>
          <w:tcPr>
            <w:tcW w:w="3510" w:type="dxa"/>
            <w:gridSpan w:val="2"/>
            <w:hideMark/>
          </w:tcPr>
          <w:p w14:paraId="1CAF9F60" w14:textId="0C8E4DCD" w:rsidR="00F14E0F" w:rsidRPr="00BC19A8" w:rsidRDefault="00F14E0F" w:rsidP="00F14E0F">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Calculated as described in text of </w:t>
            </w:r>
            <w:r w:rsidR="002548B5" w:rsidRPr="00BC19A8">
              <w:rPr>
                <w:rFonts w:eastAsia="Times New Roman"/>
                <w:color w:val="000000"/>
                <w:lang w:eastAsia="en-US"/>
              </w:rPr>
              <w:t xml:space="preserve">Additional File </w:t>
            </w:r>
            <w:r w:rsidR="00492268" w:rsidRPr="00BC19A8">
              <w:rPr>
                <w:rFonts w:eastAsia="Times New Roman"/>
                <w:color w:val="000000"/>
                <w:lang w:eastAsia="en-US"/>
              </w:rPr>
              <w:t>3</w:t>
            </w:r>
          </w:p>
        </w:tc>
      </w:tr>
      <w:tr w:rsidR="00F14E0F" w:rsidRPr="00F14E0F" w14:paraId="2D26DFC2" w14:textId="77777777" w:rsidTr="002548B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168" w:type="dxa"/>
            <w:vMerge/>
            <w:hideMark/>
          </w:tcPr>
          <w:p w14:paraId="4BF17B89" w14:textId="77777777" w:rsidR="00F14E0F" w:rsidRPr="00BC19A8" w:rsidRDefault="00F14E0F" w:rsidP="00F14E0F">
            <w:pPr>
              <w:tabs>
                <w:tab w:val="clear" w:pos="3690"/>
              </w:tabs>
              <w:rPr>
                <w:rFonts w:eastAsia="Times New Roman"/>
                <w:color w:val="000000"/>
                <w:lang w:eastAsia="en-US"/>
              </w:rPr>
            </w:pPr>
          </w:p>
        </w:tc>
        <w:tc>
          <w:tcPr>
            <w:tcW w:w="2860" w:type="dxa"/>
            <w:noWrap/>
            <w:hideMark/>
          </w:tcPr>
          <w:p w14:paraId="0A1D0CDE" w14:textId="77777777" w:rsidR="00F14E0F" w:rsidRPr="00BC19A8" w:rsidRDefault="00F14E0F" w:rsidP="003579DE">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Malaria case incidence</w:t>
            </w:r>
          </w:p>
        </w:tc>
        <w:tc>
          <w:tcPr>
            <w:tcW w:w="639" w:type="dxa"/>
            <w:noWrap/>
            <w:vAlign w:val="center"/>
            <w:hideMark/>
          </w:tcPr>
          <w:p w14:paraId="178348D0"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0.52</w:t>
            </w:r>
          </w:p>
        </w:tc>
        <w:tc>
          <w:tcPr>
            <w:tcW w:w="807" w:type="dxa"/>
            <w:noWrap/>
            <w:vAlign w:val="center"/>
            <w:hideMark/>
          </w:tcPr>
          <w:p w14:paraId="228D14D4" w14:textId="77777777"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0.33</w:t>
            </w:r>
          </w:p>
        </w:tc>
        <w:tc>
          <w:tcPr>
            <w:tcW w:w="853" w:type="dxa"/>
            <w:noWrap/>
            <w:vAlign w:val="center"/>
            <w:hideMark/>
          </w:tcPr>
          <w:p w14:paraId="1964C483" w14:textId="77777777"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0.83</w:t>
            </w:r>
          </w:p>
        </w:tc>
        <w:tc>
          <w:tcPr>
            <w:tcW w:w="963" w:type="dxa"/>
            <w:noWrap/>
            <w:vAlign w:val="center"/>
            <w:hideMark/>
          </w:tcPr>
          <w:p w14:paraId="49D3919B"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lang w:eastAsia="en-US"/>
              </w:rPr>
            </w:pPr>
            <w:r w:rsidRPr="009A6E7A">
              <w:rPr>
                <w:rFonts w:eastAsia="Times New Roman"/>
                <w:b/>
                <w:lang w:eastAsia="en-US"/>
              </w:rPr>
              <w:t>0.61</w:t>
            </w:r>
          </w:p>
        </w:tc>
        <w:tc>
          <w:tcPr>
            <w:tcW w:w="3510" w:type="dxa"/>
            <w:gridSpan w:val="2"/>
            <w:hideMark/>
          </w:tcPr>
          <w:p w14:paraId="5485D41B" w14:textId="77777777" w:rsidR="00F14E0F" w:rsidRPr="00BC19A8" w:rsidRDefault="00F14E0F" w:rsidP="00F14E0F">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Data based on hazard ratio of 0.52, adjusted for community contamination*</w:t>
            </w:r>
          </w:p>
        </w:tc>
      </w:tr>
      <w:tr w:rsidR="00F14E0F" w:rsidRPr="00F14E0F" w14:paraId="6D774882" w14:textId="77777777" w:rsidTr="002548B5">
        <w:trPr>
          <w:trHeight w:val="576"/>
        </w:trPr>
        <w:tc>
          <w:tcPr>
            <w:cnfStyle w:val="001000000000" w:firstRow="0" w:lastRow="0" w:firstColumn="1" w:lastColumn="0" w:oddVBand="0" w:evenVBand="0" w:oddHBand="0" w:evenHBand="0" w:firstRowFirstColumn="0" w:firstRowLastColumn="0" w:lastRowFirstColumn="0" w:lastRowLastColumn="0"/>
            <w:tcW w:w="1168" w:type="dxa"/>
            <w:vMerge/>
            <w:hideMark/>
          </w:tcPr>
          <w:p w14:paraId="4762E80C" w14:textId="77777777" w:rsidR="00F14E0F" w:rsidRPr="00BC19A8" w:rsidRDefault="00F14E0F" w:rsidP="00F14E0F">
            <w:pPr>
              <w:tabs>
                <w:tab w:val="clear" w:pos="3690"/>
              </w:tabs>
              <w:rPr>
                <w:rFonts w:eastAsia="Times New Roman"/>
                <w:color w:val="000000"/>
                <w:lang w:eastAsia="en-US"/>
              </w:rPr>
            </w:pPr>
          </w:p>
        </w:tc>
        <w:tc>
          <w:tcPr>
            <w:tcW w:w="2860" w:type="dxa"/>
            <w:noWrap/>
            <w:hideMark/>
          </w:tcPr>
          <w:p w14:paraId="386CF4A5" w14:textId="77777777" w:rsidR="00F14E0F" w:rsidRPr="00BC19A8" w:rsidRDefault="00F14E0F" w:rsidP="003579DE">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PfPR</w:t>
            </w:r>
          </w:p>
        </w:tc>
        <w:tc>
          <w:tcPr>
            <w:tcW w:w="639" w:type="dxa"/>
            <w:noWrap/>
            <w:vAlign w:val="center"/>
            <w:hideMark/>
          </w:tcPr>
          <w:p w14:paraId="46F22114" w14:textId="7FB2F4E6"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 xml:space="preserve">0.62 </w:t>
            </w:r>
          </w:p>
        </w:tc>
        <w:tc>
          <w:tcPr>
            <w:tcW w:w="807" w:type="dxa"/>
            <w:noWrap/>
            <w:vAlign w:val="center"/>
            <w:hideMark/>
          </w:tcPr>
          <w:p w14:paraId="51EBCC83" w14:textId="358D1031"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0.54 </w:t>
            </w:r>
          </w:p>
        </w:tc>
        <w:tc>
          <w:tcPr>
            <w:tcW w:w="853" w:type="dxa"/>
            <w:noWrap/>
            <w:vAlign w:val="center"/>
            <w:hideMark/>
          </w:tcPr>
          <w:p w14:paraId="5E11AC08" w14:textId="38DE3B7B"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0.70 </w:t>
            </w:r>
          </w:p>
        </w:tc>
        <w:tc>
          <w:tcPr>
            <w:tcW w:w="963" w:type="dxa"/>
            <w:noWrap/>
            <w:vAlign w:val="center"/>
            <w:hideMark/>
          </w:tcPr>
          <w:p w14:paraId="6701A511"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lang w:eastAsia="en-US"/>
              </w:rPr>
            </w:pPr>
            <w:r w:rsidRPr="009A6E7A">
              <w:rPr>
                <w:rFonts w:eastAsia="Times New Roman"/>
                <w:b/>
                <w:lang w:eastAsia="en-US"/>
              </w:rPr>
              <w:t>0.70</w:t>
            </w:r>
          </w:p>
        </w:tc>
        <w:tc>
          <w:tcPr>
            <w:tcW w:w="3510" w:type="dxa"/>
            <w:gridSpan w:val="2"/>
            <w:hideMark/>
          </w:tcPr>
          <w:p w14:paraId="4526682C" w14:textId="77777777" w:rsidR="00F14E0F" w:rsidRPr="00BC19A8" w:rsidRDefault="00F14E0F" w:rsidP="00F14E0F">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Data based on hazard ratio of 0.59, adjusted for community contamination*</w:t>
            </w:r>
          </w:p>
        </w:tc>
      </w:tr>
      <w:tr w:rsidR="00F14E0F" w:rsidRPr="00F14E0F" w14:paraId="30B6498C" w14:textId="77777777" w:rsidTr="002548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8" w:type="dxa"/>
            <w:noWrap/>
            <w:hideMark/>
          </w:tcPr>
          <w:p w14:paraId="14258BFB" w14:textId="77777777" w:rsidR="00F14E0F" w:rsidRPr="00BC19A8" w:rsidRDefault="00F14E0F" w:rsidP="00F14E0F">
            <w:pPr>
              <w:tabs>
                <w:tab w:val="clear" w:pos="3690"/>
              </w:tabs>
              <w:rPr>
                <w:rFonts w:eastAsia="Times New Roman"/>
                <w:color w:val="000000"/>
                <w:lang w:eastAsia="en-US"/>
              </w:rPr>
            </w:pPr>
          </w:p>
        </w:tc>
        <w:tc>
          <w:tcPr>
            <w:tcW w:w="2860" w:type="dxa"/>
            <w:noWrap/>
            <w:hideMark/>
          </w:tcPr>
          <w:p w14:paraId="7F77CD42" w14:textId="77777777" w:rsidR="00F14E0F" w:rsidRPr="00BC19A8" w:rsidRDefault="00F14E0F" w:rsidP="003579DE">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US"/>
              </w:rPr>
            </w:pPr>
          </w:p>
        </w:tc>
        <w:tc>
          <w:tcPr>
            <w:tcW w:w="639" w:type="dxa"/>
            <w:noWrap/>
            <w:vAlign w:val="center"/>
            <w:hideMark/>
          </w:tcPr>
          <w:p w14:paraId="320A5C35"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 </w:t>
            </w:r>
          </w:p>
        </w:tc>
        <w:tc>
          <w:tcPr>
            <w:tcW w:w="807" w:type="dxa"/>
            <w:noWrap/>
            <w:vAlign w:val="center"/>
            <w:hideMark/>
          </w:tcPr>
          <w:p w14:paraId="52802137" w14:textId="77777777"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p>
        </w:tc>
        <w:tc>
          <w:tcPr>
            <w:tcW w:w="853" w:type="dxa"/>
            <w:noWrap/>
            <w:vAlign w:val="center"/>
            <w:hideMark/>
          </w:tcPr>
          <w:p w14:paraId="18870B28" w14:textId="77777777"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US"/>
              </w:rPr>
            </w:pPr>
          </w:p>
        </w:tc>
        <w:tc>
          <w:tcPr>
            <w:tcW w:w="963" w:type="dxa"/>
            <w:noWrap/>
            <w:vAlign w:val="center"/>
            <w:hideMark/>
          </w:tcPr>
          <w:p w14:paraId="0FC3BEA6"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lang w:eastAsia="en-US"/>
              </w:rPr>
            </w:pPr>
            <w:r w:rsidRPr="009A6E7A">
              <w:rPr>
                <w:rFonts w:eastAsia="Times New Roman"/>
                <w:b/>
                <w:lang w:eastAsia="en-US"/>
              </w:rPr>
              <w:t> </w:t>
            </w:r>
          </w:p>
        </w:tc>
        <w:tc>
          <w:tcPr>
            <w:tcW w:w="3510" w:type="dxa"/>
            <w:gridSpan w:val="2"/>
            <w:hideMark/>
          </w:tcPr>
          <w:p w14:paraId="637593DC" w14:textId="77777777" w:rsidR="00F14E0F" w:rsidRPr="00BC19A8" w:rsidRDefault="00F14E0F" w:rsidP="00F14E0F">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w:t>
            </w:r>
          </w:p>
        </w:tc>
      </w:tr>
      <w:tr w:rsidR="00F14E0F" w:rsidRPr="00F14E0F" w14:paraId="7DE961F9" w14:textId="77777777" w:rsidTr="002548B5">
        <w:trPr>
          <w:trHeight w:val="612"/>
        </w:trPr>
        <w:tc>
          <w:tcPr>
            <w:cnfStyle w:val="001000000000" w:firstRow="0" w:lastRow="0" w:firstColumn="1" w:lastColumn="0" w:oddVBand="0" w:evenVBand="0" w:oddHBand="0" w:evenHBand="0" w:firstRowFirstColumn="0" w:firstRowLastColumn="0" w:lastRowFirstColumn="0" w:lastRowLastColumn="0"/>
            <w:tcW w:w="1168" w:type="dxa"/>
            <w:vMerge w:val="restart"/>
            <w:hideMark/>
          </w:tcPr>
          <w:p w14:paraId="5C30458B" w14:textId="77777777" w:rsidR="00F14E0F" w:rsidRPr="00BC19A8" w:rsidRDefault="00F14E0F" w:rsidP="00F14E0F">
            <w:pPr>
              <w:tabs>
                <w:tab w:val="clear" w:pos="3690"/>
              </w:tabs>
              <w:jc w:val="center"/>
              <w:rPr>
                <w:rFonts w:eastAsia="Times New Roman"/>
                <w:color w:val="000000"/>
                <w:lang w:eastAsia="en-US"/>
              </w:rPr>
            </w:pPr>
            <w:r w:rsidRPr="00BC19A8">
              <w:rPr>
                <w:rFonts w:eastAsia="Times New Roman"/>
                <w:color w:val="000000"/>
                <w:lang w:eastAsia="en-US"/>
              </w:rPr>
              <w:t>Kilifi, KENYA</w:t>
            </w:r>
          </w:p>
        </w:tc>
        <w:tc>
          <w:tcPr>
            <w:tcW w:w="2860" w:type="dxa"/>
            <w:hideMark/>
          </w:tcPr>
          <w:p w14:paraId="42E8BC7D" w14:textId="77777777" w:rsidR="00F14E0F" w:rsidRPr="00BC19A8" w:rsidRDefault="00F14E0F" w:rsidP="003579DE">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All-cause post-neonatal under-5 mortality</w:t>
            </w:r>
          </w:p>
        </w:tc>
        <w:tc>
          <w:tcPr>
            <w:tcW w:w="639" w:type="dxa"/>
            <w:noWrap/>
            <w:vAlign w:val="center"/>
            <w:hideMark/>
          </w:tcPr>
          <w:p w14:paraId="7593DCD3"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0.71</w:t>
            </w:r>
          </w:p>
        </w:tc>
        <w:tc>
          <w:tcPr>
            <w:tcW w:w="807" w:type="dxa"/>
            <w:noWrap/>
            <w:vAlign w:val="center"/>
            <w:hideMark/>
          </w:tcPr>
          <w:p w14:paraId="448B8D8D" w14:textId="77777777"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0.52</w:t>
            </w:r>
          </w:p>
        </w:tc>
        <w:tc>
          <w:tcPr>
            <w:tcW w:w="853" w:type="dxa"/>
            <w:noWrap/>
            <w:vAlign w:val="center"/>
            <w:hideMark/>
          </w:tcPr>
          <w:p w14:paraId="38C240A7" w14:textId="77777777"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0.97</w:t>
            </w:r>
          </w:p>
        </w:tc>
        <w:tc>
          <w:tcPr>
            <w:tcW w:w="963" w:type="dxa"/>
            <w:noWrap/>
            <w:vAlign w:val="center"/>
            <w:hideMark/>
          </w:tcPr>
          <w:p w14:paraId="0F3705C3"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lang w:eastAsia="en-US"/>
              </w:rPr>
            </w:pPr>
            <w:r w:rsidRPr="009A6E7A">
              <w:rPr>
                <w:rFonts w:eastAsia="Times New Roman"/>
                <w:b/>
                <w:lang w:eastAsia="en-US"/>
              </w:rPr>
              <w:t>0.57</w:t>
            </w:r>
          </w:p>
        </w:tc>
        <w:tc>
          <w:tcPr>
            <w:tcW w:w="3510" w:type="dxa"/>
            <w:gridSpan w:val="2"/>
            <w:hideMark/>
          </w:tcPr>
          <w:p w14:paraId="4CE4BB11" w14:textId="00AFC3A6" w:rsidR="00F14E0F" w:rsidRPr="00BC19A8" w:rsidRDefault="002548B5" w:rsidP="00E566AB">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Data from Cochrane review </w:t>
            </w:r>
            <w:r w:rsidRPr="00BC19A8">
              <w:rPr>
                <w:rFonts w:eastAsia="Times New Roman"/>
                <w:color w:val="000000"/>
                <w:lang w:eastAsia="en-US"/>
              </w:rPr>
              <w:fldChar w:fldCharType="begin"/>
            </w:r>
            <w:r w:rsidR="00E566AB" w:rsidRPr="00BC19A8">
              <w:rPr>
                <w:rFonts w:eastAsia="Times New Roman"/>
                <w:color w:val="000000"/>
                <w:lang w:eastAsia="en-US"/>
              </w:rPr>
              <w:instrText xml:space="preserve"> ADDIN EN.CITE &lt;EndNote&gt;&lt;Cite&gt;&lt;Author&gt;Lengeler&lt;/Author&gt;&lt;Year&gt;2004&lt;/Year&gt;&lt;RecNum&gt;2033&lt;/RecNum&gt;&lt;DisplayText&gt;[1]&lt;/DisplayText&gt;&lt;record&gt;&lt;rec-number&gt;2033&lt;/rec-number&gt;&lt;foreign-keys&gt;&lt;key app="EN" db-id="dtz50rr5a0tdt0etvw35szph0drzvzxrtwe0"&gt;2033&lt;/key&gt;&lt;/foreign-keys&gt;&lt;ref-type name="Report"&gt;27&lt;/ref-type&gt;&lt;contributors&gt;&lt;authors&gt;&lt;author&gt;Lengeler, C.&lt;/author&gt;&lt;/authors&gt;&lt;secondary-authors&gt;&lt;author&gt;Editorial Group: Cochrane Infectious Diseases Group&lt;/author&gt;&lt;/secondary-authors&gt;&lt;tertiary-authors&gt;&lt;author&gt;John Wiley &amp;amp; Sons, Ltd.&lt;/author&gt;&lt;/tertiary-authors&gt;&lt;/contributors&gt;&lt;auth-address&gt;Public Health and Epidemiology, Swiss Tropical Institute, Basel, Switzerland, 4002.&lt;/auth-address&gt;&lt;titles&gt;&lt;title&gt;Insecticide-treated bed nets and curtains for preventing malaria&lt;/title&gt;&lt;secondary-title&gt;Cochrane Database Syst Rev&lt;/secondary-title&gt;&lt;/titles&gt;&lt;pages&gt;CD000363&lt;/pages&gt;&lt;number&gt;3&lt;/number&gt;&lt;keywords&gt;&lt;keyword&gt;*Bedding and Linens&lt;/keyword&gt;&lt;keyword&gt;Female&lt;/keyword&gt;&lt;keyword&gt;Human&lt;/keyword&gt;&lt;keyword&gt;Insecticides/*administration &amp;amp; dosage&lt;/keyword&gt;&lt;keyword&gt;Malaria/*prevention &amp;amp; control&lt;/keyword&gt;&lt;keyword&gt;Malaria, Falciparum/prevention &amp;amp; control&lt;/keyword&gt;&lt;keyword&gt;Malaria, Vivax/prevention &amp;amp; control&lt;/keyword&gt;&lt;keyword&gt;Male&lt;/keyword&gt;&lt;keyword&gt;Mosquito Control/*methods&lt;/keyword&gt;&lt;keyword&gt;Pregnancy&lt;/keyword&gt;&lt;keyword&gt;Randomized Controlled Trials&lt;/keyword&gt;&lt;/keywords&gt;&lt;dates&gt;&lt;year&gt;2004&lt;/year&gt;&lt;pub-dates&gt;&lt;date&gt;18 January&lt;/date&gt;&lt;/pub-dates&gt;&lt;/dates&gt;&lt;accession-num&gt;15106149&lt;/accession-num&gt;&lt;label&gt;review, bednet: effectiveness, RCT&lt;/label&gt;&lt;urls&gt;&lt;related-urls&gt;&lt;url&gt;http://onlinelibrary.wiley.com/doi/10.1002/14651858.CD000363.pub2/pdf&lt;/url&gt;&lt;/related-urls&gt;&lt;/urls&gt;&lt;electronic-resource-num&gt;10.1002/14651858.CD000363.pub2&amp;#xD;&lt;/electronic-resource-num&gt;&lt;/record&gt;&lt;/Cite&gt;&lt;/EndNote&gt;</w:instrText>
            </w:r>
            <w:r w:rsidRPr="00BC19A8">
              <w:rPr>
                <w:rFonts w:eastAsia="Times New Roman"/>
                <w:color w:val="000000"/>
                <w:lang w:eastAsia="en-US"/>
              </w:rPr>
              <w:fldChar w:fldCharType="separate"/>
            </w:r>
            <w:r w:rsidR="00E566AB" w:rsidRPr="00BC19A8">
              <w:rPr>
                <w:rFonts w:eastAsia="Times New Roman"/>
                <w:noProof/>
                <w:color w:val="000000"/>
                <w:lang w:eastAsia="en-US"/>
              </w:rPr>
              <w:t>[</w:t>
            </w:r>
            <w:hyperlink w:anchor="_ENREF_1" w:tooltip="Lengeler, 2004 #2033" w:history="1">
              <w:r w:rsidR="00E566AB" w:rsidRPr="00BC19A8">
                <w:rPr>
                  <w:rFonts w:eastAsia="Times New Roman"/>
                  <w:noProof/>
                  <w:color w:val="000000"/>
                  <w:lang w:eastAsia="en-US"/>
                </w:rPr>
                <w:t>1</w:t>
              </w:r>
            </w:hyperlink>
            <w:r w:rsidR="00E566AB" w:rsidRPr="00BC19A8">
              <w:rPr>
                <w:rFonts w:eastAsia="Times New Roman"/>
                <w:noProof/>
                <w:color w:val="000000"/>
                <w:lang w:eastAsia="en-US"/>
              </w:rPr>
              <w:t>]</w:t>
            </w:r>
            <w:r w:rsidRPr="00BC19A8">
              <w:rPr>
                <w:rFonts w:eastAsia="Times New Roman"/>
                <w:color w:val="000000"/>
                <w:lang w:eastAsia="en-US"/>
              </w:rPr>
              <w:fldChar w:fldCharType="end"/>
            </w:r>
          </w:p>
        </w:tc>
      </w:tr>
      <w:tr w:rsidR="00F14E0F" w:rsidRPr="00F14E0F" w14:paraId="48CEA144" w14:textId="77777777" w:rsidTr="002548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8" w:type="dxa"/>
            <w:vMerge/>
            <w:hideMark/>
          </w:tcPr>
          <w:p w14:paraId="7D6095C0" w14:textId="77777777" w:rsidR="00F14E0F" w:rsidRPr="00BC19A8" w:rsidRDefault="00F14E0F" w:rsidP="00F14E0F">
            <w:pPr>
              <w:tabs>
                <w:tab w:val="clear" w:pos="3690"/>
              </w:tabs>
              <w:rPr>
                <w:rFonts w:eastAsia="Times New Roman"/>
                <w:color w:val="000000"/>
                <w:lang w:eastAsia="en-US"/>
              </w:rPr>
            </w:pPr>
          </w:p>
        </w:tc>
        <w:tc>
          <w:tcPr>
            <w:tcW w:w="2860" w:type="dxa"/>
            <w:noWrap/>
            <w:hideMark/>
          </w:tcPr>
          <w:p w14:paraId="7D5DD02C" w14:textId="77777777" w:rsidR="00F14E0F" w:rsidRPr="00BC19A8" w:rsidRDefault="00F14E0F" w:rsidP="003579DE">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Malaria-attributable mortality</w:t>
            </w:r>
          </w:p>
        </w:tc>
        <w:tc>
          <w:tcPr>
            <w:tcW w:w="639" w:type="dxa"/>
            <w:noWrap/>
            <w:vAlign w:val="center"/>
            <w:hideMark/>
          </w:tcPr>
          <w:p w14:paraId="130817B5"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0.37</w:t>
            </w:r>
          </w:p>
        </w:tc>
        <w:tc>
          <w:tcPr>
            <w:tcW w:w="807" w:type="dxa"/>
            <w:noWrap/>
            <w:vAlign w:val="center"/>
            <w:hideMark/>
          </w:tcPr>
          <w:p w14:paraId="388227A3" w14:textId="7C5F56CA" w:rsidR="00F14E0F" w:rsidRPr="00BC19A8" w:rsidRDefault="002548B5"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0</w:t>
            </w:r>
          </w:p>
        </w:tc>
        <w:tc>
          <w:tcPr>
            <w:tcW w:w="853" w:type="dxa"/>
            <w:noWrap/>
            <w:vAlign w:val="center"/>
            <w:hideMark/>
          </w:tcPr>
          <w:p w14:paraId="74376A7C" w14:textId="4B0E085E"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0.93 </w:t>
            </w:r>
          </w:p>
        </w:tc>
        <w:tc>
          <w:tcPr>
            <w:tcW w:w="963" w:type="dxa"/>
            <w:noWrap/>
            <w:vAlign w:val="center"/>
            <w:hideMark/>
          </w:tcPr>
          <w:p w14:paraId="0CFD01D3"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lang w:eastAsia="en-US"/>
              </w:rPr>
            </w:pPr>
            <w:r w:rsidRPr="009A6E7A">
              <w:rPr>
                <w:rFonts w:eastAsia="Times New Roman"/>
                <w:b/>
                <w:lang w:eastAsia="en-US"/>
              </w:rPr>
              <w:t>0.36</w:t>
            </w:r>
          </w:p>
        </w:tc>
        <w:tc>
          <w:tcPr>
            <w:tcW w:w="3510" w:type="dxa"/>
            <w:gridSpan w:val="2"/>
            <w:hideMark/>
          </w:tcPr>
          <w:p w14:paraId="613BA8FB" w14:textId="2D038B20" w:rsidR="00F14E0F" w:rsidRPr="00BC19A8" w:rsidRDefault="00F14E0F" w:rsidP="00F14E0F">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Calculated as described in </w:t>
            </w:r>
            <w:r w:rsidR="00BC19A8" w:rsidRPr="00BC19A8">
              <w:rPr>
                <w:rFonts w:eastAsia="Times New Roman"/>
                <w:color w:val="000000"/>
                <w:lang w:eastAsia="en-US"/>
              </w:rPr>
              <w:t xml:space="preserve">text of </w:t>
            </w:r>
            <w:r w:rsidR="002548B5" w:rsidRPr="00BC19A8">
              <w:rPr>
                <w:rFonts w:eastAsia="Times New Roman"/>
                <w:color w:val="000000"/>
                <w:lang w:eastAsia="en-US"/>
              </w:rPr>
              <w:t xml:space="preserve">Additional File </w:t>
            </w:r>
            <w:r w:rsidR="00492268" w:rsidRPr="00BC19A8">
              <w:rPr>
                <w:rFonts w:eastAsia="Times New Roman"/>
                <w:color w:val="000000"/>
                <w:lang w:eastAsia="en-US"/>
              </w:rPr>
              <w:t>3</w:t>
            </w:r>
          </w:p>
        </w:tc>
      </w:tr>
      <w:tr w:rsidR="00F14E0F" w:rsidRPr="00F14E0F" w14:paraId="42485AB2" w14:textId="77777777" w:rsidTr="002548B5">
        <w:trPr>
          <w:trHeight w:val="288"/>
        </w:trPr>
        <w:tc>
          <w:tcPr>
            <w:cnfStyle w:val="001000000000" w:firstRow="0" w:lastRow="0" w:firstColumn="1" w:lastColumn="0" w:oddVBand="0" w:evenVBand="0" w:oddHBand="0" w:evenHBand="0" w:firstRowFirstColumn="0" w:firstRowLastColumn="0" w:lastRowFirstColumn="0" w:lastRowLastColumn="0"/>
            <w:tcW w:w="1168" w:type="dxa"/>
            <w:vMerge/>
            <w:hideMark/>
          </w:tcPr>
          <w:p w14:paraId="3A0D7FC0" w14:textId="77777777" w:rsidR="00F14E0F" w:rsidRPr="00BC19A8" w:rsidRDefault="00F14E0F" w:rsidP="00F14E0F">
            <w:pPr>
              <w:tabs>
                <w:tab w:val="clear" w:pos="3690"/>
              </w:tabs>
              <w:rPr>
                <w:rFonts w:eastAsia="Times New Roman"/>
                <w:color w:val="000000"/>
                <w:lang w:eastAsia="en-US"/>
              </w:rPr>
            </w:pPr>
          </w:p>
        </w:tc>
        <w:tc>
          <w:tcPr>
            <w:tcW w:w="2860" w:type="dxa"/>
            <w:noWrap/>
            <w:hideMark/>
          </w:tcPr>
          <w:p w14:paraId="32EABE9E" w14:textId="77777777" w:rsidR="00F14E0F" w:rsidRPr="00BC19A8" w:rsidRDefault="00F14E0F" w:rsidP="003579DE">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Malaria case incidence</w:t>
            </w:r>
          </w:p>
        </w:tc>
        <w:tc>
          <w:tcPr>
            <w:tcW w:w="639" w:type="dxa"/>
            <w:noWrap/>
            <w:vAlign w:val="center"/>
            <w:hideMark/>
          </w:tcPr>
          <w:p w14:paraId="729F9361"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NA</w:t>
            </w:r>
          </w:p>
        </w:tc>
        <w:tc>
          <w:tcPr>
            <w:tcW w:w="807" w:type="dxa"/>
            <w:noWrap/>
            <w:vAlign w:val="center"/>
            <w:hideMark/>
          </w:tcPr>
          <w:p w14:paraId="6EE5E43A" w14:textId="77777777"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p>
        </w:tc>
        <w:tc>
          <w:tcPr>
            <w:tcW w:w="853" w:type="dxa"/>
            <w:noWrap/>
            <w:vAlign w:val="center"/>
            <w:hideMark/>
          </w:tcPr>
          <w:p w14:paraId="047165CF" w14:textId="77777777" w:rsidR="00F14E0F" w:rsidRPr="00BC19A8"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US"/>
              </w:rPr>
            </w:pPr>
          </w:p>
        </w:tc>
        <w:tc>
          <w:tcPr>
            <w:tcW w:w="963" w:type="dxa"/>
            <w:noWrap/>
            <w:vAlign w:val="center"/>
            <w:hideMark/>
          </w:tcPr>
          <w:p w14:paraId="0D5B567F" w14:textId="77777777" w:rsidR="00F14E0F" w:rsidRPr="009A6E7A" w:rsidRDefault="00F14E0F" w:rsidP="002548B5">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b/>
                <w:lang w:eastAsia="en-US"/>
              </w:rPr>
            </w:pPr>
            <w:r w:rsidRPr="009A6E7A">
              <w:rPr>
                <w:rFonts w:eastAsia="Times New Roman"/>
                <w:b/>
                <w:lang w:eastAsia="en-US"/>
              </w:rPr>
              <w:t>0.42</w:t>
            </w:r>
          </w:p>
        </w:tc>
        <w:tc>
          <w:tcPr>
            <w:tcW w:w="3510" w:type="dxa"/>
            <w:gridSpan w:val="2"/>
            <w:hideMark/>
          </w:tcPr>
          <w:p w14:paraId="041204A2" w14:textId="77777777" w:rsidR="00F14E0F" w:rsidRPr="00BC19A8" w:rsidRDefault="00F14E0F" w:rsidP="00F14E0F">
            <w:pPr>
              <w:tabs>
                <w:tab w:val="clear" w:pos="3690"/>
              </w:tabs>
              <w:cnfStyle w:val="000000000000" w:firstRow="0" w:lastRow="0" w:firstColumn="0" w:lastColumn="0" w:oddVBand="0" w:evenVBand="0" w:oddHBand="0"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w:t>
            </w:r>
          </w:p>
        </w:tc>
      </w:tr>
      <w:tr w:rsidR="00F14E0F" w:rsidRPr="00F14E0F" w14:paraId="7E63C646" w14:textId="77777777" w:rsidTr="002548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8" w:type="dxa"/>
            <w:vMerge/>
            <w:hideMark/>
          </w:tcPr>
          <w:p w14:paraId="6CCC4012" w14:textId="77777777" w:rsidR="00F14E0F" w:rsidRPr="00BC19A8" w:rsidRDefault="00F14E0F" w:rsidP="00F14E0F">
            <w:pPr>
              <w:tabs>
                <w:tab w:val="clear" w:pos="3690"/>
              </w:tabs>
              <w:rPr>
                <w:rFonts w:eastAsia="Times New Roman"/>
                <w:color w:val="000000"/>
                <w:lang w:eastAsia="en-US"/>
              </w:rPr>
            </w:pPr>
          </w:p>
        </w:tc>
        <w:tc>
          <w:tcPr>
            <w:tcW w:w="2860" w:type="dxa"/>
            <w:noWrap/>
            <w:hideMark/>
          </w:tcPr>
          <w:p w14:paraId="72C2D178" w14:textId="77777777" w:rsidR="00F14E0F" w:rsidRPr="00BC19A8" w:rsidRDefault="00F14E0F" w:rsidP="003579DE">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PfPR</w:t>
            </w:r>
          </w:p>
        </w:tc>
        <w:tc>
          <w:tcPr>
            <w:tcW w:w="639" w:type="dxa"/>
            <w:noWrap/>
            <w:vAlign w:val="center"/>
            <w:hideMark/>
          </w:tcPr>
          <w:p w14:paraId="36EAEE31"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en-US"/>
              </w:rPr>
            </w:pPr>
            <w:r w:rsidRPr="009A6E7A">
              <w:rPr>
                <w:rFonts w:eastAsia="Times New Roman"/>
                <w:b/>
                <w:color w:val="000000"/>
                <w:lang w:eastAsia="en-US"/>
              </w:rPr>
              <w:t>0.49</w:t>
            </w:r>
          </w:p>
        </w:tc>
        <w:tc>
          <w:tcPr>
            <w:tcW w:w="807" w:type="dxa"/>
            <w:noWrap/>
            <w:vAlign w:val="center"/>
            <w:hideMark/>
          </w:tcPr>
          <w:p w14:paraId="6DC0A28B" w14:textId="689D1F4C"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0.35 </w:t>
            </w:r>
          </w:p>
        </w:tc>
        <w:tc>
          <w:tcPr>
            <w:tcW w:w="853" w:type="dxa"/>
            <w:noWrap/>
            <w:vAlign w:val="center"/>
            <w:hideMark/>
          </w:tcPr>
          <w:p w14:paraId="1228990C" w14:textId="432E222D" w:rsidR="00F14E0F" w:rsidRPr="00BC19A8"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0.68 </w:t>
            </w:r>
          </w:p>
        </w:tc>
        <w:tc>
          <w:tcPr>
            <w:tcW w:w="963" w:type="dxa"/>
            <w:noWrap/>
            <w:vAlign w:val="center"/>
            <w:hideMark/>
          </w:tcPr>
          <w:p w14:paraId="3A84203A" w14:textId="77777777" w:rsidR="00F14E0F" w:rsidRPr="009A6E7A" w:rsidRDefault="00F14E0F" w:rsidP="002548B5">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b/>
                <w:lang w:eastAsia="en-US"/>
              </w:rPr>
            </w:pPr>
            <w:r w:rsidRPr="009A6E7A">
              <w:rPr>
                <w:rFonts w:eastAsia="Times New Roman"/>
                <w:b/>
                <w:lang w:eastAsia="en-US"/>
              </w:rPr>
              <w:t>0.49</w:t>
            </w:r>
          </w:p>
        </w:tc>
        <w:tc>
          <w:tcPr>
            <w:tcW w:w="3510" w:type="dxa"/>
            <w:gridSpan w:val="2"/>
            <w:hideMark/>
          </w:tcPr>
          <w:p w14:paraId="79D513C1" w14:textId="50472DDC" w:rsidR="00F14E0F" w:rsidRPr="00BC19A8" w:rsidRDefault="00F14E0F" w:rsidP="00E566AB">
            <w:pPr>
              <w:tabs>
                <w:tab w:val="clear" w:pos="3690"/>
              </w:tabs>
              <w:cnfStyle w:val="000000100000" w:firstRow="0" w:lastRow="0" w:firstColumn="0" w:lastColumn="0" w:oddVBand="0" w:evenVBand="0" w:oddHBand="1" w:evenHBand="0" w:firstRowFirstColumn="0" w:firstRowLastColumn="0" w:lastRowFirstColumn="0" w:lastRowLastColumn="0"/>
              <w:rPr>
                <w:rFonts w:eastAsia="Times New Roman"/>
                <w:color w:val="000000"/>
                <w:lang w:eastAsia="en-US"/>
              </w:rPr>
            </w:pPr>
            <w:r w:rsidRPr="00BC19A8">
              <w:rPr>
                <w:rFonts w:eastAsia="Times New Roman"/>
                <w:color w:val="000000"/>
                <w:lang w:eastAsia="en-US"/>
              </w:rPr>
              <w:t xml:space="preserve">Data from Cochrane review </w:t>
            </w:r>
            <w:r w:rsidR="002548B5" w:rsidRPr="00BC19A8">
              <w:rPr>
                <w:rFonts w:eastAsia="Times New Roman"/>
                <w:color w:val="000000"/>
                <w:lang w:eastAsia="en-US"/>
              </w:rPr>
              <w:fldChar w:fldCharType="begin"/>
            </w:r>
            <w:r w:rsidR="00E566AB" w:rsidRPr="00BC19A8">
              <w:rPr>
                <w:rFonts w:eastAsia="Times New Roman"/>
                <w:color w:val="000000"/>
                <w:lang w:eastAsia="en-US"/>
              </w:rPr>
              <w:instrText xml:space="preserve"> ADDIN EN.CITE &lt;EndNote&gt;&lt;Cite&gt;&lt;Author&gt;Lengeler&lt;/Author&gt;&lt;Year&gt;2004&lt;/Year&gt;&lt;RecNum&gt;2033&lt;/RecNum&gt;&lt;DisplayText&gt;[1]&lt;/DisplayText&gt;&lt;record&gt;&lt;rec-number&gt;2033&lt;/rec-number&gt;&lt;foreign-keys&gt;&lt;key app="EN" db-id="dtz50rr5a0tdt0etvw35szph0drzvzxrtwe0"&gt;2033&lt;/key&gt;&lt;/foreign-keys&gt;&lt;ref-type name="Report"&gt;27&lt;/ref-type&gt;&lt;contributors&gt;&lt;authors&gt;&lt;author&gt;Lengeler, C.&lt;/author&gt;&lt;/authors&gt;&lt;secondary-authors&gt;&lt;author&gt;Editorial Group: Cochrane Infectious Diseases Group&lt;/author&gt;&lt;/secondary-authors&gt;&lt;tertiary-authors&gt;&lt;author&gt;John Wiley &amp;amp; Sons, Ltd.&lt;/author&gt;&lt;/tertiary-authors&gt;&lt;/contributors&gt;&lt;auth-address&gt;Public Health and Epidemiology, Swiss Tropical Institute, Basel, Switzerland, 4002.&lt;/auth-address&gt;&lt;titles&gt;&lt;title&gt;Insecticide-treated bed nets and curtains for preventing malaria&lt;/title&gt;&lt;secondary-title&gt;Cochrane Database Syst Rev&lt;/secondary-title&gt;&lt;/titles&gt;&lt;pages&gt;CD000363&lt;/pages&gt;&lt;number&gt;3&lt;/number&gt;&lt;keywords&gt;&lt;keyword&gt;*Bedding and Linens&lt;/keyword&gt;&lt;keyword&gt;Female&lt;/keyword&gt;&lt;keyword&gt;Human&lt;/keyword&gt;&lt;keyword&gt;Insecticides/*administration &amp;amp; dosage&lt;/keyword&gt;&lt;keyword&gt;Malaria/*prevention &amp;amp; control&lt;/keyword&gt;&lt;keyword&gt;Malaria, Falciparum/prevention &amp;amp; control&lt;/keyword&gt;&lt;keyword&gt;Malaria, Vivax/prevention &amp;amp; control&lt;/keyword&gt;&lt;keyword&gt;Male&lt;/keyword&gt;&lt;keyword&gt;Mosquito Control/*methods&lt;/keyword&gt;&lt;keyword&gt;Pregnancy&lt;/keyword&gt;&lt;keyword&gt;Randomized Controlled Trials&lt;/keyword&gt;&lt;/keywords&gt;&lt;dates&gt;&lt;year&gt;2004&lt;/year&gt;&lt;pub-dates&gt;&lt;date&gt;18 January&lt;/date&gt;&lt;/pub-dates&gt;&lt;/dates&gt;&lt;accession-num&gt;15106149&lt;/accession-num&gt;&lt;label&gt;review, bednet: effectiveness, RCT&lt;/label&gt;&lt;urls&gt;&lt;related-urls&gt;&lt;url&gt;http://onlinelibrary.wiley.com/doi/10.1002/14651858.CD000363.pub2/pdf&lt;/url&gt;&lt;/related-urls&gt;&lt;/urls&gt;&lt;electronic-resource-num&gt;10.1002/14651858.CD000363.pub2&amp;#xD;&lt;/electronic-resource-num&gt;&lt;/record&gt;&lt;/Cite&gt;&lt;/EndNote&gt;</w:instrText>
            </w:r>
            <w:r w:rsidR="002548B5" w:rsidRPr="00BC19A8">
              <w:rPr>
                <w:rFonts w:eastAsia="Times New Roman"/>
                <w:color w:val="000000"/>
                <w:lang w:eastAsia="en-US"/>
              </w:rPr>
              <w:fldChar w:fldCharType="separate"/>
            </w:r>
            <w:r w:rsidR="00E566AB" w:rsidRPr="00BC19A8">
              <w:rPr>
                <w:rFonts w:eastAsia="Times New Roman"/>
                <w:noProof/>
                <w:color w:val="000000"/>
                <w:lang w:eastAsia="en-US"/>
              </w:rPr>
              <w:t>[</w:t>
            </w:r>
            <w:hyperlink w:anchor="_ENREF_1" w:tooltip="Lengeler, 2004 #2033" w:history="1">
              <w:r w:rsidR="00E566AB" w:rsidRPr="00BC19A8">
                <w:rPr>
                  <w:rFonts w:eastAsia="Times New Roman"/>
                  <w:noProof/>
                  <w:color w:val="000000"/>
                  <w:lang w:eastAsia="en-US"/>
                </w:rPr>
                <w:t>1</w:t>
              </w:r>
            </w:hyperlink>
            <w:r w:rsidR="00E566AB" w:rsidRPr="00BC19A8">
              <w:rPr>
                <w:rFonts w:eastAsia="Times New Roman"/>
                <w:noProof/>
                <w:color w:val="000000"/>
                <w:lang w:eastAsia="en-US"/>
              </w:rPr>
              <w:t>]</w:t>
            </w:r>
            <w:r w:rsidR="002548B5" w:rsidRPr="00BC19A8">
              <w:rPr>
                <w:rFonts w:eastAsia="Times New Roman"/>
                <w:color w:val="000000"/>
                <w:lang w:eastAsia="en-US"/>
              </w:rPr>
              <w:fldChar w:fldCharType="end"/>
            </w:r>
          </w:p>
        </w:tc>
      </w:tr>
    </w:tbl>
    <w:p w14:paraId="1A42A1A9" w14:textId="50803DDD" w:rsidR="00DA553D" w:rsidRDefault="00DA553D" w:rsidP="00EB234C">
      <w:pPr>
        <w:rPr>
          <w:sz w:val="20"/>
          <w:szCs w:val="20"/>
        </w:rPr>
      </w:pPr>
    </w:p>
    <w:p w14:paraId="331662EB" w14:textId="750FEFCC" w:rsidR="00F14FA9" w:rsidRDefault="00DA553D" w:rsidP="00492268">
      <w:pPr>
        <w:rPr>
          <w:sz w:val="20"/>
        </w:rPr>
      </w:pPr>
      <w:r w:rsidRPr="008E612B">
        <w:rPr>
          <w:sz w:val="20"/>
        </w:rPr>
        <w:t xml:space="preserve">* Community contamination-adjusted Hazard Ratios (HR) from </w:t>
      </w:r>
      <w:r w:rsidR="0018140D" w:rsidRPr="008E612B">
        <w:rPr>
          <w:sz w:val="20"/>
        </w:rPr>
        <w:fldChar w:fldCharType="begin"/>
      </w:r>
      <w:r w:rsidR="00E566AB">
        <w:rPr>
          <w:sz w:val="20"/>
        </w:rPr>
        <w:instrText xml:space="preserve"> ADDIN EN.CITE &lt;EndNote&gt;&lt;Cite&gt;&lt;Author&gt;Hawley&lt;/Author&gt;&lt;Year&gt;2003&lt;/Year&gt;&lt;RecNum&gt;1104&lt;/RecNum&gt;&lt;DisplayText&gt;[5]&lt;/DisplayText&gt;&lt;record&gt;&lt;rec-number&gt;1104&lt;/rec-number&gt;&lt;foreign-keys&gt;&lt;key app="EN" db-id="dtz50rr5a0tdt0etvw35szph0drzvzxrtwe0"&gt;1104&lt;/key&gt;&lt;/foreign-keys&gt;&lt;ref-type name="Journal Article"&gt;17&lt;/ref-type&gt;&lt;contributors&gt;&lt;authors&gt;&lt;author&gt;Hawley, W.A.&lt;/author&gt;&lt;author&gt;Phillips-Howard, P.A.&lt;/author&gt;&lt;author&gt;ter Kuile, F.&lt;/author&gt;&lt;author&gt;Terlouw, D.J.&lt;/author&gt;&lt;author&gt;Vulule, J.M.&lt;/author&gt;&lt;author&gt;Ombok, M.&lt;/author&gt;&lt;author&gt;Nahlen, B. L.&lt;/author&gt;&lt;author&gt;Gimnig, J.E.&lt;/author&gt;&lt;author&gt;Kariuki, S.K.&lt;/author&gt;&lt;author&gt;Kolczak, M.S.&lt;/author&gt;&lt;author&gt;Hightower, A. W.&lt;/author&gt;&lt;/authors&gt;&lt;/contributors&gt;&lt;titles&gt;&lt;title&gt;Community-wide effects of permethrin-treated bednets on child mortality and malaria morbidity in Western Kenya&lt;/title&gt;&lt;secondary-title&gt;Am J Trop Med Hyg&lt;/secondary-title&gt;&lt;/titles&gt;&lt;pages&gt;121-7&lt;/pages&gt;&lt;volume&gt;68&lt;/volume&gt;&lt;number&gt;Suppl.4&lt;/number&gt;&lt;dates&gt;&lt;year&gt;2003&lt;/year&gt;&lt;/dates&gt;&lt;label&gt;RCT, bednet: coverage, transmission, mortality: child, methodology&lt;/label&gt;&lt;urls&gt;&lt;/urls&gt;&lt;/record&gt;&lt;/Cite&gt;&lt;/EndNote&gt;</w:instrText>
      </w:r>
      <w:r w:rsidR="0018140D" w:rsidRPr="008E612B">
        <w:rPr>
          <w:sz w:val="20"/>
        </w:rPr>
        <w:fldChar w:fldCharType="separate"/>
      </w:r>
      <w:r w:rsidR="00E566AB">
        <w:rPr>
          <w:noProof/>
          <w:sz w:val="20"/>
        </w:rPr>
        <w:t>[</w:t>
      </w:r>
      <w:hyperlink w:anchor="_ENREF_5" w:tooltip="Hawley, 2003 #1104" w:history="1">
        <w:r w:rsidR="00E566AB">
          <w:rPr>
            <w:noProof/>
            <w:sz w:val="20"/>
          </w:rPr>
          <w:t>5</w:t>
        </w:r>
      </w:hyperlink>
      <w:r w:rsidR="00E566AB">
        <w:rPr>
          <w:noProof/>
          <w:sz w:val="20"/>
        </w:rPr>
        <w:t>]</w:t>
      </w:r>
      <w:r w:rsidR="0018140D" w:rsidRPr="008E612B">
        <w:rPr>
          <w:sz w:val="20"/>
        </w:rPr>
        <w:fldChar w:fldCharType="end"/>
      </w:r>
      <w:r w:rsidRPr="008E612B">
        <w:rPr>
          <w:sz w:val="20"/>
        </w:rPr>
        <w:t xml:space="preserve">; converted into relative risks (RR) using the formula: </w:t>
      </w:r>
      <m:oMath>
        <m:r>
          <w:rPr>
            <w:rFonts w:ascii="Cambria Math" w:hAnsi="Cambria Math"/>
            <w:sz w:val="20"/>
          </w:rPr>
          <m:t>RR=</m:t>
        </m:r>
        <m:f>
          <m:fPr>
            <m:ctrlPr>
              <w:rPr>
                <w:rFonts w:ascii="Cambria Math" w:hAnsi="Cambria Math"/>
                <w:i/>
                <w:sz w:val="20"/>
              </w:rPr>
            </m:ctrlPr>
          </m:fPr>
          <m:num>
            <m:r>
              <w:rPr>
                <w:rFonts w:ascii="Cambria Math" w:hAnsi="Cambria Math"/>
                <w:sz w:val="20"/>
              </w:rPr>
              <m:t>HR</m:t>
            </m:r>
          </m:num>
          <m:den>
            <m:r>
              <w:rPr>
                <w:rFonts w:ascii="Cambria Math" w:hAnsi="Cambria Math"/>
                <w:sz w:val="20"/>
              </w:rPr>
              <m:t>1+Prevalence</m:t>
            </m:r>
            <m:d>
              <m:dPr>
                <m:ctrlPr>
                  <w:rPr>
                    <w:rFonts w:ascii="Cambria Math" w:hAnsi="Cambria Math"/>
                    <w:i/>
                    <w:sz w:val="20"/>
                  </w:rPr>
                </m:ctrlPr>
              </m:dPr>
              <m:e>
                <m:r>
                  <w:rPr>
                    <w:rFonts w:ascii="Cambria Math" w:hAnsi="Cambria Math"/>
                    <w:sz w:val="20"/>
                  </w:rPr>
                  <m:t>HR-1</m:t>
                </m:r>
              </m:e>
            </m:d>
          </m:den>
        </m:f>
      </m:oMath>
      <w:r w:rsidRPr="008E612B">
        <w:rPr>
          <w:sz w:val="20"/>
        </w:rPr>
        <w:t xml:space="preserve"> with prevalence denoting the </w:t>
      </w:r>
      <w:r w:rsidRPr="008E612B">
        <w:rPr>
          <w:i/>
          <w:sz w:val="20"/>
        </w:rPr>
        <w:t>Pf</w:t>
      </w:r>
      <w:r w:rsidRPr="008E612B">
        <w:rPr>
          <w:sz w:val="20"/>
        </w:rPr>
        <w:t xml:space="preserve">PR or mortality or case incidence in the </w:t>
      </w:r>
      <w:r w:rsidR="00F14E0F">
        <w:rPr>
          <w:sz w:val="20"/>
        </w:rPr>
        <w:t>comparison arm.</w:t>
      </w:r>
    </w:p>
    <w:p w14:paraId="15EF1C27" w14:textId="77777777" w:rsidR="00E566AB" w:rsidRDefault="00E566AB" w:rsidP="00492268">
      <w:pPr>
        <w:rPr>
          <w:sz w:val="20"/>
        </w:rPr>
      </w:pPr>
    </w:p>
    <w:p w14:paraId="08EC2A6B" w14:textId="77777777" w:rsidR="001D4BF5" w:rsidRDefault="001D4BF5">
      <w:pPr>
        <w:tabs>
          <w:tab w:val="clear" w:pos="3690"/>
        </w:tabs>
        <w:spacing w:after="200" w:line="276" w:lineRule="auto"/>
        <w:rPr>
          <w:rFonts w:ascii="Calibri" w:eastAsia="Times New Roman" w:hAnsi="Calibri"/>
          <w:b/>
          <w:bCs/>
          <w:szCs w:val="24"/>
          <w:lang w:val="en-GB" w:eastAsia="en-US"/>
        </w:rPr>
      </w:pPr>
      <w:r>
        <w:br w:type="page"/>
      </w:r>
    </w:p>
    <w:p w14:paraId="1117D28C" w14:textId="3AD49886" w:rsidR="00E566AB" w:rsidRPr="001D4BF5" w:rsidRDefault="00E566AB" w:rsidP="00E566AB">
      <w:pPr>
        <w:pStyle w:val="Heading4"/>
        <w:spacing w:before="0" w:after="0" w:line="360" w:lineRule="auto"/>
        <w:contextualSpacing/>
        <w:rPr>
          <w:rFonts w:ascii="Times New Roman" w:hAnsi="Times New Roman"/>
          <w:sz w:val="22"/>
        </w:rPr>
      </w:pPr>
      <w:r w:rsidRPr="001D4BF5">
        <w:rPr>
          <w:rFonts w:ascii="Times New Roman" w:hAnsi="Times New Roman"/>
          <w:sz w:val="22"/>
        </w:rPr>
        <w:lastRenderedPageBreak/>
        <w:t>References for Additional File 3:</w:t>
      </w:r>
    </w:p>
    <w:p w14:paraId="5472C1E3" w14:textId="77777777" w:rsidR="00E566AB" w:rsidRPr="00E566AB" w:rsidRDefault="00E566AB" w:rsidP="00E566AB">
      <w:pPr>
        <w:rPr>
          <w:b/>
          <w:lang w:val="en-GB" w:eastAsia="en-US"/>
        </w:rPr>
      </w:pPr>
    </w:p>
    <w:p w14:paraId="7711003F" w14:textId="77777777" w:rsidR="00E566AB" w:rsidRPr="00E566AB" w:rsidRDefault="00E566AB" w:rsidP="00E566AB">
      <w:pPr>
        <w:ind w:left="720" w:hanging="720"/>
        <w:rPr>
          <w:noProof/>
          <w:lang w:val="en-GB" w:eastAsia="en-US"/>
        </w:rPr>
      </w:pPr>
      <w:r w:rsidRPr="00E566AB">
        <w:rPr>
          <w:lang w:val="en-GB" w:eastAsia="en-US"/>
        </w:rPr>
        <w:fldChar w:fldCharType="begin"/>
      </w:r>
      <w:r w:rsidRPr="00E566AB">
        <w:rPr>
          <w:lang w:val="en-GB" w:eastAsia="en-US"/>
        </w:rPr>
        <w:instrText xml:space="preserve"> ADDIN EN.REFLIST </w:instrText>
      </w:r>
      <w:r w:rsidRPr="00E566AB">
        <w:rPr>
          <w:lang w:val="en-GB" w:eastAsia="en-US"/>
        </w:rPr>
        <w:fldChar w:fldCharType="separate"/>
      </w:r>
      <w:bookmarkStart w:id="0" w:name="_ENREF_1"/>
      <w:r w:rsidRPr="00E566AB">
        <w:rPr>
          <w:noProof/>
          <w:lang w:val="en-GB" w:eastAsia="en-US"/>
        </w:rPr>
        <w:t>1.</w:t>
      </w:r>
      <w:r w:rsidRPr="00E566AB">
        <w:rPr>
          <w:noProof/>
          <w:lang w:val="en-GB" w:eastAsia="en-US"/>
        </w:rPr>
        <w:tab/>
        <w:t xml:space="preserve">Lengeler C: </w:t>
      </w:r>
      <w:r w:rsidRPr="00E566AB">
        <w:rPr>
          <w:b/>
          <w:noProof/>
          <w:lang w:val="en-GB" w:eastAsia="en-US"/>
        </w:rPr>
        <w:t>Insecticide-treated bed nets and curtains for preventing malaria</w:t>
      </w:r>
      <w:r w:rsidRPr="00E566AB">
        <w:rPr>
          <w:noProof/>
          <w:lang w:val="en-GB" w:eastAsia="en-US"/>
        </w:rPr>
        <w:t xml:space="preserve">. In: </w:t>
      </w:r>
      <w:r w:rsidRPr="00E566AB">
        <w:rPr>
          <w:i/>
          <w:noProof/>
          <w:lang w:val="en-GB" w:eastAsia="en-US"/>
        </w:rPr>
        <w:t>Cochrane Dat</w:t>
      </w:r>
      <w:bookmarkStart w:id="1" w:name="_GoBack"/>
      <w:bookmarkEnd w:id="1"/>
      <w:r w:rsidRPr="00E566AB">
        <w:rPr>
          <w:i/>
          <w:noProof/>
          <w:lang w:val="en-GB" w:eastAsia="en-US"/>
        </w:rPr>
        <w:t>abase Syst Rev.</w:t>
      </w:r>
      <w:r w:rsidRPr="00E566AB">
        <w:rPr>
          <w:noProof/>
          <w:lang w:val="en-GB" w:eastAsia="en-US"/>
        </w:rPr>
        <w:t xml:space="preserve"> Edited by Group EGCID; 2004: CD000363.</w:t>
      </w:r>
      <w:bookmarkEnd w:id="0"/>
    </w:p>
    <w:p w14:paraId="5D304BA9" w14:textId="77777777" w:rsidR="00E566AB" w:rsidRPr="00E566AB" w:rsidRDefault="00E566AB" w:rsidP="00E566AB">
      <w:pPr>
        <w:ind w:left="720" w:hanging="720"/>
        <w:rPr>
          <w:noProof/>
          <w:lang w:val="en-GB" w:eastAsia="en-US"/>
        </w:rPr>
      </w:pPr>
      <w:bookmarkStart w:id="2" w:name="_ENREF_2"/>
      <w:r w:rsidRPr="00E566AB">
        <w:rPr>
          <w:noProof/>
          <w:lang w:val="en-GB" w:eastAsia="en-US"/>
        </w:rPr>
        <w:t>2.</w:t>
      </w:r>
      <w:r w:rsidRPr="00E566AB">
        <w:rPr>
          <w:noProof/>
          <w:lang w:val="en-GB" w:eastAsia="en-US"/>
        </w:rPr>
        <w:tab/>
        <w:t>Sinka ME, Bangs MJ, Manguin S, Coetzee M, Mbogo CM, Hemingway J, Patil AP, Temperley WH, Gething PW, Kabaria CW</w:t>
      </w:r>
      <w:r w:rsidRPr="00E566AB">
        <w:rPr>
          <w:i/>
          <w:noProof/>
          <w:lang w:val="en-GB" w:eastAsia="en-US"/>
        </w:rPr>
        <w:t xml:space="preserve"> et al</w:t>
      </w:r>
      <w:r w:rsidRPr="00E566AB">
        <w:rPr>
          <w:noProof/>
          <w:lang w:val="en-GB" w:eastAsia="en-US"/>
        </w:rPr>
        <w:t xml:space="preserve">: </w:t>
      </w:r>
      <w:r w:rsidRPr="00E566AB">
        <w:rPr>
          <w:b/>
          <w:noProof/>
          <w:lang w:val="en-GB" w:eastAsia="en-US"/>
        </w:rPr>
        <w:t>The dominant Anopheles vectors of human malaria in Africa, Europe and the Middle East: occurrence data, distribution maps and bionomic precis</w:t>
      </w:r>
      <w:r w:rsidRPr="00E566AB">
        <w:rPr>
          <w:noProof/>
          <w:lang w:val="en-GB" w:eastAsia="en-US"/>
        </w:rPr>
        <w:t xml:space="preserve">. </w:t>
      </w:r>
      <w:r w:rsidRPr="00E566AB">
        <w:rPr>
          <w:i/>
          <w:noProof/>
          <w:lang w:val="en-GB" w:eastAsia="en-US"/>
        </w:rPr>
        <w:t xml:space="preserve">Parasit Vectors </w:t>
      </w:r>
      <w:r w:rsidRPr="00E566AB">
        <w:rPr>
          <w:noProof/>
          <w:lang w:val="en-GB" w:eastAsia="en-US"/>
        </w:rPr>
        <w:t xml:space="preserve">2010, </w:t>
      </w:r>
      <w:r w:rsidRPr="00E566AB">
        <w:rPr>
          <w:b/>
          <w:noProof/>
          <w:lang w:val="en-GB" w:eastAsia="en-US"/>
        </w:rPr>
        <w:t>3</w:t>
      </w:r>
      <w:r w:rsidRPr="00E566AB">
        <w:rPr>
          <w:noProof/>
          <w:lang w:val="en-GB" w:eastAsia="en-US"/>
        </w:rPr>
        <w:t>:117.</w:t>
      </w:r>
      <w:bookmarkEnd w:id="2"/>
    </w:p>
    <w:p w14:paraId="464553E7" w14:textId="77777777" w:rsidR="00E566AB" w:rsidRPr="00E566AB" w:rsidRDefault="00E566AB" w:rsidP="00E566AB">
      <w:pPr>
        <w:ind w:left="720" w:hanging="720"/>
        <w:rPr>
          <w:noProof/>
          <w:lang w:val="en-GB" w:eastAsia="en-US"/>
        </w:rPr>
      </w:pPr>
      <w:bookmarkStart w:id="3" w:name="_ENREF_3"/>
      <w:r w:rsidRPr="00E566AB">
        <w:rPr>
          <w:noProof/>
          <w:lang w:val="en-GB" w:eastAsia="en-US"/>
        </w:rPr>
        <w:t>3.</w:t>
      </w:r>
      <w:r w:rsidRPr="00E566AB">
        <w:rPr>
          <w:noProof/>
          <w:lang w:val="en-GB" w:eastAsia="en-US"/>
        </w:rPr>
        <w:tab/>
        <w:t>Sinka ME, Bangs MJ, Manguin S, Rubio-Palis Y, Chareonviriyaphap T, Coetzee M, Mbogo CM, Hemingway J, Patil AP, Temperley WH</w:t>
      </w:r>
      <w:r w:rsidRPr="00E566AB">
        <w:rPr>
          <w:i/>
          <w:noProof/>
          <w:lang w:val="en-GB" w:eastAsia="en-US"/>
        </w:rPr>
        <w:t xml:space="preserve"> et al</w:t>
      </w:r>
      <w:r w:rsidRPr="00E566AB">
        <w:rPr>
          <w:noProof/>
          <w:lang w:val="en-GB" w:eastAsia="en-US"/>
        </w:rPr>
        <w:t xml:space="preserve">: </w:t>
      </w:r>
      <w:r w:rsidRPr="00E566AB">
        <w:rPr>
          <w:b/>
          <w:noProof/>
          <w:lang w:val="en-GB" w:eastAsia="en-US"/>
        </w:rPr>
        <w:t>A global map of dominant malaria vectors</w:t>
      </w:r>
      <w:r w:rsidRPr="00E566AB">
        <w:rPr>
          <w:noProof/>
          <w:lang w:val="en-GB" w:eastAsia="en-US"/>
        </w:rPr>
        <w:t xml:space="preserve">. </w:t>
      </w:r>
      <w:r w:rsidRPr="00E566AB">
        <w:rPr>
          <w:i/>
          <w:noProof/>
          <w:lang w:val="en-GB" w:eastAsia="en-US"/>
        </w:rPr>
        <w:t xml:space="preserve">Parasit Vectors </w:t>
      </w:r>
      <w:r w:rsidRPr="00E566AB">
        <w:rPr>
          <w:noProof/>
          <w:lang w:val="en-GB" w:eastAsia="en-US"/>
        </w:rPr>
        <w:t xml:space="preserve">2012, </w:t>
      </w:r>
      <w:r w:rsidRPr="00E566AB">
        <w:rPr>
          <w:b/>
          <w:noProof/>
          <w:lang w:val="en-GB" w:eastAsia="en-US"/>
        </w:rPr>
        <w:t>5</w:t>
      </w:r>
      <w:r w:rsidRPr="00E566AB">
        <w:rPr>
          <w:noProof/>
          <w:lang w:val="en-GB" w:eastAsia="en-US"/>
        </w:rPr>
        <w:t>:69.</w:t>
      </w:r>
      <w:bookmarkEnd w:id="3"/>
    </w:p>
    <w:p w14:paraId="1373E1B8" w14:textId="77777777" w:rsidR="00E566AB" w:rsidRPr="00E566AB" w:rsidRDefault="00E566AB" w:rsidP="00E566AB">
      <w:pPr>
        <w:ind w:left="720" w:hanging="720"/>
        <w:rPr>
          <w:noProof/>
          <w:lang w:val="en-GB" w:eastAsia="en-US"/>
        </w:rPr>
      </w:pPr>
      <w:bookmarkStart w:id="4" w:name="_ENREF_4"/>
      <w:r w:rsidRPr="00E566AB">
        <w:rPr>
          <w:noProof/>
          <w:lang w:val="en-GB" w:eastAsia="en-US"/>
        </w:rPr>
        <w:t>4.</w:t>
      </w:r>
      <w:r w:rsidRPr="00E566AB">
        <w:rPr>
          <w:noProof/>
          <w:lang w:val="en-GB" w:eastAsia="en-US"/>
        </w:rPr>
        <w:tab/>
        <w:t>Phillips-Howard PA, Nahlen BL, Kolczak MS, Hightower AW, Ter Kuile FO, Alaii JA, Gimnig JE, Arudo J, Vulule J, Odhacha A</w:t>
      </w:r>
      <w:r w:rsidRPr="00E566AB">
        <w:rPr>
          <w:i/>
          <w:noProof/>
          <w:lang w:val="en-GB" w:eastAsia="en-US"/>
        </w:rPr>
        <w:t xml:space="preserve"> et al</w:t>
      </w:r>
      <w:r w:rsidRPr="00E566AB">
        <w:rPr>
          <w:noProof/>
          <w:lang w:val="en-GB" w:eastAsia="en-US"/>
        </w:rPr>
        <w:t xml:space="preserve">: </w:t>
      </w:r>
      <w:r w:rsidRPr="00E566AB">
        <w:rPr>
          <w:b/>
          <w:noProof/>
          <w:lang w:val="en-GB" w:eastAsia="en-US"/>
        </w:rPr>
        <w:t>Efficacy of permethrin-treated bednets in the prevention of mortality in young children in an area of high perennial malaria transmission in western Kenya</w:t>
      </w:r>
      <w:r w:rsidRPr="00E566AB">
        <w:rPr>
          <w:noProof/>
          <w:lang w:val="en-GB" w:eastAsia="en-US"/>
        </w:rPr>
        <w:t xml:space="preserve">. </w:t>
      </w:r>
      <w:r w:rsidRPr="00E566AB">
        <w:rPr>
          <w:i/>
          <w:noProof/>
          <w:lang w:val="en-GB" w:eastAsia="en-US"/>
        </w:rPr>
        <w:t xml:space="preserve">Am J Trop Med Hyg </w:t>
      </w:r>
      <w:r w:rsidRPr="00E566AB">
        <w:rPr>
          <w:noProof/>
          <w:lang w:val="en-GB" w:eastAsia="en-US"/>
        </w:rPr>
        <w:t xml:space="preserve">2003, </w:t>
      </w:r>
      <w:r w:rsidRPr="00E566AB">
        <w:rPr>
          <w:b/>
          <w:noProof/>
          <w:lang w:val="en-GB" w:eastAsia="en-US"/>
        </w:rPr>
        <w:t>68</w:t>
      </w:r>
      <w:r w:rsidRPr="00E566AB">
        <w:rPr>
          <w:noProof/>
          <w:lang w:val="en-GB" w:eastAsia="en-US"/>
        </w:rPr>
        <w:t>(Suppl.04):23-39.</w:t>
      </w:r>
      <w:bookmarkEnd w:id="4"/>
    </w:p>
    <w:p w14:paraId="11EF92C2" w14:textId="77777777" w:rsidR="00E566AB" w:rsidRPr="00E566AB" w:rsidRDefault="00E566AB" w:rsidP="00E566AB">
      <w:pPr>
        <w:ind w:left="720" w:hanging="720"/>
        <w:rPr>
          <w:noProof/>
          <w:lang w:val="en-GB" w:eastAsia="en-US"/>
        </w:rPr>
      </w:pPr>
      <w:bookmarkStart w:id="5" w:name="_ENREF_5"/>
      <w:r w:rsidRPr="00E566AB">
        <w:rPr>
          <w:noProof/>
          <w:lang w:val="en-GB" w:eastAsia="en-US"/>
        </w:rPr>
        <w:t>5.</w:t>
      </w:r>
      <w:r w:rsidRPr="00E566AB">
        <w:rPr>
          <w:noProof/>
          <w:lang w:val="en-GB" w:eastAsia="en-US"/>
        </w:rPr>
        <w:tab/>
        <w:t>Hawley WA, Phillips-Howard PA, ter Kuile F, Terlouw DJ, Vulule JM, Ombok M, Nahlen BL, Gimnig JE, Kariuki SK, Kolczak MS</w:t>
      </w:r>
      <w:r w:rsidRPr="00E566AB">
        <w:rPr>
          <w:i/>
          <w:noProof/>
          <w:lang w:val="en-GB" w:eastAsia="en-US"/>
        </w:rPr>
        <w:t xml:space="preserve"> et al</w:t>
      </w:r>
      <w:r w:rsidRPr="00E566AB">
        <w:rPr>
          <w:noProof/>
          <w:lang w:val="en-GB" w:eastAsia="en-US"/>
        </w:rPr>
        <w:t xml:space="preserve">: </w:t>
      </w:r>
      <w:r w:rsidRPr="00E566AB">
        <w:rPr>
          <w:b/>
          <w:noProof/>
          <w:lang w:val="en-GB" w:eastAsia="en-US"/>
        </w:rPr>
        <w:t>Community-wide effects of permethrin-treated bednets on child mortality and malaria morbidity in Western Kenya</w:t>
      </w:r>
      <w:r w:rsidRPr="00E566AB">
        <w:rPr>
          <w:noProof/>
          <w:lang w:val="en-GB" w:eastAsia="en-US"/>
        </w:rPr>
        <w:t xml:space="preserve">. </w:t>
      </w:r>
      <w:r w:rsidRPr="00E566AB">
        <w:rPr>
          <w:i/>
          <w:noProof/>
          <w:lang w:val="en-GB" w:eastAsia="en-US"/>
        </w:rPr>
        <w:t xml:space="preserve">Am J Trop Med Hyg </w:t>
      </w:r>
      <w:r w:rsidRPr="00E566AB">
        <w:rPr>
          <w:noProof/>
          <w:lang w:val="en-GB" w:eastAsia="en-US"/>
        </w:rPr>
        <w:t xml:space="preserve">2003, </w:t>
      </w:r>
      <w:r w:rsidRPr="00E566AB">
        <w:rPr>
          <w:b/>
          <w:noProof/>
          <w:lang w:val="en-GB" w:eastAsia="en-US"/>
        </w:rPr>
        <w:t>68</w:t>
      </w:r>
      <w:r w:rsidRPr="00E566AB">
        <w:rPr>
          <w:noProof/>
          <w:lang w:val="en-GB" w:eastAsia="en-US"/>
        </w:rPr>
        <w:t>(Suppl.4):121-127.</w:t>
      </w:r>
      <w:bookmarkEnd w:id="5"/>
    </w:p>
    <w:p w14:paraId="303C703C" w14:textId="77777777" w:rsidR="00E566AB" w:rsidRPr="00E566AB" w:rsidRDefault="00E566AB" w:rsidP="00E566AB">
      <w:pPr>
        <w:ind w:left="720" w:hanging="720"/>
        <w:rPr>
          <w:noProof/>
          <w:lang w:val="en-GB" w:eastAsia="en-US"/>
        </w:rPr>
      </w:pPr>
      <w:bookmarkStart w:id="6" w:name="_ENREF_6"/>
      <w:r w:rsidRPr="00E566AB">
        <w:rPr>
          <w:noProof/>
          <w:lang w:val="en-GB" w:eastAsia="en-US"/>
        </w:rPr>
        <w:t>6.</w:t>
      </w:r>
      <w:r w:rsidRPr="00E566AB">
        <w:rPr>
          <w:noProof/>
          <w:lang w:val="en-GB" w:eastAsia="en-US"/>
        </w:rPr>
        <w:tab/>
        <w:t xml:space="preserve">Binka FN, Kubaje A, Adjuik M, Williams LA, Lengeler C, Maude GH, Armah GE, Kajihara B, Adiamah JH, Smith PG: </w:t>
      </w:r>
      <w:r w:rsidRPr="00E566AB">
        <w:rPr>
          <w:b/>
          <w:noProof/>
          <w:lang w:val="en-GB" w:eastAsia="en-US"/>
        </w:rPr>
        <w:t>Impact of permethrin impregnated bednets on child mortality in Kassena-Nankana district, Ghana: a randomized controlled trial</w:t>
      </w:r>
      <w:r w:rsidRPr="00E566AB">
        <w:rPr>
          <w:noProof/>
          <w:lang w:val="en-GB" w:eastAsia="en-US"/>
        </w:rPr>
        <w:t xml:space="preserve">. </w:t>
      </w:r>
      <w:r w:rsidRPr="00E566AB">
        <w:rPr>
          <w:i/>
          <w:noProof/>
          <w:lang w:val="en-GB" w:eastAsia="en-US"/>
        </w:rPr>
        <w:t xml:space="preserve">Trop Med Int Health </w:t>
      </w:r>
      <w:r w:rsidRPr="00E566AB">
        <w:rPr>
          <w:noProof/>
          <w:lang w:val="en-GB" w:eastAsia="en-US"/>
        </w:rPr>
        <w:t xml:space="preserve">1996, </w:t>
      </w:r>
      <w:r w:rsidRPr="00E566AB">
        <w:rPr>
          <w:b/>
          <w:noProof/>
          <w:lang w:val="en-GB" w:eastAsia="en-US"/>
        </w:rPr>
        <w:t>1</w:t>
      </w:r>
      <w:r w:rsidRPr="00E566AB">
        <w:rPr>
          <w:noProof/>
          <w:lang w:val="en-GB" w:eastAsia="en-US"/>
        </w:rPr>
        <w:t>(2):147-154.</w:t>
      </w:r>
      <w:bookmarkEnd w:id="6"/>
    </w:p>
    <w:p w14:paraId="7C289AC7" w14:textId="77777777" w:rsidR="00E566AB" w:rsidRPr="00E566AB" w:rsidRDefault="00E566AB" w:rsidP="00E566AB">
      <w:pPr>
        <w:ind w:left="720" w:hanging="720"/>
        <w:rPr>
          <w:noProof/>
          <w:lang w:val="en-GB" w:eastAsia="en-US"/>
        </w:rPr>
      </w:pPr>
      <w:bookmarkStart w:id="7" w:name="_ENREF_7"/>
      <w:r w:rsidRPr="00E566AB">
        <w:rPr>
          <w:noProof/>
          <w:lang w:val="en-GB" w:eastAsia="en-US"/>
        </w:rPr>
        <w:t>7.</w:t>
      </w:r>
      <w:r w:rsidRPr="00E566AB">
        <w:rPr>
          <w:noProof/>
          <w:lang w:val="en-GB" w:eastAsia="en-US"/>
        </w:rPr>
        <w:tab/>
        <w:t xml:space="preserve">Nevill CG, Some ES, Mung'ala VO, Mutemi W, New L, Marsh K, Lengeler C, Snow RW: </w:t>
      </w:r>
      <w:r w:rsidRPr="00E566AB">
        <w:rPr>
          <w:b/>
          <w:noProof/>
          <w:lang w:val="en-GB" w:eastAsia="en-US"/>
        </w:rPr>
        <w:t>Insecticide-treated bednets reduce mortality and severe morbidity from malaria among children on the Kenyan coast</w:t>
      </w:r>
      <w:r w:rsidRPr="00E566AB">
        <w:rPr>
          <w:noProof/>
          <w:lang w:val="en-GB" w:eastAsia="en-US"/>
        </w:rPr>
        <w:t xml:space="preserve">. </w:t>
      </w:r>
      <w:r w:rsidRPr="00E566AB">
        <w:rPr>
          <w:i/>
          <w:noProof/>
          <w:lang w:val="en-GB" w:eastAsia="en-US"/>
        </w:rPr>
        <w:t xml:space="preserve">Trop Med Int Health </w:t>
      </w:r>
      <w:r w:rsidRPr="00E566AB">
        <w:rPr>
          <w:noProof/>
          <w:lang w:val="en-GB" w:eastAsia="en-US"/>
        </w:rPr>
        <w:t xml:space="preserve">1996, </w:t>
      </w:r>
      <w:r w:rsidRPr="00E566AB">
        <w:rPr>
          <w:b/>
          <w:noProof/>
          <w:lang w:val="en-GB" w:eastAsia="en-US"/>
        </w:rPr>
        <w:t>1</w:t>
      </w:r>
      <w:r w:rsidRPr="00E566AB">
        <w:rPr>
          <w:noProof/>
          <w:lang w:val="en-GB" w:eastAsia="en-US"/>
        </w:rPr>
        <w:t>(2):139-146.</w:t>
      </w:r>
      <w:bookmarkEnd w:id="7"/>
    </w:p>
    <w:p w14:paraId="5AFCEA3A" w14:textId="77777777" w:rsidR="00E566AB" w:rsidRPr="00E566AB" w:rsidRDefault="00E566AB" w:rsidP="00E566AB">
      <w:pPr>
        <w:ind w:left="720" w:hanging="720"/>
        <w:rPr>
          <w:noProof/>
          <w:lang w:val="en-GB" w:eastAsia="en-US"/>
        </w:rPr>
      </w:pPr>
      <w:bookmarkStart w:id="8" w:name="_ENREF_8"/>
      <w:r w:rsidRPr="00E566AB">
        <w:rPr>
          <w:noProof/>
          <w:lang w:val="en-GB" w:eastAsia="en-US"/>
        </w:rPr>
        <w:t>8.</w:t>
      </w:r>
      <w:r w:rsidRPr="00E566AB">
        <w:rPr>
          <w:noProof/>
          <w:lang w:val="en-GB" w:eastAsia="en-US"/>
        </w:rPr>
        <w:tab/>
        <w:t xml:space="preserve">Eisele TP, Larsen D, Steketee R: </w:t>
      </w:r>
      <w:r w:rsidRPr="00E566AB">
        <w:rPr>
          <w:b/>
          <w:noProof/>
          <w:lang w:val="en-GB" w:eastAsia="en-US"/>
        </w:rPr>
        <w:t xml:space="preserve">Protective efficacy of interventions for preventing malaria mortality in children in </w:t>
      </w:r>
      <w:r w:rsidRPr="00E566AB">
        <w:rPr>
          <w:b/>
          <w:i/>
          <w:noProof/>
          <w:lang w:val="en-GB" w:eastAsia="en-US"/>
        </w:rPr>
        <w:t>Plasmodium falciparum</w:t>
      </w:r>
      <w:r w:rsidRPr="00E566AB">
        <w:rPr>
          <w:b/>
          <w:noProof/>
          <w:lang w:val="en-GB" w:eastAsia="en-US"/>
        </w:rPr>
        <w:t xml:space="preserve"> endemic areas / Modeling the Impact of Scaling up Interventions for Malaria</w:t>
      </w:r>
      <w:r w:rsidRPr="00E566AB">
        <w:rPr>
          <w:noProof/>
          <w:lang w:val="en-GB" w:eastAsia="en-US"/>
        </w:rPr>
        <w:t xml:space="preserve">. </w:t>
      </w:r>
      <w:r w:rsidRPr="00E566AB">
        <w:rPr>
          <w:i/>
          <w:noProof/>
          <w:lang w:val="en-GB" w:eastAsia="en-US"/>
        </w:rPr>
        <w:t xml:space="preserve">Int J Epid </w:t>
      </w:r>
      <w:r w:rsidRPr="00E566AB">
        <w:rPr>
          <w:noProof/>
          <w:lang w:val="en-GB" w:eastAsia="en-US"/>
        </w:rPr>
        <w:t xml:space="preserve">2010, </w:t>
      </w:r>
      <w:r w:rsidRPr="00E566AB">
        <w:rPr>
          <w:b/>
          <w:noProof/>
          <w:lang w:val="en-GB" w:eastAsia="en-US"/>
        </w:rPr>
        <w:t>39</w:t>
      </w:r>
      <w:r w:rsidRPr="00E566AB">
        <w:rPr>
          <w:noProof/>
          <w:lang w:val="en-GB" w:eastAsia="en-US"/>
        </w:rPr>
        <w:t>(Suppl.1):i88-i101.</w:t>
      </w:r>
      <w:bookmarkEnd w:id="8"/>
    </w:p>
    <w:p w14:paraId="623C70EC" w14:textId="2F89F807" w:rsidR="00E566AB" w:rsidRPr="00E566AB" w:rsidRDefault="00E566AB" w:rsidP="00E566AB">
      <w:pPr>
        <w:rPr>
          <w:noProof/>
          <w:lang w:val="en-GB" w:eastAsia="en-US"/>
        </w:rPr>
      </w:pPr>
    </w:p>
    <w:p w14:paraId="045011BB" w14:textId="53AB006E" w:rsidR="00E566AB" w:rsidRPr="00E566AB" w:rsidRDefault="00E566AB" w:rsidP="00E566AB">
      <w:pPr>
        <w:rPr>
          <w:lang w:val="en-GB" w:eastAsia="en-US"/>
        </w:rPr>
      </w:pPr>
      <w:r w:rsidRPr="00E566AB">
        <w:rPr>
          <w:lang w:val="en-GB" w:eastAsia="en-US"/>
        </w:rPr>
        <w:fldChar w:fldCharType="end"/>
      </w:r>
    </w:p>
    <w:sectPr w:rsidR="00E566AB" w:rsidRPr="00E566AB" w:rsidSect="006D77E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B7813" w14:textId="77777777" w:rsidR="0070697E" w:rsidRDefault="0070697E" w:rsidP="00C60DCF">
      <w:r>
        <w:separator/>
      </w:r>
    </w:p>
  </w:endnote>
  <w:endnote w:type="continuationSeparator" w:id="0">
    <w:p w14:paraId="26125E5C" w14:textId="77777777" w:rsidR="0070697E" w:rsidRDefault="0070697E" w:rsidP="00C6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08FBB" w14:textId="03F05AAA" w:rsidR="007E1FE3" w:rsidRPr="008B410F" w:rsidRDefault="007E1FE3" w:rsidP="000F6AE2">
    <w:pPr>
      <w:pStyle w:val="Footer"/>
      <w:jc w:val="center"/>
    </w:pPr>
    <w:r w:rsidRPr="008B410F">
      <w:fldChar w:fldCharType="begin"/>
    </w:r>
    <w:r w:rsidRPr="008B410F">
      <w:instrText xml:space="preserve"> PAGE  \* Arabic  \* MERGEFORMAT </w:instrText>
    </w:r>
    <w:r w:rsidRPr="008B410F">
      <w:fldChar w:fldCharType="separate"/>
    </w:r>
    <w:r w:rsidR="001D4BF5">
      <w:rPr>
        <w:noProof/>
      </w:rPr>
      <w:t>2</w:t>
    </w:r>
    <w:r w:rsidRPr="008B410F">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18151" w14:textId="77777777" w:rsidR="0070697E" w:rsidRDefault="0070697E" w:rsidP="00C60DCF">
      <w:r>
        <w:separator/>
      </w:r>
    </w:p>
  </w:footnote>
  <w:footnote w:type="continuationSeparator" w:id="0">
    <w:p w14:paraId="3168A457" w14:textId="77777777" w:rsidR="0070697E" w:rsidRDefault="0070697E" w:rsidP="00C60D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3466"/>
    <w:multiLevelType w:val="hybridMultilevel"/>
    <w:tmpl w:val="F982A8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5D22AC"/>
    <w:multiLevelType w:val="hybridMultilevel"/>
    <w:tmpl w:val="8D821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06424F"/>
    <w:multiLevelType w:val="hybridMultilevel"/>
    <w:tmpl w:val="5E8A3FA4"/>
    <w:lvl w:ilvl="0" w:tplc="7D3E3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739D4"/>
    <w:multiLevelType w:val="hybridMultilevel"/>
    <w:tmpl w:val="697AF510"/>
    <w:lvl w:ilvl="0" w:tplc="83A823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E8C245A"/>
    <w:multiLevelType w:val="hybridMultilevel"/>
    <w:tmpl w:val="78A86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030C9B"/>
    <w:multiLevelType w:val="hybridMultilevel"/>
    <w:tmpl w:val="895AB1F4"/>
    <w:lvl w:ilvl="0" w:tplc="080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27A8E"/>
    <w:multiLevelType w:val="hybridMultilevel"/>
    <w:tmpl w:val="F22AB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5460C65"/>
    <w:multiLevelType w:val="hybridMultilevel"/>
    <w:tmpl w:val="71704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BF73A2"/>
    <w:multiLevelType w:val="hybridMultilevel"/>
    <w:tmpl w:val="E26AC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C2E83"/>
    <w:multiLevelType w:val="hybridMultilevel"/>
    <w:tmpl w:val="0288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60531"/>
    <w:multiLevelType w:val="hybridMultilevel"/>
    <w:tmpl w:val="EFEE2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E8787B"/>
    <w:multiLevelType w:val="hybridMultilevel"/>
    <w:tmpl w:val="7870C336"/>
    <w:lvl w:ilvl="0" w:tplc="9FBEDDEE">
      <w:start w:val="2"/>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2C3B21"/>
    <w:multiLevelType w:val="hybridMultilevel"/>
    <w:tmpl w:val="5332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F65EDE"/>
    <w:multiLevelType w:val="hybridMultilevel"/>
    <w:tmpl w:val="8610A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29B163E"/>
    <w:multiLevelType w:val="hybridMultilevel"/>
    <w:tmpl w:val="1C124F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81710"/>
    <w:multiLevelType w:val="hybridMultilevel"/>
    <w:tmpl w:val="E8A8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D330B0"/>
    <w:multiLevelType w:val="hybridMultilevel"/>
    <w:tmpl w:val="2F72802E"/>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9632754"/>
    <w:multiLevelType w:val="hybridMultilevel"/>
    <w:tmpl w:val="0FB86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C93391"/>
    <w:multiLevelType w:val="hybridMultilevel"/>
    <w:tmpl w:val="1BE43EAA"/>
    <w:lvl w:ilvl="0" w:tplc="B426C54E">
      <w:start w:val="1"/>
      <w:numFmt w:val="bullet"/>
      <w:lvlText w:val=""/>
      <w:lvlJc w:val="left"/>
      <w:pPr>
        <w:ind w:left="720" w:hanging="360"/>
      </w:pPr>
      <w:rPr>
        <w:rFonts w:ascii="Symbol" w:hAnsi="Symbol" w:hint="default"/>
        <w:spacing w:val="-20"/>
        <w:w w:val="100"/>
        <w:position w:val="0"/>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EEF614F"/>
    <w:multiLevelType w:val="hybridMultilevel"/>
    <w:tmpl w:val="B65C9C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9"/>
  </w:num>
  <w:num w:numId="3">
    <w:abstractNumId w:val="14"/>
  </w:num>
  <w:num w:numId="4">
    <w:abstractNumId w:val="13"/>
  </w:num>
  <w:num w:numId="5">
    <w:abstractNumId w:val="2"/>
  </w:num>
  <w:num w:numId="6">
    <w:abstractNumId w:val="16"/>
  </w:num>
  <w:num w:numId="7">
    <w:abstractNumId w:val="11"/>
  </w:num>
  <w:num w:numId="8">
    <w:abstractNumId w:val="12"/>
  </w:num>
  <w:num w:numId="9">
    <w:abstractNumId w:val="17"/>
  </w:num>
  <w:num w:numId="10">
    <w:abstractNumId w:val="9"/>
  </w:num>
  <w:num w:numId="11">
    <w:abstractNumId w:val="6"/>
  </w:num>
  <w:num w:numId="12">
    <w:abstractNumId w:val="15"/>
  </w:num>
  <w:num w:numId="13">
    <w:abstractNumId w:val="8"/>
  </w:num>
  <w:num w:numId="14">
    <w:abstractNumId w:val="1"/>
  </w:num>
  <w:num w:numId="15">
    <w:abstractNumId w:val="5"/>
  </w:num>
  <w:num w:numId="16">
    <w:abstractNumId w:val="18"/>
  </w:num>
  <w:num w:numId="17">
    <w:abstractNumId w:val="4"/>
  </w:num>
  <w:num w:numId="18">
    <w:abstractNumId w:val="7"/>
  </w:num>
  <w:num w:numId="19">
    <w:abstractNumId w:val="3"/>
  </w:num>
  <w:num w:numId="20">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ENInstantFormat&gt;"/>
    <w:docVar w:name="EN.Layout" w:val="&lt;ENLayout&gt;&lt;Style&gt;Malaria J&lt;/Style&gt;&lt;LeftDelim&gt;{&lt;/LeftDelim&gt;&lt;RightDelim&gt;}&lt;/RightDelim&gt;&lt;FontName&gt;Cambria&lt;/FontName&gt;&lt;FontSize&gt;13&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tz50rr5a0tdt0etvw35szph0drzvzxrtwe0&quot;&gt;Library GF PE VFM Eline_May2014&lt;record-ids&gt;&lt;item&gt;83&lt;/item&gt;&lt;item&gt;135&lt;/item&gt;&lt;item&gt;1079&lt;/item&gt;&lt;item&gt;1104&lt;/item&gt;&lt;item&gt;2033&lt;/item&gt;&lt;item&gt;3526&lt;/item&gt;&lt;item&gt;5057&lt;/item&gt;&lt;item&gt;5058&lt;/item&gt;&lt;/record-ids&gt;&lt;/item&gt;&lt;/Libraries&gt;"/>
  </w:docVars>
  <w:rsids>
    <w:rsidRoot w:val="0004254A"/>
    <w:rsid w:val="0000183F"/>
    <w:rsid w:val="00002015"/>
    <w:rsid w:val="000021BA"/>
    <w:rsid w:val="000022E9"/>
    <w:rsid w:val="0000285B"/>
    <w:rsid w:val="00002FFA"/>
    <w:rsid w:val="00003008"/>
    <w:rsid w:val="0000324B"/>
    <w:rsid w:val="000038EE"/>
    <w:rsid w:val="00003A70"/>
    <w:rsid w:val="00004549"/>
    <w:rsid w:val="000053E0"/>
    <w:rsid w:val="00005769"/>
    <w:rsid w:val="00005FF9"/>
    <w:rsid w:val="000060CB"/>
    <w:rsid w:val="00007242"/>
    <w:rsid w:val="000078A3"/>
    <w:rsid w:val="000100BB"/>
    <w:rsid w:val="000117D3"/>
    <w:rsid w:val="00011E82"/>
    <w:rsid w:val="000120A6"/>
    <w:rsid w:val="00012E53"/>
    <w:rsid w:val="000130C9"/>
    <w:rsid w:val="000132D0"/>
    <w:rsid w:val="00013BB9"/>
    <w:rsid w:val="00013E53"/>
    <w:rsid w:val="0001507A"/>
    <w:rsid w:val="00016265"/>
    <w:rsid w:val="0001658B"/>
    <w:rsid w:val="00016A83"/>
    <w:rsid w:val="00016F05"/>
    <w:rsid w:val="000206D5"/>
    <w:rsid w:val="0002092D"/>
    <w:rsid w:val="000209B2"/>
    <w:rsid w:val="00021366"/>
    <w:rsid w:val="00021F6F"/>
    <w:rsid w:val="000228A5"/>
    <w:rsid w:val="00023531"/>
    <w:rsid w:val="00023A09"/>
    <w:rsid w:val="00023A5D"/>
    <w:rsid w:val="00023D7B"/>
    <w:rsid w:val="00023E59"/>
    <w:rsid w:val="0002492F"/>
    <w:rsid w:val="00024C6E"/>
    <w:rsid w:val="00024E9A"/>
    <w:rsid w:val="000258DA"/>
    <w:rsid w:val="00025A06"/>
    <w:rsid w:val="000278CC"/>
    <w:rsid w:val="00027AC3"/>
    <w:rsid w:val="000300C0"/>
    <w:rsid w:val="000308E7"/>
    <w:rsid w:val="00031E73"/>
    <w:rsid w:val="00032CED"/>
    <w:rsid w:val="0003391A"/>
    <w:rsid w:val="00033B16"/>
    <w:rsid w:val="00034EDC"/>
    <w:rsid w:val="00034FA6"/>
    <w:rsid w:val="0003522B"/>
    <w:rsid w:val="00036981"/>
    <w:rsid w:val="00036C35"/>
    <w:rsid w:val="00037371"/>
    <w:rsid w:val="000423FB"/>
    <w:rsid w:val="0004254A"/>
    <w:rsid w:val="000432BD"/>
    <w:rsid w:val="00043422"/>
    <w:rsid w:val="0004411F"/>
    <w:rsid w:val="000453F8"/>
    <w:rsid w:val="00047BD1"/>
    <w:rsid w:val="00047D9A"/>
    <w:rsid w:val="000512B2"/>
    <w:rsid w:val="000523FB"/>
    <w:rsid w:val="000524C6"/>
    <w:rsid w:val="00053F7F"/>
    <w:rsid w:val="000541DE"/>
    <w:rsid w:val="00054EAA"/>
    <w:rsid w:val="00054F73"/>
    <w:rsid w:val="00055F99"/>
    <w:rsid w:val="00057E08"/>
    <w:rsid w:val="0006020E"/>
    <w:rsid w:val="00060557"/>
    <w:rsid w:val="00061F20"/>
    <w:rsid w:val="00062068"/>
    <w:rsid w:val="00062CDD"/>
    <w:rsid w:val="00063650"/>
    <w:rsid w:val="00063989"/>
    <w:rsid w:val="0006490F"/>
    <w:rsid w:val="000657F7"/>
    <w:rsid w:val="0006585C"/>
    <w:rsid w:val="0006652F"/>
    <w:rsid w:val="00066C97"/>
    <w:rsid w:val="00067076"/>
    <w:rsid w:val="00067335"/>
    <w:rsid w:val="00067A04"/>
    <w:rsid w:val="000706ED"/>
    <w:rsid w:val="0007074D"/>
    <w:rsid w:val="00071306"/>
    <w:rsid w:val="00071DEC"/>
    <w:rsid w:val="0007215C"/>
    <w:rsid w:val="00072F74"/>
    <w:rsid w:val="00074578"/>
    <w:rsid w:val="00075414"/>
    <w:rsid w:val="00075916"/>
    <w:rsid w:val="00076C8E"/>
    <w:rsid w:val="00076E4D"/>
    <w:rsid w:val="00076FB9"/>
    <w:rsid w:val="00077093"/>
    <w:rsid w:val="00077A8F"/>
    <w:rsid w:val="00080002"/>
    <w:rsid w:val="000802B1"/>
    <w:rsid w:val="00080F04"/>
    <w:rsid w:val="00082152"/>
    <w:rsid w:val="00082B36"/>
    <w:rsid w:val="00082B54"/>
    <w:rsid w:val="0008362C"/>
    <w:rsid w:val="00084154"/>
    <w:rsid w:val="00084358"/>
    <w:rsid w:val="00084D32"/>
    <w:rsid w:val="000851B3"/>
    <w:rsid w:val="000853EA"/>
    <w:rsid w:val="00085FE4"/>
    <w:rsid w:val="000865F1"/>
    <w:rsid w:val="00086CB4"/>
    <w:rsid w:val="00086E8A"/>
    <w:rsid w:val="0008744E"/>
    <w:rsid w:val="00091003"/>
    <w:rsid w:val="000916EE"/>
    <w:rsid w:val="00092C9B"/>
    <w:rsid w:val="00092ED4"/>
    <w:rsid w:val="00093FF1"/>
    <w:rsid w:val="00094476"/>
    <w:rsid w:val="000948C3"/>
    <w:rsid w:val="00094EFC"/>
    <w:rsid w:val="00095547"/>
    <w:rsid w:val="00096514"/>
    <w:rsid w:val="000976A2"/>
    <w:rsid w:val="000978E7"/>
    <w:rsid w:val="000A021F"/>
    <w:rsid w:val="000A0A87"/>
    <w:rsid w:val="000A2969"/>
    <w:rsid w:val="000A32D8"/>
    <w:rsid w:val="000A342F"/>
    <w:rsid w:val="000A405E"/>
    <w:rsid w:val="000A5F8A"/>
    <w:rsid w:val="000A68A2"/>
    <w:rsid w:val="000A6A86"/>
    <w:rsid w:val="000A7B57"/>
    <w:rsid w:val="000A7C3D"/>
    <w:rsid w:val="000A7C53"/>
    <w:rsid w:val="000A7CC5"/>
    <w:rsid w:val="000B0230"/>
    <w:rsid w:val="000B07D9"/>
    <w:rsid w:val="000B1146"/>
    <w:rsid w:val="000B337F"/>
    <w:rsid w:val="000B4E02"/>
    <w:rsid w:val="000B55BD"/>
    <w:rsid w:val="000B59D6"/>
    <w:rsid w:val="000B5BCC"/>
    <w:rsid w:val="000B5F85"/>
    <w:rsid w:val="000B6AF7"/>
    <w:rsid w:val="000B7810"/>
    <w:rsid w:val="000B7D31"/>
    <w:rsid w:val="000B7FBE"/>
    <w:rsid w:val="000C0596"/>
    <w:rsid w:val="000C0D91"/>
    <w:rsid w:val="000C1167"/>
    <w:rsid w:val="000C119B"/>
    <w:rsid w:val="000C1334"/>
    <w:rsid w:val="000C145C"/>
    <w:rsid w:val="000C15F1"/>
    <w:rsid w:val="000C18C0"/>
    <w:rsid w:val="000C19EA"/>
    <w:rsid w:val="000C3DA8"/>
    <w:rsid w:val="000C4EEC"/>
    <w:rsid w:val="000C5904"/>
    <w:rsid w:val="000C63B3"/>
    <w:rsid w:val="000C64AE"/>
    <w:rsid w:val="000C6B64"/>
    <w:rsid w:val="000C702C"/>
    <w:rsid w:val="000C7F06"/>
    <w:rsid w:val="000D0685"/>
    <w:rsid w:val="000D1097"/>
    <w:rsid w:val="000D1F7F"/>
    <w:rsid w:val="000D2300"/>
    <w:rsid w:val="000D3101"/>
    <w:rsid w:val="000D4B3A"/>
    <w:rsid w:val="000D5032"/>
    <w:rsid w:val="000D5A75"/>
    <w:rsid w:val="000D5C18"/>
    <w:rsid w:val="000E0426"/>
    <w:rsid w:val="000E1980"/>
    <w:rsid w:val="000E28CF"/>
    <w:rsid w:val="000E2F83"/>
    <w:rsid w:val="000E2FEC"/>
    <w:rsid w:val="000E5340"/>
    <w:rsid w:val="000E5397"/>
    <w:rsid w:val="000E5519"/>
    <w:rsid w:val="000E5B79"/>
    <w:rsid w:val="000E668C"/>
    <w:rsid w:val="000F0212"/>
    <w:rsid w:val="000F0483"/>
    <w:rsid w:val="000F0600"/>
    <w:rsid w:val="000F0E5F"/>
    <w:rsid w:val="000F1435"/>
    <w:rsid w:val="000F172E"/>
    <w:rsid w:val="000F2C5E"/>
    <w:rsid w:val="000F3146"/>
    <w:rsid w:val="000F3180"/>
    <w:rsid w:val="000F3351"/>
    <w:rsid w:val="000F3421"/>
    <w:rsid w:val="000F39A8"/>
    <w:rsid w:val="000F3B38"/>
    <w:rsid w:val="000F3BC5"/>
    <w:rsid w:val="000F412F"/>
    <w:rsid w:val="000F47F9"/>
    <w:rsid w:val="000F4BC6"/>
    <w:rsid w:val="000F53C5"/>
    <w:rsid w:val="000F54AF"/>
    <w:rsid w:val="000F5A0C"/>
    <w:rsid w:val="000F5A50"/>
    <w:rsid w:val="000F6AE2"/>
    <w:rsid w:val="000F7108"/>
    <w:rsid w:val="000F7F37"/>
    <w:rsid w:val="00100354"/>
    <w:rsid w:val="00101B36"/>
    <w:rsid w:val="00101E45"/>
    <w:rsid w:val="0010380D"/>
    <w:rsid w:val="001039F8"/>
    <w:rsid w:val="0010459E"/>
    <w:rsid w:val="00104723"/>
    <w:rsid w:val="00105596"/>
    <w:rsid w:val="00106458"/>
    <w:rsid w:val="00106D8C"/>
    <w:rsid w:val="0010750C"/>
    <w:rsid w:val="00107D56"/>
    <w:rsid w:val="0011126B"/>
    <w:rsid w:val="00111AA7"/>
    <w:rsid w:val="00112ABC"/>
    <w:rsid w:val="00113190"/>
    <w:rsid w:val="001133D4"/>
    <w:rsid w:val="00113AD8"/>
    <w:rsid w:val="00114553"/>
    <w:rsid w:val="00114754"/>
    <w:rsid w:val="00116580"/>
    <w:rsid w:val="0011687B"/>
    <w:rsid w:val="001168A9"/>
    <w:rsid w:val="00116A89"/>
    <w:rsid w:val="00116F98"/>
    <w:rsid w:val="00117558"/>
    <w:rsid w:val="00117B51"/>
    <w:rsid w:val="001212E0"/>
    <w:rsid w:val="00122943"/>
    <w:rsid w:val="001249B5"/>
    <w:rsid w:val="00126CE8"/>
    <w:rsid w:val="001271C5"/>
    <w:rsid w:val="0012757D"/>
    <w:rsid w:val="00131C50"/>
    <w:rsid w:val="00131F6B"/>
    <w:rsid w:val="00132D39"/>
    <w:rsid w:val="00132DF6"/>
    <w:rsid w:val="0013422B"/>
    <w:rsid w:val="00134C8F"/>
    <w:rsid w:val="001354EA"/>
    <w:rsid w:val="001372E6"/>
    <w:rsid w:val="00137FE5"/>
    <w:rsid w:val="001406B3"/>
    <w:rsid w:val="001410E6"/>
    <w:rsid w:val="00141371"/>
    <w:rsid w:val="00141BB9"/>
    <w:rsid w:val="00142AC4"/>
    <w:rsid w:val="00143D13"/>
    <w:rsid w:val="00144425"/>
    <w:rsid w:val="00144D53"/>
    <w:rsid w:val="00145092"/>
    <w:rsid w:val="00145598"/>
    <w:rsid w:val="001455EB"/>
    <w:rsid w:val="00145D5E"/>
    <w:rsid w:val="00146AFF"/>
    <w:rsid w:val="00146F62"/>
    <w:rsid w:val="00150507"/>
    <w:rsid w:val="001514DE"/>
    <w:rsid w:val="00151AC9"/>
    <w:rsid w:val="00151C56"/>
    <w:rsid w:val="00151CCC"/>
    <w:rsid w:val="00151DE7"/>
    <w:rsid w:val="00152147"/>
    <w:rsid w:val="0015232E"/>
    <w:rsid w:val="0015233B"/>
    <w:rsid w:val="00153B38"/>
    <w:rsid w:val="00154875"/>
    <w:rsid w:val="001549F7"/>
    <w:rsid w:val="00154B62"/>
    <w:rsid w:val="00155615"/>
    <w:rsid w:val="00155985"/>
    <w:rsid w:val="00155D8E"/>
    <w:rsid w:val="00156F4D"/>
    <w:rsid w:val="001572A7"/>
    <w:rsid w:val="00157EE2"/>
    <w:rsid w:val="0016052D"/>
    <w:rsid w:val="00160657"/>
    <w:rsid w:val="00160E6B"/>
    <w:rsid w:val="00161039"/>
    <w:rsid w:val="00162639"/>
    <w:rsid w:val="001635BB"/>
    <w:rsid w:val="00163F4C"/>
    <w:rsid w:val="001641A2"/>
    <w:rsid w:val="00164D02"/>
    <w:rsid w:val="001655BF"/>
    <w:rsid w:val="00165BCF"/>
    <w:rsid w:val="001665C6"/>
    <w:rsid w:val="0016671A"/>
    <w:rsid w:val="001667DA"/>
    <w:rsid w:val="001670BF"/>
    <w:rsid w:val="001674B0"/>
    <w:rsid w:val="001675D9"/>
    <w:rsid w:val="001675E3"/>
    <w:rsid w:val="00170270"/>
    <w:rsid w:val="00172D2A"/>
    <w:rsid w:val="00172EAF"/>
    <w:rsid w:val="001745BE"/>
    <w:rsid w:val="00175BCF"/>
    <w:rsid w:val="00175DED"/>
    <w:rsid w:val="00176408"/>
    <w:rsid w:val="00176E7E"/>
    <w:rsid w:val="0017784F"/>
    <w:rsid w:val="00177E47"/>
    <w:rsid w:val="00180657"/>
    <w:rsid w:val="00180868"/>
    <w:rsid w:val="00180869"/>
    <w:rsid w:val="0018140D"/>
    <w:rsid w:val="00182F8E"/>
    <w:rsid w:val="001832F0"/>
    <w:rsid w:val="00183614"/>
    <w:rsid w:val="00184EB9"/>
    <w:rsid w:val="001850E8"/>
    <w:rsid w:val="0018513A"/>
    <w:rsid w:val="0018521C"/>
    <w:rsid w:val="00185D20"/>
    <w:rsid w:val="001865B0"/>
    <w:rsid w:val="00187E54"/>
    <w:rsid w:val="00190A5B"/>
    <w:rsid w:val="001916FD"/>
    <w:rsid w:val="00192483"/>
    <w:rsid w:val="00192D61"/>
    <w:rsid w:val="00193DCC"/>
    <w:rsid w:val="00194130"/>
    <w:rsid w:val="00194A26"/>
    <w:rsid w:val="00194EF2"/>
    <w:rsid w:val="001955C5"/>
    <w:rsid w:val="00197BBA"/>
    <w:rsid w:val="00197C87"/>
    <w:rsid w:val="001A0376"/>
    <w:rsid w:val="001A071B"/>
    <w:rsid w:val="001A166C"/>
    <w:rsid w:val="001A229D"/>
    <w:rsid w:val="001A28E8"/>
    <w:rsid w:val="001A28FC"/>
    <w:rsid w:val="001A2AFA"/>
    <w:rsid w:val="001A476F"/>
    <w:rsid w:val="001A49AD"/>
    <w:rsid w:val="001A4FEC"/>
    <w:rsid w:val="001A6064"/>
    <w:rsid w:val="001A73C2"/>
    <w:rsid w:val="001A7EF0"/>
    <w:rsid w:val="001B10DC"/>
    <w:rsid w:val="001B170A"/>
    <w:rsid w:val="001B1C59"/>
    <w:rsid w:val="001B1E05"/>
    <w:rsid w:val="001B33A5"/>
    <w:rsid w:val="001B36EC"/>
    <w:rsid w:val="001B4041"/>
    <w:rsid w:val="001B42AE"/>
    <w:rsid w:val="001B4801"/>
    <w:rsid w:val="001B4C59"/>
    <w:rsid w:val="001B5FD5"/>
    <w:rsid w:val="001B6D5C"/>
    <w:rsid w:val="001B6F53"/>
    <w:rsid w:val="001B73E7"/>
    <w:rsid w:val="001C0DC7"/>
    <w:rsid w:val="001C0DE8"/>
    <w:rsid w:val="001C0EF7"/>
    <w:rsid w:val="001C3EF5"/>
    <w:rsid w:val="001C4E2C"/>
    <w:rsid w:val="001C523A"/>
    <w:rsid w:val="001C5941"/>
    <w:rsid w:val="001C5DDE"/>
    <w:rsid w:val="001C6792"/>
    <w:rsid w:val="001C744D"/>
    <w:rsid w:val="001C7BA3"/>
    <w:rsid w:val="001C7EE4"/>
    <w:rsid w:val="001D0C8A"/>
    <w:rsid w:val="001D196E"/>
    <w:rsid w:val="001D1C2D"/>
    <w:rsid w:val="001D2384"/>
    <w:rsid w:val="001D45C0"/>
    <w:rsid w:val="001D4A30"/>
    <w:rsid w:val="001D4BF5"/>
    <w:rsid w:val="001D520C"/>
    <w:rsid w:val="001D5F08"/>
    <w:rsid w:val="001D6BAD"/>
    <w:rsid w:val="001D79DF"/>
    <w:rsid w:val="001E09A3"/>
    <w:rsid w:val="001E11FF"/>
    <w:rsid w:val="001E15EA"/>
    <w:rsid w:val="001E17C6"/>
    <w:rsid w:val="001E1B57"/>
    <w:rsid w:val="001E49EE"/>
    <w:rsid w:val="001E5A3A"/>
    <w:rsid w:val="001E5E07"/>
    <w:rsid w:val="001E67EA"/>
    <w:rsid w:val="001E6C9D"/>
    <w:rsid w:val="001F0652"/>
    <w:rsid w:val="001F1754"/>
    <w:rsid w:val="001F187C"/>
    <w:rsid w:val="001F1A6C"/>
    <w:rsid w:val="001F1B58"/>
    <w:rsid w:val="001F2064"/>
    <w:rsid w:val="001F3905"/>
    <w:rsid w:val="001F3D2B"/>
    <w:rsid w:val="001F4B88"/>
    <w:rsid w:val="001F5490"/>
    <w:rsid w:val="001F5E77"/>
    <w:rsid w:val="001F6034"/>
    <w:rsid w:val="001F64EB"/>
    <w:rsid w:val="001F6530"/>
    <w:rsid w:val="001F6A49"/>
    <w:rsid w:val="001F6B73"/>
    <w:rsid w:val="001F712D"/>
    <w:rsid w:val="001F7706"/>
    <w:rsid w:val="001F7CFA"/>
    <w:rsid w:val="00202719"/>
    <w:rsid w:val="00202904"/>
    <w:rsid w:val="002046D8"/>
    <w:rsid w:val="0020642C"/>
    <w:rsid w:val="00206C04"/>
    <w:rsid w:val="00206F95"/>
    <w:rsid w:val="00207523"/>
    <w:rsid w:val="002127B9"/>
    <w:rsid w:val="002127D5"/>
    <w:rsid w:val="00214471"/>
    <w:rsid w:val="002144C2"/>
    <w:rsid w:val="002149C7"/>
    <w:rsid w:val="00214C2D"/>
    <w:rsid w:val="00214D07"/>
    <w:rsid w:val="0021515E"/>
    <w:rsid w:val="002153ED"/>
    <w:rsid w:val="00215522"/>
    <w:rsid w:val="002158F5"/>
    <w:rsid w:val="00216336"/>
    <w:rsid w:val="00216CC4"/>
    <w:rsid w:val="0021776E"/>
    <w:rsid w:val="00217D54"/>
    <w:rsid w:val="002205A5"/>
    <w:rsid w:val="0022208E"/>
    <w:rsid w:val="00223293"/>
    <w:rsid w:val="00223CA1"/>
    <w:rsid w:val="00223D71"/>
    <w:rsid w:val="00225638"/>
    <w:rsid w:val="00226792"/>
    <w:rsid w:val="00226FC9"/>
    <w:rsid w:val="0022750C"/>
    <w:rsid w:val="00227E04"/>
    <w:rsid w:val="00230CCF"/>
    <w:rsid w:val="00231141"/>
    <w:rsid w:val="002316A1"/>
    <w:rsid w:val="00232247"/>
    <w:rsid w:val="002326CD"/>
    <w:rsid w:val="002337AD"/>
    <w:rsid w:val="00233870"/>
    <w:rsid w:val="002338D8"/>
    <w:rsid w:val="002346A1"/>
    <w:rsid w:val="00234A63"/>
    <w:rsid w:val="00234CC0"/>
    <w:rsid w:val="002366C1"/>
    <w:rsid w:val="00236C28"/>
    <w:rsid w:val="00236D6C"/>
    <w:rsid w:val="00236D8B"/>
    <w:rsid w:val="00237253"/>
    <w:rsid w:val="002378AE"/>
    <w:rsid w:val="00237E9E"/>
    <w:rsid w:val="002402B8"/>
    <w:rsid w:val="00243AA0"/>
    <w:rsid w:val="00244C32"/>
    <w:rsid w:val="00245E00"/>
    <w:rsid w:val="0024602E"/>
    <w:rsid w:val="00247B5C"/>
    <w:rsid w:val="00247EF5"/>
    <w:rsid w:val="002514DC"/>
    <w:rsid w:val="0025267F"/>
    <w:rsid w:val="00252694"/>
    <w:rsid w:val="002526B2"/>
    <w:rsid w:val="00253B8E"/>
    <w:rsid w:val="00253F52"/>
    <w:rsid w:val="002541AB"/>
    <w:rsid w:val="002548B5"/>
    <w:rsid w:val="0025509F"/>
    <w:rsid w:val="00256722"/>
    <w:rsid w:val="00256CEC"/>
    <w:rsid w:val="002601CF"/>
    <w:rsid w:val="00260272"/>
    <w:rsid w:val="002619E5"/>
    <w:rsid w:val="00263084"/>
    <w:rsid w:val="002630B3"/>
    <w:rsid w:val="002643C4"/>
    <w:rsid w:val="00264D2C"/>
    <w:rsid w:val="00265125"/>
    <w:rsid w:val="00265F51"/>
    <w:rsid w:val="002664C2"/>
    <w:rsid w:val="002665DC"/>
    <w:rsid w:val="00266C2B"/>
    <w:rsid w:val="0026708E"/>
    <w:rsid w:val="002679C9"/>
    <w:rsid w:val="00267C45"/>
    <w:rsid w:val="00270E7E"/>
    <w:rsid w:val="00271AF1"/>
    <w:rsid w:val="00272AC7"/>
    <w:rsid w:val="00272B41"/>
    <w:rsid w:val="00273094"/>
    <w:rsid w:val="002731D7"/>
    <w:rsid w:val="0027443B"/>
    <w:rsid w:val="00275ED4"/>
    <w:rsid w:val="00275F21"/>
    <w:rsid w:val="00276363"/>
    <w:rsid w:val="002768ED"/>
    <w:rsid w:val="00276D14"/>
    <w:rsid w:val="00277570"/>
    <w:rsid w:val="00280099"/>
    <w:rsid w:val="00280B5F"/>
    <w:rsid w:val="00281942"/>
    <w:rsid w:val="0028196D"/>
    <w:rsid w:val="0028347A"/>
    <w:rsid w:val="00283855"/>
    <w:rsid w:val="00283919"/>
    <w:rsid w:val="0028452D"/>
    <w:rsid w:val="00285BDC"/>
    <w:rsid w:val="00285C94"/>
    <w:rsid w:val="00285D64"/>
    <w:rsid w:val="00286DC5"/>
    <w:rsid w:val="0028791C"/>
    <w:rsid w:val="00290FC5"/>
    <w:rsid w:val="00291411"/>
    <w:rsid w:val="0029278C"/>
    <w:rsid w:val="00292B9A"/>
    <w:rsid w:val="0029395F"/>
    <w:rsid w:val="00293A96"/>
    <w:rsid w:val="0029414B"/>
    <w:rsid w:val="002947D8"/>
    <w:rsid w:val="00295B67"/>
    <w:rsid w:val="00297230"/>
    <w:rsid w:val="002A05C8"/>
    <w:rsid w:val="002A2289"/>
    <w:rsid w:val="002A3A5E"/>
    <w:rsid w:val="002A3A78"/>
    <w:rsid w:val="002A43E7"/>
    <w:rsid w:val="002A48C3"/>
    <w:rsid w:val="002A4D24"/>
    <w:rsid w:val="002A5B4A"/>
    <w:rsid w:val="002A5BD5"/>
    <w:rsid w:val="002A5F7F"/>
    <w:rsid w:val="002A602A"/>
    <w:rsid w:val="002A6188"/>
    <w:rsid w:val="002A6324"/>
    <w:rsid w:val="002A7A57"/>
    <w:rsid w:val="002A7DC7"/>
    <w:rsid w:val="002B13D2"/>
    <w:rsid w:val="002B142E"/>
    <w:rsid w:val="002B1A4F"/>
    <w:rsid w:val="002B31D0"/>
    <w:rsid w:val="002B4947"/>
    <w:rsid w:val="002B4BBA"/>
    <w:rsid w:val="002B5AB4"/>
    <w:rsid w:val="002B5E3D"/>
    <w:rsid w:val="002B732E"/>
    <w:rsid w:val="002B7A4A"/>
    <w:rsid w:val="002B7EAE"/>
    <w:rsid w:val="002C0F40"/>
    <w:rsid w:val="002C2246"/>
    <w:rsid w:val="002C2406"/>
    <w:rsid w:val="002C2659"/>
    <w:rsid w:val="002C286E"/>
    <w:rsid w:val="002C2F6E"/>
    <w:rsid w:val="002C3477"/>
    <w:rsid w:val="002C3836"/>
    <w:rsid w:val="002C3A2F"/>
    <w:rsid w:val="002C3BAD"/>
    <w:rsid w:val="002C3E32"/>
    <w:rsid w:val="002C3F53"/>
    <w:rsid w:val="002C559F"/>
    <w:rsid w:val="002C5F8A"/>
    <w:rsid w:val="002C6157"/>
    <w:rsid w:val="002C6A50"/>
    <w:rsid w:val="002C6B4B"/>
    <w:rsid w:val="002C6BFE"/>
    <w:rsid w:val="002C6EF9"/>
    <w:rsid w:val="002C6F99"/>
    <w:rsid w:val="002C7FC5"/>
    <w:rsid w:val="002D32AE"/>
    <w:rsid w:val="002D390A"/>
    <w:rsid w:val="002D3A54"/>
    <w:rsid w:val="002D3AF2"/>
    <w:rsid w:val="002D46CA"/>
    <w:rsid w:val="002D47E9"/>
    <w:rsid w:val="002D4EF9"/>
    <w:rsid w:val="002D5B10"/>
    <w:rsid w:val="002D5E77"/>
    <w:rsid w:val="002D6737"/>
    <w:rsid w:val="002D6C4E"/>
    <w:rsid w:val="002D6F8B"/>
    <w:rsid w:val="002D70C8"/>
    <w:rsid w:val="002D7EDF"/>
    <w:rsid w:val="002E0750"/>
    <w:rsid w:val="002E147C"/>
    <w:rsid w:val="002E218E"/>
    <w:rsid w:val="002E22F2"/>
    <w:rsid w:val="002E3A7B"/>
    <w:rsid w:val="002E3AF6"/>
    <w:rsid w:val="002E413B"/>
    <w:rsid w:val="002E4D4C"/>
    <w:rsid w:val="002E5174"/>
    <w:rsid w:val="002E5417"/>
    <w:rsid w:val="002E6247"/>
    <w:rsid w:val="002E62C9"/>
    <w:rsid w:val="002E6D40"/>
    <w:rsid w:val="002E725E"/>
    <w:rsid w:val="002E7C20"/>
    <w:rsid w:val="002F0091"/>
    <w:rsid w:val="002F06C5"/>
    <w:rsid w:val="002F0DBA"/>
    <w:rsid w:val="002F2737"/>
    <w:rsid w:val="002F29B9"/>
    <w:rsid w:val="002F3783"/>
    <w:rsid w:val="002F51A5"/>
    <w:rsid w:val="002F54DA"/>
    <w:rsid w:val="002F6507"/>
    <w:rsid w:val="002F659A"/>
    <w:rsid w:val="002F67C4"/>
    <w:rsid w:val="002F6C5F"/>
    <w:rsid w:val="002F6D24"/>
    <w:rsid w:val="002F6E3F"/>
    <w:rsid w:val="003002FE"/>
    <w:rsid w:val="00300D3D"/>
    <w:rsid w:val="0030145F"/>
    <w:rsid w:val="003026E4"/>
    <w:rsid w:val="00302F4A"/>
    <w:rsid w:val="00304594"/>
    <w:rsid w:val="00304C51"/>
    <w:rsid w:val="00304E68"/>
    <w:rsid w:val="00305041"/>
    <w:rsid w:val="0030594F"/>
    <w:rsid w:val="003066D4"/>
    <w:rsid w:val="00306CDF"/>
    <w:rsid w:val="00307BA8"/>
    <w:rsid w:val="00307BF8"/>
    <w:rsid w:val="003103BD"/>
    <w:rsid w:val="003105A7"/>
    <w:rsid w:val="00311B34"/>
    <w:rsid w:val="003124F1"/>
    <w:rsid w:val="003125A3"/>
    <w:rsid w:val="00314B9F"/>
    <w:rsid w:val="00314FD3"/>
    <w:rsid w:val="00315398"/>
    <w:rsid w:val="003156E2"/>
    <w:rsid w:val="00316D12"/>
    <w:rsid w:val="00317C70"/>
    <w:rsid w:val="00317E8A"/>
    <w:rsid w:val="0032080A"/>
    <w:rsid w:val="003209B9"/>
    <w:rsid w:val="00320C34"/>
    <w:rsid w:val="00320FC3"/>
    <w:rsid w:val="0032114E"/>
    <w:rsid w:val="00321B0C"/>
    <w:rsid w:val="0032272D"/>
    <w:rsid w:val="00322C65"/>
    <w:rsid w:val="003243B5"/>
    <w:rsid w:val="003245C0"/>
    <w:rsid w:val="003254A0"/>
    <w:rsid w:val="00325AF7"/>
    <w:rsid w:val="00325AFA"/>
    <w:rsid w:val="00325CF5"/>
    <w:rsid w:val="003264FF"/>
    <w:rsid w:val="00327806"/>
    <w:rsid w:val="00327FB7"/>
    <w:rsid w:val="003303D3"/>
    <w:rsid w:val="00330461"/>
    <w:rsid w:val="00330EF4"/>
    <w:rsid w:val="0033309B"/>
    <w:rsid w:val="00334D8B"/>
    <w:rsid w:val="00335416"/>
    <w:rsid w:val="00335BC4"/>
    <w:rsid w:val="00336CBC"/>
    <w:rsid w:val="00336EEB"/>
    <w:rsid w:val="0033732E"/>
    <w:rsid w:val="00337EE2"/>
    <w:rsid w:val="00337FB5"/>
    <w:rsid w:val="0034014A"/>
    <w:rsid w:val="003415FA"/>
    <w:rsid w:val="00341773"/>
    <w:rsid w:val="00341E7F"/>
    <w:rsid w:val="003427D6"/>
    <w:rsid w:val="00342B6A"/>
    <w:rsid w:val="00343240"/>
    <w:rsid w:val="0034414D"/>
    <w:rsid w:val="00344410"/>
    <w:rsid w:val="003447FA"/>
    <w:rsid w:val="00344A2B"/>
    <w:rsid w:val="003460D9"/>
    <w:rsid w:val="003463A6"/>
    <w:rsid w:val="00346F75"/>
    <w:rsid w:val="00347621"/>
    <w:rsid w:val="00350798"/>
    <w:rsid w:val="003508EA"/>
    <w:rsid w:val="00350A96"/>
    <w:rsid w:val="003511F7"/>
    <w:rsid w:val="0035200E"/>
    <w:rsid w:val="003535BA"/>
    <w:rsid w:val="00353862"/>
    <w:rsid w:val="00354217"/>
    <w:rsid w:val="003548E7"/>
    <w:rsid w:val="00355897"/>
    <w:rsid w:val="00355D48"/>
    <w:rsid w:val="003579DE"/>
    <w:rsid w:val="00357A21"/>
    <w:rsid w:val="00357E6C"/>
    <w:rsid w:val="00360344"/>
    <w:rsid w:val="00360BC2"/>
    <w:rsid w:val="00362D87"/>
    <w:rsid w:val="003637BF"/>
    <w:rsid w:val="0036488A"/>
    <w:rsid w:val="00364FA2"/>
    <w:rsid w:val="00365D90"/>
    <w:rsid w:val="00366197"/>
    <w:rsid w:val="00366522"/>
    <w:rsid w:val="00367A96"/>
    <w:rsid w:val="00367D9B"/>
    <w:rsid w:val="00370394"/>
    <w:rsid w:val="003705A0"/>
    <w:rsid w:val="003708B2"/>
    <w:rsid w:val="003719EE"/>
    <w:rsid w:val="003720CA"/>
    <w:rsid w:val="00372163"/>
    <w:rsid w:val="003735FB"/>
    <w:rsid w:val="00374004"/>
    <w:rsid w:val="00374C60"/>
    <w:rsid w:val="00376F85"/>
    <w:rsid w:val="00377023"/>
    <w:rsid w:val="0037706A"/>
    <w:rsid w:val="00380589"/>
    <w:rsid w:val="00381467"/>
    <w:rsid w:val="00382559"/>
    <w:rsid w:val="003826DB"/>
    <w:rsid w:val="00382945"/>
    <w:rsid w:val="00382D1C"/>
    <w:rsid w:val="003830A7"/>
    <w:rsid w:val="00385D66"/>
    <w:rsid w:val="0038633D"/>
    <w:rsid w:val="0038731B"/>
    <w:rsid w:val="00387787"/>
    <w:rsid w:val="003900ED"/>
    <w:rsid w:val="003910AD"/>
    <w:rsid w:val="003914B1"/>
    <w:rsid w:val="00391638"/>
    <w:rsid w:val="00391A64"/>
    <w:rsid w:val="0039288E"/>
    <w:rsid w:val="00392ECD"/>
    <w:rsid w:val="003933EA"/>
    <w:rsid w:val="00393929"/>
    <w:rsid w:val="00393D56"/>
    <w:rsid w:val="00394EB6"/>
    <w:rsid w:val="00395296"/>
    <w:rsid w:val="00395B53"/>
    <w:rsid w:val="0039688F"/>
    <w:rsid w:val="00397F6C"/>
    <w:rsid w:val="003A0039"/>
    <w:rsid w:val="003A1415"/>
    <w:rsid w:val="003A26CB"/>
    <w:rsid w:val="003A2709"/>
    <w:rsid w:val="003A3BA2"/>
    <w:rsid w:val="003A4AA2"/>
    <w:rsid w:val="003A5994"/>
    <w:rsid w:val="003A7034"/>
    <w:rsid w:val="003A7818"/>
    <w:rsid w:val="003A7C64"/>
    <w:rsid w:val="003B01D4"/>
    <w:rsid w:val="003B06B9"/>
    <w:rsid w:val="003B0815"/>
    <w:rsid w:val="003B09F2"/>
    <w:rsid w:val="003B1AD7"/>
    <w:rsid w:val="003B1D4C"/>
    <w:rsid w:val="003B1EC7"/>
    <w:rsid w:val="003B2074"/>
    <w:rsid w:val="003B28BA"/>
    <w:rsid w:val="003B45F3"/>
    <w:rsid w:val="003B6D4A"/>
    <w:rsid w:val="003B7C61"/>
    <w:rsid w:val="003C02A7"/>
    <w:rsid w:val="003C051D"/>
    <w:rsid w:val="003C057B"/>
    <w:rsid w:val="003C0977"/>
    <w:rsid w:val="003C3064"/>
    <w:rsid w:val="003C3203"/>
    <w:rsid w:val="003C5B22"/>
    <w:rsid w:val="003C6279"/>
    <w:rsid w:val="003C65C1"/>
    <w:rsid w:val="003D01A3"/>
    <w:rsid w:val="003D0FEF"/>
    <w:rsid w:val="003D17D5"/>
    <w:rsid w:val="003D214E"/>
    <w:rsid w:val="003D2FD8"/>
    <w:rsid w:val="003D3105"/>
    <w:rsid w:val="003D526D"/>
    <w:rsid w:val="003D52D4"/>
    <w:rsid w:val="003D5362"/>
    <w:rsid w:val="003D58C7"/>
    <w:rsid w:val="003D6142"/>
    <w:rsid w:val="003D6584"/>
    <w:rsid w:val="003D75D6"/>
    <w:rsid w:val="003D7843"/>
    <w:rsid w:val="003E0B4C"/>
    <w:rsid w:val="003E181C"/>
    <w:rsid w:val="003E1ABD"/>
    <w:rsid w:val="003E206B"/>
    <w:rsid w:val="003E3565"/>
    <w:rsid w:val="003E44F5"/>
    <w:rsid w:val="003E5B7E"/>
    <w:rsid w:val="003E5E07"/>
    <w:rsid w:val="003E61EB"/>
    <w:rsid w:val="003E6269"/>
    <w:rsid w:val="003E6712"/>
    <w:rsid w:val="003E6CBD"/>
    <w:rsid w:val="003E747D"/>
    <w:rsid w:val="003F0E84"/>
    <w:rsid w:val="003F18CB"/>
    <w:rsid w:val="003F2E7F"/>
    <w:rsid w:val="003F3062"/>
    <w:rsid w:val="003F3636"/>
    <w:rsid w:val="003F406A"/>
    <w:rsid w:val="003F4D3C"/>
    <w:rsid w:val="003F61E5"/>
    <w:rsid w:val="003F6237"/>
    <w:rsid w:val="003F7A26"/>
    <w:rsid w:val="004004CC"/>
    <w:rsid w:val="004006C1"/>
    <w:rsid w:val="004007E0"/>
    <w:rsid w:val="00400801"/>
    <w:rsid w:val="004011B1"/>
    <w:rsid w:val="00401A22"/>
    <w:rsid w:val="00401A5B"/>
    <w:rsid w:val="00401B05"/>
    <w:rsid w:val="00402015"/>
    <w:rsid w:val="00402854"/>
    <w:rsid w:val="00402CB7"/>
    <w:rsid w:val="004032D1"/>
    <w:rsid w:val="00403A60"/>
    <w:rsid w:val="00403FD2"/>
    <w:rsid w:val="00405198"/>
    <w:rsid w:val="00405EC7"/>
    <w:rsid w:val="00405EFA"/>
    <w:rsid w:val="0040773E"/>
    <w:rsid w:val="00407AA2"/>
    <w:rsid w:val="0041026A"/>
    <w:rsid w:val="00410C3F"/>
    <w:rsid w:val="004110F1"/>
    <w:rsid w:val="00412465"/>
    <w:rsid w:val="0041309A"/>
    <w:rsid w:val="0041399A"/>
    <w:rsid w:val="00413D4B"/>
    <w:rsid w:val="00414DB3"/>
    <w:rsid w:val="004163AB"/>
    <w:rsid w:val="004166A1"/>
    <w:rsid w:val="00416901"/>
    <w:rsid w:val="00416CF2"/>
    <w:rsid w:val="00416E31"/>
    <w:rsid w:val="00417370"/>
    <w:rsid w:val="0041789E"/>
    <w:rsid w:val="00417E1A"/>
    <w:rsid w:val="00420278"/>
    <w:rsid w:val="004211D7"/>
    <w:rsid w:val="00422DEE"/>
    <w:rsid w:val="00423A4E"/>
    <w:rsid w:val="00424BB4"/>
    <w:rsid w:val="00424BFF"/>
    <w:rsid w:val="00425695"/>
    <w:rsid w:val="00425974"/>
    <w:rsid w:val="00425D44"/>
    <w:rsid w:val="00426624"/>
    <w:rsid w:val="0042764B"/>
    <w:rsid w:val="0043057C"/>
    <w:rsid w:val="00431C1F"/>
    <w:rsid w:val="0043241C"/>
    <w:rsid w:val="00432680"/>
    <w:rsid w:val="0043314E"/>
    <w:rsid w:val="00435325"/>
    <w:rsid w:val="00436693"/>
    <w:rsid w:val="00437B02"/>
    <w:rsid w:val="004426FC"/>
    <w:rsid w:val="00442C09"/>
    <w:rsid w:val="00442DF9"/>
    <w:rsid w:val="00442E7A"/>
    <w:rsid w:val="00442FBD"/>
    <w:rsid w:val="00445E0C"/>
    <w:rsid w:val="00445F35"/>
    <w:rsid w:val="00446952"/>
    <w:rsid w:val="00451C4C"/>
    <w:rsid w:val="00451D29"/>
    <w:rsid w:val="00451F3E"/>
    <w:rsid w:val="00452AEF"/>
    <w:rsid w:val="00452D84"/>
    <w:rsid w:val="004531A5"/>
    <w:rsid w:val="00453C8F"/>
    <w:rsid w:val="00455251"/>
    <w:rsid w:val="00455618"/>
    <w:rsid w:val="004556FE"/>
    <w:rsid w:val="00455C2D"/>
    <w:rsid w:val="00456326"/>
    <w:rsid w:val="00456761"/>
    <w:rsid w:val="00457993"/>
    <w:rsid w:val="00457B53"/>
    <w:rsid w:val="00457DE8"/>
    <w:rsid w:val="0046022A"/>
    <w:rsid w:val="0046178B"/>
    <w:rsid w:val="00462982"/>
    <w:rsid w:val="00463519"/>
    <w:rsid w:val="0046359A"/>
    <w:rsid w:val="004637F0"/>
    <w:rsid w:val="00463927"/>
    <w:rsid w:val="00463E85"/>
    <w:rsid w:val="00464F21"/>
    <w:rsid w:val="0046600A"/>
    <w:rsid w:val="00466560"/>
    <w:rsid w:val="004705C8"/>
    <w:rsid w:val="0047124E"/>
    <w:rsid w:val="00471262"/>
    <w:rsid w:val="004713EE"/>
    <w:rsid w:val="00474D1B"/>
    <w:rsid w:val="00475768"/>
    <w:rsid w:val="00480638"/>
    <w:rsid w:val="00480DBA"/>
    <w:rsid w:val="00481B47"/>
    <w:rsid w:val="00482387"/>
    <w:rsid w:val="004824F8"/>
    <w:rsid w:val="0048338C"/>
    <w:rsid w:val="00483EE4"/>
    <w:rsid w:val="00484DEE"/>
    <w:rsid w:val="00486203"/>
    <w:rsid w:val="004866D2"/>
    <w:rsid w:val="004866F0"/>
    <w:rsid w:val="00486862"/>
    <w:rsid w:val="00486C85"/>
    <w:rsid w:val="00487326"/>
    <w:rsid w:val="00487FDB"/>
    <w:rsid w:val="00490199"/>
    <w:rsid w:val="004914B0"/>
    <w:rsid w:val="00492268"/>
    <w:rsid w:val="004927EB"/>
    <w:rsid w:val="00492C81"/>
    <w:rsid w:val="00493A7D"/>
    <w:rsid w:val="00493E3C"/>
    <w:rsid w:val="00493F4D"/>
    <w:rsid w:val="00494336"/>
    <w:rsid w:val="00494F25"/>
    <w:rsid w:val="00495260"/>
    <w:rsid w:val="004953A6"/>
    <w:rsid w:val="00496488"/>
    <w:rsid w:val="004969CF"/>
    <w:rsid w:val="00496A9F"/>
    <w:rsid w:val="004970FA"/>
    <w:rsid w:val="004976CA"/>
    <w:rsid w:val="004977A3"/>
    <w:rsid w:val="00497B8B"/>
    <w:rsid w:val="004A05EC"/>
    <w:rsid w:val="004A0C4D"/>
    <w:rsid w:val="004A0D74"/>
    <w:rsid w:val="004A16E4"/>
    <w:rsid w:val="004A24AE"/>
    <w:rsid w:val="004A3356"/>
    <w:rsid w:val="004A33BC"/>
    <w:rsid w:val="004A58F2"/>
    <w:rsid w:val="004A5A81"/>
    <w:rsid w:val="004A5E3D"/>
    <w:rsid w:val="004A6435"/>
    <w:rsid w:val="004A7035"/>
    <w:rsid w:val="004A789D"/>
    <w:rsid w:val="004A78A8"/>
    <w:rsid w:val="004A795B"/>
    <w:rsid w:val="004B03DA"/>
    <w:rsid w:val="004B04AF"/>
    <w:rsid w:val="004B1820"/>
    <w:rsid w:val="004B29E2"/>
    <w:rsid w:val="004B2F35"/>
    <w:rsid w:val="004B3046"/>
    <w:rsid w:val="004B3226"/>
    <w:rsid w:val="004B3369"/>
    <w:rsid w:val="004B35B3"/>
    <w:rsid w:val="004B3F1B"/>
    <w:rsid w:val="004B3F9B"/>
    <w:rsid w:val="004B415E"/>
    <w:rsid w:val="004B4523"/>
    <w:rsid w:val="004B4D26"/>
    <w:rsid w:val="004B659B"/>
    <w:rsid w:val="004B6A0C"/>
    <w:rsid w:val="004B7020"/>
    <w:rsid w:val="004B771D"/>
    <w:rsid w:val="004B7A75"/>
    <w:rsid w:val="004C2079"/>
    <w:rsid w:val="004C5445"/>
    <w:rsid w:val="004C66E5"/>
    <w:rsid w:val="004C7701"/>
    <w:rsid w:val="004C78E8"/>
    <w:rsid w:val="004D06C6"/>
    <w:rsid w:val="004D0CE1"/>
    <w:rsid w:val="004D1522"/>
    <w:rsid w:val="004D18DC"/>
    <w:rsid w:val="004D25F9"/>
    <w:rsid w:val="004D3113"/>
    <w:rsid w:val="004D3215"/>
    <w:rsid w:val="004D63EB"/>
    <w:rsid w:val="004E04B4"/>
    <w:rsid w:val="004E0659"/>
    <w:rsid w:val="004E245D"/>
    <w:rsid w:val="004E2C29"/>
    <w:rsid w:val="004E324A"/>
    <w:rsid w:val="004E3A0E"/>
    <w:rsid w:val="004E52AA"/>
    <w:rsid w:val="004E59C6"/>
    <w:rsid w:val="004E5B04"/>
    <w:rsid w:val="004E6ECA"/>
    <w:rsid w:val="004F07A8"/>
    <w:rsid w:val="004F0F6D"/>
    <w:rsid w:val="004F2032"/>
    <w:rsid w:val="004F23A1"/>
    <w:rsid w:val="004F2A9C"/>
    <w:rsid w:val="004F30A3"/>
    <w:rsid w:val="004F3A08"/>
    <w:rsid w:val="004F3B91"/>
    <w:rsid w:val="004F3FD7"/>
    <w:rsid w:val="004F4469"/>
    <w:rsid w:val="004F53F8"/>
    <w:rsid w:val="004F5535"/>
    <w:rsid w:val="004F5E59"/>
    <w:rsid w:val="004F62C0"/>
    <w:rsid w:val="004F682D"/>
    <w:rsid w:val="004F7599"/>
    <w:rsid w:val="004F75A5"/>
    <w:rsid w:val="0050101A"/>
    <w:rsid w:val="00501038"/>
    <w:rsid w:val="00501082"/>
    <w:rsid w:val="00501B1D"/>
    <w:rsid w:val="00501C51"/>
    <w:rsid w:val="0050275F"/>
    <w:rsid w:val="00502C53"/>
    <w:rsid w:val="00503F43"/>
    <w:rsid w:val="00504050"/>
    <w:rsid w:val="005058F6"/>
    <w:rsid w:val="00505E88"/>
    <w:rsid w:val="00505FEA"/>
    <w:rsid w:val="005066CF"/>
    <w:rsid w:val="005066D2"/>
    <w:rsid w:val="00506F29"/>
    <w:rsid w:val="005072C4"/>
    <w:rsid w:val="0050741C"/>
    <w:rsid w:val="00507866"/>
    <w:rsid w:val="00507959"/>
    <w:rsid w:val="00507F3E"/>
    <w:rsid w:val="005107B5"/>
    <w:rsid w:val="00510A1F"/>
    <w:rsid w:val="0051137F"/>
    <w:rsid w:val="005115E9"/>
    <w:rsid w:val="00514BA1"/>
    <w:rsid w:val="00515D5F"/>
    <w:rsid w:val="00516675"/>
    <w:rsid w:val="00516D96"/>
    <w:rsid w:val="00517A0A"/>
    <w:rsid w:val="00517D5F"/>
    <w:rsid w:val="00520245"/>
    <w:rsid w:val="005218F0"/>
    <w:rsid w:val="00521E11"/>
    <w:rsid w:val="00522FE4"/>
    <w:rsid w:val="005237B2"/>
    <w:rsid w:val="00523DB9"/>
    <w:rsid w:val="0052462C"/>
    <w:rsid w:val="00524D9B"/>
    <w:rsid w:val="0052509A"/>
    <w:rsid w:val="0052518E"/>
    <w:rsid w:val="00525323"/>
    <w:rsid w:val="00527067"/>
    <w:rsid w:val="00527254"/>
    <w:rsid w:val="0052783E"/>
    <w:rsid w:val="00527C9C"/>
    <w:rsid w:val="00530E7A"/>
    <w:rsid w:val="00531050"/>
    <w:rsid w:val="0053188E"/>
    <w:rsid w:val="00531A4B"/>
    <w:rsid w:val="00531C52"/>
    <w:rsid w:val="00531D78"/>
    <w:rsid w:val="00531F2B"/>
    <w:rsid w:val="0053348F"/>
    <w:rsid w:val="00534264"/>
    <w:rsid w:val="005349E4"/>
    <w:rsid w:val="00535E67"/>
    <w:rsid w:val="00536483"/>
    <w:rsid w:val="005408B7"/>
    <w:rsid w:val="0054128B"/>
    <w:rsid w:val="00541393"/>
    <w:rsid w:val="005419A8"/>
    <w:rsid w:val="00541FBC"/>
    <w:rsid w:val="00542F23"/>
    <w:rsid w:val="00543330"/>
    <w:rsid w:val="005434B1"/>
    <w:rsid w:val="00543E51"/>
    <w:rsid w:val="005443F9"/>
    <w:rsid w:val="00544766"/>
    <w:rsid w:val="00544AA2"/>
    <w:rsid w:val="00545220"/>
    <w:rsid w:val="005458AE"/>
    <w:rsid w:val="0054651D"/>
    <w:rsid w:val="00546676"/>
    <w:rsid w:val="0055188A"/>
    <w:rsid w:val="00552529"/>
    <w:rsid w:val="00552B92"/>
    <w:rsid w:val="00552D2A"/>
    <w:rsid w:val="00553134"/>
    <w:rsid w:val="00554D99"/>
    <w:rsid w:val="005560D1"/>
    <w:rsid w:val="00556612"/>
    <w:rsid w:val="005568E3"/>
    <w:rsid w:val="005600D7"/>
    <w:rsid w:val="005607B7"/>
    <w:rsid w:val="00560D1F"/>
    <w:rsid w:val="00561695"/>
    <w:rsid w:val="00561946"/>
    <w:rsid w:val="00561F40"/>
    <w:rsid w:val="00561F43"/>
    <w:rsid w:val="005620BA"/>
    <w:rsid w:val="00562C4C"/>
    <w:rsid w:val="005633E0"/>
    <w:rsid w:val="005646C2"/>
    <w:rsid w:val="00564961"/>
    <w:rsid w:val="005678E1"/>
    <w:rsid w:val="00567EB6"/>
    <w:rsid w:val="00567F4F"/>
    <w:rsid w:val="005706E4"/>
    <w:rsid w:val="00570772"/>
    <w:rsid w:val="00570B62"/>
    <w:rsid w:val="00570B9A"/>
    <w:rsid w:val="00572E3B"/>
    <w:rsid w:val="00573454"/>
    <w:rsid w:val="00573F9E"/>
    <w:rsid w:val="0057447E"/>
    <w:rsid w:val="00574FB5"/>
    <w:rsid w:val="005754A6"/>
    <w:rsid w:val="00575988"/>
    <w:rsid w:val="00575F0D"/>
    <w:rsid w:val="00575F83"/>
    <w:rsid w:val="00576268"/>
    <w:rsid w:val="0057726B"/>
    <w:rsid w:val="00577D9B"/>
    <w:rsid w:val="005803A5"/>
    <w:rsid w:val="00580E0F"/>
    <w:rsid w:val="00580E27"/>
    <w:rsid w:val="00581AA5"/>
    <w:rsid w:val="00583482"/>
    <w:rsid w:val="00583778"/>
    <w:rsid w:val="00583784"/>
    <w:rsid w:val="005837D0"/>
    <w:rsid w:val="00583A45"/>
    <w:rsid w:val="00583B2B"/>
    <w:rsid w:val="005844D4"/>
    <w:rsid w:val="005845B4"/>
    <w:rsid w:val="005857FA"/>
    <w:rsid w:val="00585F1D"/>
    <w:rsid w:val="00586375"/>
    <w:rsid w:val="00590CCE"/>
    <w:rsid w:val="00591C65"/>
    <w:rsid w:val="00592037"/>
    <w:rsid w:val="00592155"/>
    <w:rsid w:val="0059267D"/>
    <w:rsid w:val="00593FE0"/>
    <w:rsid w:val="005946F1"/>
    <w:rsid w:val="00594BF8"/>
    <w:rsid w:val="00594F69"/>
    <w:rsid w:val="00595469"/>
    <w:rsid w:val="00595524"/>
    <w:rsid w:val="00595710"/>
    <w:rsid w:val="005A03EB"/>
    <w:rsid w:val="005A2999"/>
    <w:rsid w:val="005A2BF4"/>
    <w:rsid w:val="005A42D7"/>
    <w:rsid w:val="005A4DA5"/>
    <w:rsid w:val="005A5B1D"/>
    <w:rsid w:val="005A769D"/>
    <w:rsid w:val="005B001D"/>
    <w:rsid w:val="005B1433"/>
    <w:rsid w:val="005B170B"/>
    <w:rsid w:val="005B1BDA"/>
    <w:rsid w:val="005B21DB"/>
    <w:rsid w:val="005B22DE"/>
    <w:rsid w:val="005B2AE5"/>
    <w:rsid w:val="005B3FFF"/>
    <w:rsid w:val="005B41D6"/>
    <w:rsid w:val="005B48F7"/>
    <w:rsid w:val="005B4C2A"/>
    <w:rsid w:val="005B4C68"/>
    <w:rsid w:val="005B5976"/>
    <w:rsid w:val="005B7743"/>
    <w:rsid w:val="005C0BF8"/>
    <w:rsid w:val="005C10D7"/>
    <w:rsid w:val="005C192E"/>
    <w:rsid w:val="005C2258"/>
    <w:rsid w:val="005C2516"/>
    <w:rsid w:val="005C2542"/>
    <w:rsid w:val="005C4AF7"/>
    <w:rsid w:val="005C5B33"/>
    <w:rsid w:val="005C5D9D"/>
    <w:rsid w:val="005C6086"/>
    <w:rsid w:val="005C6257"/>
    <w:rsid w:val="005C6A0D"/>
    <w:rsid w:val="005C7778"/>
    <w:rsid w:val="005C77B3"/>
    <w:rsid w:val="005C7E50"/>
    <w:rsid w:val="005D046C"/>
    <w:rsid w:val="005D07B6"/>
    <w:rsid w:val="005D184A"/>
    <w:rsid w:val="005D1B34"/>
    <w:rsid w:val="005D1D82"/>
    <w:rsid w:val="005D25FD"/>
    <w:rsid w:val="005D4265"/>
    <w:rsid w:val="005D521A"/>
    <w:rsid w:val="005D6555"/>
    <w:rsid w:val="005D77DE"/>
    <w:rsid w:val="005E03DE"/>
    <w:rsid w:val="005E056E"/>
    <w:rsid w:val="005E1F9B"/>
    <w:rsid w:val="005E2E91"/>
    <w:rsid w:val="005E36BE"/>
    <w:rsid w:val="005E3DB4"/>
    <w:rsid w:val="005E44D5"/>
    <w:rsid w:val="005E4F74"/>
    <w:rsid w:val="005E54B3"/>
    <w:rsid w:val="005E5AED"/>
    <w:rsid w:val="005E679C"/>
    <w:rsid w:val="005E6C11"/>
    <w:rsid w:val="005E6D54"/>
    <w:rsid w:val="005F15D2"/>
    <w:rsid w:val="005F1C8D"/>
    <w:rsid w:val="005F262D"/>
    <w:rsid w:val="005F3114"/>
    <w:rsid w:val="005F3416"/>
    <w:rsid w:val="005F543F"/>
    <w:rsid w:val="005F6901"/>
    <w:rsid w:val="005F6C37"/>
    <w:rsid w:val="005F7838"/>
    <w:rsid w:val="005F7CC3"/>
    <w:rsid w:val="00600774"/>
    <w:rsid w:val="00600DA4"/>
    <w:rsid w:val="00600FD7"/>
    <w:rsid w:val="00601164"/>
    <w:rsid w:val="006021CA"/>
    <w:rsid w:val="006024B6"/>
    <w:rsid w:val="0060253C"/>
    <w:rsid w:val="00602ED3"/>
    <w:rsid w:val="00604F57"/>
    <w:rsid w:val="006052E6"/>
    <w:rsid w:val="0060676D"/>
    <w:rsid w:val="006068DC"/>
    <w:rsid w:val="006071AF"/>
    <w:rsid w:val="006077ED"/>
    <w:rsid w:val="00607CB1"/>
    <w:rsid w:val="00610216"/>
    <w:rsid w:val="00612B0C"/>
    <w:rsid w:val="00615E3E"/>
    <w:rsid w:val="00616CAE"/>
    <w:rsid w:val="0062092F"/>
    <w:rsid w:val="00621B87"/>
    <w:rsid w:val="00623EA1"/>
    <w:rsid w:val="00623FBD"/>
    <w:rsid w:val="00624C53"/>
    <w:rsid w:val="00624DF3"/>
    <w:rsid w:val="006263AE"/>
    <w:rsid w:val="006263CC"/>
    <w:rsid w:val="00626A97"/>
    <w:rsid w:val="0062759F"/>
    <w:rsid w:val="006275A3"/>
    <w:rsid w:val="00627F3F"/>
    <w:rsid w:val="00630EF5"/>
    <w:rsid w:val="00631608"/>
    <w:rsid w:val="00631B35"/>
    <w:rsid w:val="00631C62"/>
    <w:rsid w:val="00632653"/>
    <w:rsid w:val="00632B2C"/>
    <w:rsid w:val="006332D1"/>
    <w:rsid w:val="0063409A"/>
    <w:rsid w:val="006347AA"/>
    <w:rsid w:val="00634D93"/>
    <w:rsid w:val="00637569"/>
    <w:rsid w:val="00637669"/>
    <w:rsid w:val="0064011E"/>
    <w:rsid w:val="00640645"/>
    <w:rsid w:val="00640D73"/>
    <w:rsid w:val="00640DBB"/>
    <w:rsid w:val="00640F73"/>
    <w:rsid w:val="006427B3"/>
    <w:rsid w:val="00642C11"/>
    <w:rsid w:val="006433BC"/>
    <w:rsid w:val="00645722"/>
    <w:rsid w:val="0064616C"/>
    <w:rsid w:val="006463E9"/>
    <w:rsid w:val="00646A2B"/>
    <w:rsid w:val="00646D07"/>
    <w:rsid w:val="006476A8"/>
    <w:rsid w:val="00650855"/>
    <w:rsid w:val="006519FF"/>
    <w:rsid w:val="006528FE"/>
    <w:rsid w:val="00653493"/>
    <w:rsid w:val="00653C90"/>
    <w:rsid w:val="00655B83"/>
    <w:rsid w:val="00655FE2"/>
    <w:rsid w:val="0065745D"/>
    <w:rsid w:val="006577A0"/>
    <w:rsid w:val="006579AE"/>
    <w:rsid w:val="00660181"/>
    <w:rsid w:val="00660965"/>
    <w:rsid w:val="00660A7A"/>
    <w:rsid w:val="00661273"/>
    <w:rsid w:val="00663662"/>
    <w:rsid w:val="0066403B"/>
    <w:rsid w:val="006644AA"/>
    <w:rsid w:val="006656B6"/>
    <w:rsid w:val="00665B91"/>
    <w:rsid w:val="006676C4"/>
    <w:rsid w:val="00670017"/>
    <w:rsid w:val="00671241"/>
    <w:rsid w:val="00671496"/>
    <w:rsid w:val="006715C8"/>
    <w:rsid w:val="00672DA1"/>
    <w:rsid w:val="00673160"/>
    <w:rsid w:val="006732AF"/>
    <w:rsid w:val="00675B59"/>
    <w:rsid w:val="006761E0"/>
    <w:rsid w:val="006769AD"/>
    <w:rsid w:val="00677922"/>
    <w:rsid w:val="006807D4"/>
    <w:rsid w:val="00680AB7"/>
    <w:rsid w:val="00683FBB"/>
    <w:rsid w:val="006841D0"/>
    <w:rsid w:val="0068595A"/>
    <w:rsid w:val="0068686E"/>
    <w:rsid w:val="006904A7"/>
    <w:rsid w:val="006924D7"/>
    <w:rsid w:val="00692C48"/>
    <w:rsid w:val="0069301F"/>
    <w:rsid w:val="00694A50"/>
    <w:rsid w:val="00694D3A"/>
    <w:rsid w:val="00694E5B"/>
    <w:rsid w:val="00696AFF"/>
    <w:rsid w:val="00697D07"/>
    <w:rsid w:val="006A0005"/>
    <w:rsid w:val="006A084A"/>
    <w:rsid w:val="006A0B8F"/>
    <w:rsid w:val="006A1A1B"/>
    <w:rsid w:val="006A1B1A"/>
    <w:rsid w:val="006A2B25"/>
    <w:rsid w:val="006A3274"/>
    <w:rsid w:val="006A4304"/>
    <w:rsid w:val="006A4447"/>
    <w:rsid w:val="006A5980"/>
    <w:rsid w:val="006A609C"/>
    <w:rsid w:val="006A623F"/>
    <w:rsid w:val="006B01E8"/>
    <w:rsid w:val="006B1571"/>
    <w:rsid w:val="006B1671"/>
    <w:rsid w:val="006B18E3"/>
    <w:rsid w:val="006B1923"/>
    <w:rsid w:val="006B1F69"/>
    <w:rsid w:val="006B30B0"/>
    <w:rsid w:val="006B3129"/>
    <w:rsid w:val="006B31FA"/>
    <w:rsid w:val="006B346B"/>
    <w:rsid w:val="006B4675"/>
    <w:rsid w:val="006B525A"/>
    <w:rsid w:val="006B5755"/>
    <w:rsid w:val="006B7660"/>
    <w:rsid w:val="006C13E3"/>
    <w:rsid w:val="006C3128"/>
    <w:rsid w:val="006C31B5"/>
    <w:rsid w:val="006C327D"/>
    <w:rsid w:val="006C32CA"/>
    <w:rsid w:val="006C4B31"/>
    <w:rsid w:val="006C4E66"/>
    <w:rsid w:val="006C59F9"/>
    <w:rsid w:val="006C5B15"/>
    <w:rsid w:val="006C6684"/>
    <w:rsid w:val="006C6979"/>
    <w:rsid w:val="006C6F0C"/>
    <w:rsid w:val="006D037F"/>
    <w:rsid w:val="006D0FF9"/>
    <w:rsid w:val="006D1556"/>
    <w:rsid w:val="006D255E"/>
    <w:rsid w:val="006D296C"/>
    <w:rsid w:val="006D33B7"/>
    <w:rsid w:val="006D3D16"/>
    <w:rsid w:val="006D46AB"/>
    <w:rsid w:val="006D4D43"/>
    <w:rsid w:val="006D647C"/>
    <w:rsid w:val="006D66FF"/>
    <w:rsid w:val="006D68D8"/>
    <w:rsid w:val="006D7255"/>
    <w:rsid w:val="006D77EF"/>
    <w:rsid w:val="006D7951"/>
    <w:rsid w:val="006E0392"/>
    <w:rsid w:val="006E0DAE"/>
    <w:rsid w:val="006E1223"/>
    <w:rsid w:val="006E2548"/>
    <w:rsid w:val="006E35E0"/>
    <w:rsid w:val="006E4714"/>
    <w:rsid w:val="006E4809"/>
    <w:rsid w:val="006E4CE7"/>
    <w:rsid w:val="006E519C"/>
    <w:rsid w:val="006E5924"/>
    <w:rsid w:val="006E5A4F"/>
    <w:rsid w:val="006E5AD5"/>
    <w:rsid w:val="006E628B"/>
    <w:rsid w:val="006E70EA"/>
    <w:rsid w:val="006E7999"/>
    <w:rsid w:val="006F0498"/>
    <w:rsid w:val="006F0728"/>
    <w:rsid w:val="006F084F"/>
    <w:rsid w:val="006F1DF9"/>
    <w:rsid w:val="006F2341"/>
    <w:rsid w:val="006F2DA9"/>
    <w:rsid w:val="006F3530"/>
    <w:rsid w:val="006F36E8"/>
    <w:rsid w:val="006F390E"/>
    <w:rsid w:val="006F3956"/>
    <w:rsid w:val="006F3CEC"/>
    <w:rsid w:val="006F3EBE"/>
    <w:rsid w:val="006F4299"/>
    <w:rsid w:val="006F49ED"/>
    <w:rsid w:val="006F4A1B"/>
    <w:rsid w:val="006F4E80"/>
    <w:rsid w:val="006F4FF0"/>
    <w:rsid w:val="006F518C"/>
    <w:rsid w:val="006F51EA"/>
    <w:rsid w:val="006F5488"/>
    <w:rsid w:val="006F5D7D"/>
    <w:rsid w:val="006F6C9D"/>
    <w:rsid w:val="006F7100"/>
    <w:rsid w:val="007001A9"/>
    <w:rsid w:val="007014C4"/>
    <w:rsid w:val="00701C88"/>
    <w:rsid w:val="0070202A"/>
    <w:rsid w:val="00702F37"/>
    <w:rsid w:val="007031D2"/>
    <w:rsid w:val="007032BA"/>
    <w:rsid w:val="0070431B"/>
    <w:rsid w:val="00705BE8"/>
    <w:rsid w:val="00706412"/>
    <w:rsid w:val="0070697E"/>
    <w:rsid w:val="00707751"/>
    <w:rsid w:val="00707E3E"/>
    <w:rsid w:val="00707FA2"/>
    <w:rsid w:val="00710D0B"/>
    <w:rsid w:val="00710FC4"/>
    <w:rsid w:val="0071136C"/>
    <w:rsid w:val="0071147C"/>
    <w:rsid w:val="00711D42"/>
    <w:rsid w:val="007137AF"/>
    <w:rsid w:val="00713987"/>
    <w:rsid w:val="00714E5A"/>
    <w:rsid w:val="00715041"/>
    <w:rsid w:val="0071516C"/>
    <w:rsid w:val="00715EA6"/>
    <w:rsid w:val="00717FCD"/>
    <w:rsid w:val="0072175B"/>
    <w:rsid w:val="007220E9"/>
    <w:rsid w:val="00722884"/>
    <w:rsid w:val="0072605D"/>
    <w:rsid w:val="00726CA8"/>
    <w:rsid w:val="007275CB"/>
    <w:rsid w:val="007309A5"/>
    <w:rsid w:val="00730F48"/>
    <w:rsid w:val="007313C3"/>
    <w:rsid w:val="007318E0"/>
    <w:rsid w:val="007328B2"/>
    <w:rsid w:val="007328D6"/>
    <w:rsid w:val="007342B8"/>
    <w:rsid w:val="00735098"/>
    <w:rsid w:val="00736708"/>
    <w:rsid w:val="00736E42"/>
    <w:rsid w:val="00737ABC"/>
    <w:rsid w:val="00737F2B"/>
    <w:rsid w:val="0074106A"/>
    <w:rsid w:val="007410B8"/>
    <w:rsid w:val="00744DA9"/>
    <w:rsid w:val="00745D8A"/>
    <w:rsid w:val="007461F0"/>
    <w:rsid w:val="00746681"/>
    <w:rsid w:val="00746BFD"/>
    <w:rsid w:val="00747183"/>
    <w:rsid w:val="00747236"/>
    <w:rsid w:val="0074793D"/>
    <w:rsid w:val="0075004C"/>
    <w:rsid w:val="00751C78"/>
    <w:rsid w:val="00752685"/>
    <w:rsid w:val="00754D2D"/>
    <w:rsid w:val="0075520E"/>
    <w:rsid w:val="007567EC"/>
    <w:rsid w:val="00757B43"/>
    <w:rsid w:val="00757B67"/>
    <w:rsid w:val="00757BF0"/>
    <w:rsid w:val="00760864"/>
    <w:rsid w:val="00760914"/>
    <w:rsid w:val="00760C01"/>
    <w:rsid w:val="0076106C"/>
    <w:rsid w:val="00761E01"/>
    <w:rsid w:val="00763577"/>
    <w:rsid w:val="00763AD1"/>
    <w:rsid w:val="0076453D"/>
    <w:rsid w:val="007647CB"/>
    <w:rsid w:val="007651CB"/>
    <w:rsid w:val="00765D18"/>
    <w:rsid w:val="00766A2F"/>
    <w:rsid w:val="00766B7C"/>
    <w:rsid w:val="007672BC"/>
    <w:rsid w:val="007677AE"/>
    <w:rsid w:val="007704C6"/>
    <w:rsid w:val="00770E84"/>
    <w:rsid w:val="0077125F"/>
    <w:rsid w:val="00771E04"/>
    <w:rsid w:val="007727F6"/>
    <w:rsid w:val="00772FCB"/>
    <w:rsid w:val="00775940"/>
    <w:rsid w:val="00775CA5"/>
    <w:rsid w:val="0077606C"/>
    <w:rsid w:val="00776595"/>
    <w:rsid w:val="00776B9D"/>
    <w:rsid w:val="00780C91"/>
    <w:rsid w:val="00780CC2"/>
    <w:rsid w:val="00782713"/>
    <w:rsid w:val="00782DB9"/>
    <w:rsid w:val="00783131"/>
    <w:rsid w:val="00784AEE"/>
    <w:rsid w:val="00784C1B"/>
    <w:rsid w:val="0078562C"/>
    <w:rsid w:val="00786A2B"/>
    <w:rsid w:val="007879DC"/>
    <w:rsid w:val="007879FF"/>
    <w:rsid w:val="007900D2"/>
    <w:rsid w:val="00790E37"/>
    <w:rsid w:val="0079111E"/>
    <w:rsid w:val="00791834"/>
    <w:rsid w:val="007918DD"/>
    <w:rsid w:val="00791A82"/>
    <w:rsid w:val="0079227C"/>
    <w:rsid w:val="0079308C"/>
    <w:rsid w:val="007930E4"/>
    <w:rsid w:val="0079333E"/>
    <w:rsid w:val="0079395C"/>
    <w:rsid w:val="00794E06"/>
    <w:rsid w:val="00795363"/>
    <w:rsid w:val="0079607D"/>
    <w:rsid w:val="007966B9"/>
    <w:rsid w:val="00796A5C"/>
    <w:rsid w:val="00797245"/>
    <w:rsid w:val="007974EC"/>
    <w:rsid w:val="007A0518"/>
    <w:rsid w:val="007A1F7A"/>
    <w:rsid w:val="007A2126"/>
    <w:rsid w:val="007A2309"/>
    <w:rsid w:val="007A2D12"/>
    <w:rsid w:val="007A30CC"/>
    <w:rsid w:val="007A36B1"/>
    <w:rsid w:val="007A4DBF"/>
    <w:rsid w:val="007A5BD2"/>
    <w:rsid w:val="007A5C1C"/>
    <w:rsid w:val="007B0350"/>
    <w:rsid w:val="007B0A33"/>
    <w:rsid w:val="007B0A7A"/>
    <w:rsid w:val="007B0B20"/>
    <w:rsid w:val="007B1E64"/>
    <w:rsid w:val="007B3894"/>
    <w:rsid w:val="007B389A"/>
    <w:rsid w:val="007B42C9"/>
    <w:rsid w:val="007B42CE"/>
    <w:rsid w:val="007B47FF"/>
    <w:rsid w:val="007B4F13"/>
    <w:rsid w:val="007B7013"/>
    <w:rsid w:val="007B7098"/>
    <w:rsid w:val="007C072E"/>
    <w:rsid w:val="007C0B94"/>
    <w:rsid w:val="007C102F"/>
    <w:rsid w:val="007C184B"/>
    <w:rsid w:val="007C21C4"/>
    <w:rsid w:val="007C2278"/>
    <w:rsid w:val="007C2A8D"/>
    <w:rsid w:val="007C4779"/>
    <w:rsid w:val="007C53C0"/>
    <w:rsid w:val="007C5802"/>
    <w:rsid w:val="007C685B"/>
    <w:rsid w:val="007C6995"/>
    <w:rsid w:val="007D041E"/>
    <w:rsid w:val="007D16D4"/>
    <w:rsid w:val="007D1C73"/>
    <w:rsid w:val="007D21A4"/>
    <w:rsid w:val="007D254C"/>
    <w:rsid w:val="007D36FF"/>
    <w:rsid w:val="007D3E27"/>
    <w:rsid w:val="007D3F4B"/>
    <w:rsid w:val="007D538C"/>
    <w:rsid w:val="007D6C82"/>
    <w:rsid w:val="007D74E2"/>
    <w:rsid w:val="007E028E"/>
    <w:rsid w:val="007E02F5"/>
    <w:rsid w:val="007E0324"/>
    <w:rsid w:val="007E1065"/>
    <w:rsid w:val="007E17AC"/>
    <w:rsid w:val="007E1E16"/>
    <w:rsid w:val="007E1FE3"/>
    <w:rsid w:val="007E2057"/>
    <w:rsid w:val="007E2321"/>
    <w:rsid w:val="007E28C7"/>
    <w:rsid w:val="007E3891"/>
    <w:rsid w:val="007E54F3"/>
    <w:rsid w:val="007E55AF"/>
    <w:rsid w:val="007E5961"/>
    <w:rsid w:val="007E6AC2"/>
    <w:rsid w:val="007E6DB5"/>
    <w:rsid w:val="007E773B"/>
    <w:rsid w:val="007E7952"/>
    <w:rsid w:val="007F0034"/>
    <w:rsid w:val="007F00F8"/>
    <w:rsid w:val="007F01E3"/>
    <w:rsid w:val="007F13B1"/>
    <w:rsid w:val="007F1465"/>
    <w:rsid w:val="007F3014"/>
    <w:rsid w:val="007F3E5F"/>
    <w:rsid w:val="007F45F9"/>
    <w:rsid w:val="007F4625"/>
    <w:rsid w:val="007F4922"/>
    <w:rsid w:val="007F58FF"/>
    <w:rsid w:val="008009FB"/>
    <w:rsid w:val="00800CB6"/>
    <w:rsid w:val="00801194"/>
    <w:rsid w:val="00802207"/>
    <w:rsid w:val="008026A4"/>
    <w:rsid w:val="008026E7"/>
    <w:rsid w:val="00802C86"/>
    <w:rsid w:val="00803094"/>
    <w:rsid w:val="00803B6B"/>
    <w:rsid w:val="008061ED"/>
    <w:rsid w:val="00807CF5"/>
    <w:rsid w:val="00807F59"/>
    <w:rsid w:val="0081106E"/>
    <w:rsid w:val="00811119"/>
    <w:rsid w:val="0081141B"/>
    <w:rsid w:val="00811FE3"/>
    <w:rsid w:val="00812267"/>
    <w:rsid w:val="00813972"/>
    <w:rsid w:val="00813A0B"/>
    <w:rsid w:val="008147E1"/>
    <w:rsid w:val="008152FA"/>
    <w:rsid w:val="00816586"/>
    <w:rsid w:val="00816C3F"/>
    <w:rsid w:val="00817294"/>
    <w:rsid w:val="00817870"/>
    <w:rsid w:val="00817E27"/>
    <w:rsid w:val="0082104C"/>
    <w:rsid w:val="008213AC"/>
    <w:rsid w:val="008214CC"/>
    <w:rsid w:val="008219A5"/>
    <w:rsid w:val="008219DE"/>
    <w:rsid w:val="00821CBE"/>
    <w:rsid w:val="00823205"/>
    <w:rsid w:val="008247F9"/>
    <w:rsid w:val="00825F7E"/>
    <w:rsid w:val="00830704"/>
    <w:rsid w:val="00831C79"/>
    <w:rsid w:val="00831F91"/>
    <w:rsid w:val="0083283C"/>
    <w:rsid w:val="00832855"/>
    <w:rsid w:val="0083296E"/>
    <w:rsid w:val="00832CB4"/>
    <w:rsid w:val="008332A1"/>
    <w:rsid w:val="008338C6"/>
    <w:rsid w:val="008350B2"/>
    <w:rsid w:val="008357F7"/>
    <w:rsid w:val="00837A60"/>
    <w:rsid w:val="0084029D"/>
    <w:rsid w:val="00840433"/>
    <w:rsid w:val="00841C1A"/>
    <w:rsid w:val="0084247A"/>
    <w:rsid w:val="00842562"/>
    <w:rsid w:val="00843802"/>
    <w:rsid w:val="00843C03"/>
    <w:rsid w:val="00843EEC"/>
    <w:rsid w:val="00844750"/>
    <w:rsid w:val="00844FD5"/>
    <w:rsid w:val="00845688"/>
    <w:rsid w:val="00846653"/>
    <w:rsid w:val="0084697F"/>
    <w:rsid w:val="008473A9"/>
    <w:rsid w:val="0084799A"/>
    <w:rsid w:val="00847F42"/>
    <w:rsid w:val="008506DE"/>
    <w:rsid w:val="00852D93"/>
    <w:rsid w:val="00853462"/>
    <w:rsid w:val="008543F0"/>
    <w:rsid w:val="00854754"/>
    <w:rsid w:val="00855251"/>
    <w:rsid w:val="008557F1"/>
    <w:rsid w:val="00855F83"/>
    <w:rsid w:val="008577E5"/>
    <w:rsid w:val="00857E48"/>
    <w:rsid w:val="008601A5"/>
    <w:rsid w:val="0086073A"/>
    <w:rsid w:val="008627E8"/>
    <w:rsid w:val="008628C1"/>
    <w:rsid w:val="00862D5F"/>
    <w:rsid w:val="008633D4"/>
    <w:rsid w:val="008645B1"/>
    <w:rsid w:val="00865775"/>
    <w:rsid w:val="008658CF"/>
    <w:rsid w:val="00865FA7"/>
    <w:rsid w:val="00866284"/>
    <w:rsid w:val="00866412"/>
    <w:rsid w:val="00866735"/>
    <w:rsid w:val="00867F6C"/>
    <w:rsid w:val="008712E2"/>
    <w:rsid w:val="00871AEE"/>
    <w:rsid w:val="00871BB3"/>
    <w:rsid w:val="00871FEC"/>
    <w:rsid w:val="00873090"/>
    <w:rsid w:val="00874C99"/>
    <w:rsid w:val="008757B0"/>
    <w:rsid w:val="00875DFD"/>
    <w:rsid w:val="00881055"/>
    <w:rsid w:val="008812DB"/>
    <w:rsid w:val="008814B7"/>
    <w:rsid w:val="008815C9"/>
    <w:rsid w:val="00881B9D"/>
    <w:rsid w:val="00882046"/>
    <w:rsid w:val="008826CA"/>
    <w:rsid w:val="00882AC5"/>
    <w:rsid w:val="008834B2"/>
    <w:rsid w:val="00883C03"/>
    <w:rsid w:val="0088505E"/>
    <w:rsid w:val="008856D0"/>
    <w:rsid w:val="00885937"/>
    <w:rsid w:val="00886ABB"/>
    <w:rsid w:val="00891426"/>
    <w:rsid w:val="00891915"/>
    <w:rsid w:val="008924C4"/>
    <w:rsid w:val="008953E3"/>
    <w:rsid w:val="00895606"/>
    <w:rsid w:val="00896575"/>
    <w:rsid w:val="0089676B"/>
    <w:rsid w:val="00896FCD"/>
    <w:rsid w:val="008A17AE"/>
    <w:rsid w:val="008A1DA7"/>
    <w:rsid w:val="008A2C6B"/>
    <w:rsid w:val="008A2F4A"/>
    <w:rsid w:val="008A3001"/>
    <w:rsid w:val="008A37D1"/>
    <w:rsid w:val="008A4047"/>
    <w:rsid w:val="008A43AB"/>
    <w:rsid w:val="008A4D97"/>
    <w:rsid w:val="008A51E8"/>
    <w:rsid w:val="008A6305"/>
    <w:rsid w:val="008A741D"/>
    <w:rsid w:val="008A74A1"/>
    <w:rsid w:val="008A7BFE"/>
    <w:rsid w:val="008B080D"/>
    <w:rsid w:val="008B1574"/>
    <w:rsid w:val="008B18E8"/>
    <w:rsid w:val="008B1A34"/>
    <w:rsid w:val="008B27C2"/>
    <w:rsid w:val="008B28B9"/>
    <w:rsid w:val="008B38E0"/>
    <w:rsid w:val="008B392A"/>
    <w:rsid w:val="008B410F"/>
    <w:rsid w:val="008B485F"/>
    <w:rsid w:val="008B49FA"/>
    <w:rsid w:val="008B4D45"/>
    <w:rsid w:val="008B4E6B"/>
    <w:rsid w:val="008B5424"/>
    <w:rsid w:val="008B5E7D"/>
    <w:rsid w:val="008B65EB"/>
    <w:rsid w:val="008B6693"/>
    <w:rsid w:val="008B675A"/>
    <w:rsid w:val="008C0FB1"/>
    <w:rsid w:val="008C11CB"/>
    <w:rsid w:val="008C19A2"/>
    <w:rsid w:val="008C45E8"/>
    <w:rsid w:val="008C4629"/>
    <w:rsid w:val="008C4704"/>
    <w:rsid w:val="008C56FC"/>
    <w:rsid w:val="008C58E6"/>
    <w:rsid w:val="008C6933"/>
    <w:rsid w:val="008D0E1E"/>
    <w:rsid w:val="008D1670"/>
    <w:rsid w:val="008D25F1"/>
    <w:rsid w:val="008D2D3A"/>
    <w:rsid w:val="008D3453"/>
    <w:rsid w:val="008D42CB"/>
    <w:rsid w:val="008D4FDF"/>
    <w:rsid w:val="008D5240"/>
    <w:rsid w:val="008D6139"/>
    <w:rsid w:val="008D6BAC"/>
    <w:rsid w:val="008D6F78"/>
    <w:rsid w:val="008D7FF7"/>
    <w:rsid w:val="008E0A21"/>
    <w:rsid w:val="008E0FE7"/>
    <w:rsid w:val="008E1D6F"/>
    <w:rsid w:val="008E2F39"/>
    <w:rsid w:val="008E3B86"/>
    <w:rsid w:val="008E3D5C"/>
    <w:rsid w:val="008E3DEC"/>
    <w:rsid w:val="008E428C"/>
    <w:rsid w:val="008E5287"/>
    <w:rsid w:val="008E60A1"/>
    <w:rsid w:val="008E612B"/>
    <w:rsid w:val="008E6459"/>
    <w:rsid w:val="008E742B"/>
    <w:rsid w:val="008E7E1E"/>
    <w:rsid w:val="008E7F03"/>
    <w:rsid w:val="008E7F07"/>
    <w:rsid w:val="008F00FF"/>
    <w:rsid w:val="008F019B"/>
    <w:rsid w:val="008F04BA"/>
    <w:rsid w:val="008F12EF"/>
    <w:rsid w:val="008F1D57"/>
    <w:rsid w:val="008F23DE"/>
    <w:rsid w:val="008F34DE"/>
    <w:rsid w:val="008F727D"/>
    <w:rsid w:val="008F7445"/>
    <w:rsid w:val="00901C60"/>
    <w:rsid w:val="00902C4B"/>
    <w:rsid w:val="00903CD7"/>
    <w:rsid w:val="00903E61"/>
    <w:rsid w:val="00903F9C"/>
    <w:rsid w:val="00905CE4"/>
    <w:rsid w:val="00906355"/>
    <w:rsid w:val="0090674A"/>
    <w:rsid w:val="00907A30"/>
    <w:rsid w:val="00907F68"/>
    <w:rsid w:val="0091118E"/>
    <w:rsid w:val="00911437"/>
    <w:rsid w:val="00911A2A"/>
    <w:rsid w:val="00912752"/>
    <w:rsid w:val="00912831"/>
    <w:rsid w:val="009136DE"/>
    <w:rsid w:val="00914E09"/>
    <w:rsid w:val="00915BBC"/>
    <w:rsid w:val="00916370"/>
    <w:rsid w:val="009205A0"/>
    <w:rsid w:val="0092126E"/>
    <w:rsid w:val="00922261"/>
    <w:rsid w:val="009225E3"/>
    <w:rsid w:val="00923273"/>
    <w:rsid w:val="00924160"/>
    <w:rsid w:val="009252AF"/>
    <w:rsid w:val="0092796B"/>
    <w:rsid w:val="0093034B"/>
    <w:rsid w:val="009308B2"/>
    <w:rsid w:val="00931FE4"/>
    <w:rsid w:val="0093207D"/>
    <w:rsid w:val="00932DAC"/>
    <w:rsid w:val="00933637"/>
    <w:rsid w:val="00933CDB"/>
    <w:rsid w:val="00934964"/>
    <w:rsid w:val="00934A45"/>
    <w:rsid w:val="00935C74"/>
    <w:rsid w:val="00935E04"/>
    <w:rsid w:val="00936843"/>
    <w:rsid w:val="00936D80"/>
    <w:rsid w:val="00937C49"/>
    <w:rsid w:val="00940076"/>
    <w:rsid w:val="00941B6C"/>
    <w:rsid w:val="00941CEE"/>
    <w:rsid w:val="00944E52"/>
    <w:rsid w:val="00945DCF"/>
    <w:rsid w:val="009467DC"/>
    <w:rsid w:val="00947DEC"/>
    <w:rsid w:val="00950107"/>
    <w:rsid w:val="0095111B"/>
    <w:rsid w:val="009519C8"/>
    <w:rsid w:val="00951B8F"/>
    <w:rsid w:val="00952136"/>
    <w:rsid w:val="009536CA"/>
    <w:rsid w:val="00953721"/>
    <w:rsid w:val="00953F7A"/>
    <w:rsid w:val="00954E1B"/>
    <w:rsid w:val="0095578D"/>
    <w:rsid w:val="0095630E"/>
    <w:rsid w:val="00957806"/>
    <w:rsid w:val="00957A7D"/>
    <w:rsid w:val="00960F9C"/>
    <w:rsid w:val="009610ED"/>
    <w:rsid w:val="009618B2"/>
    <w:rsid w:val="00961956"/>
    <w:rsid w:val="00961C57"/>
    <w:rsid w:val="00962CF0"/>
    <w:rsid w:val="009630D6"/>
    <w:rsid w:val="00963A6C"/>
    <w:rsid w:val="00964240"/>
    <w:rsid w:val="00964E04"/>
    <w:rsid w:val="0096509D"/>
    <w:rsid w:val="00965E4A"/>
    <w:rsid w:val="00966280"/>
    <w:rsid w:val="0097073A"/>
    <w:rsid w:val="0097179C"/>
    <w:rsid w:val="00971F02"/>
    <w:rsid w:val="009720D9"/>
    <w:rsid w:val="009721A1"/>
    <w:rsid w:val="00973FEC"/>
    <w:rsid w:val="0097568A"/>
    <w:rsid w:val="00980540"/>
    <w:rsid w:val="00980853"/>
    <w:rsid w:val="00981478"/>
    <w:rsid w:val="00981D84"/>
    <w:rsid w:val="00981E6F"/>
    <w:rsid w:val="00982998"/>
    <w:rsid w:val="00982C91"/>
    <w:rsid w:val="009838CD"/>
    <w:rsid w:val="0098718A"/>
    <w:rsid w:val="00987307"/>
    <w:rsid w:val="00990E38"/>
    <w:rsid w:val="00992458"/>
    <w:rsid w:val="00993D0C"/>
    <w:rsid w:val="00996087"/>
    <w:rsid w:val="00996D5E"/>
    <w:rsid w:val="00997695"/>
    <w:rsid w:val="009A0842"/>
    <w:rsid w:val="009A1213"/>
    <w:rsid w:val="009A1607"/>
    <w:rsid w:val="009A190B"/>
    <w:rsid w:val="009A1B47"/>
    <w:rsid w:val="009A2936"/>
    <w:rsid w:val="009A3564"/>
    <w:rsid w:val="009A3584"/>
    <w:rsid w:val="009A4565"/>
    <w:rsid w:val="009A4735"/>
    <w:rsid w:val="009A473B"/>
    <w:rsid w:val="009A47CD"/>
    <w:rsid w:val="009A4F54"/>
    <w:rsid w:val="009A5D24"/>
    <w:rsid w:val="009A6B3A"/>
    <w:rsid w:val="009A6E7A"/>
    <w:rsid w:val="009A7179"/>
    <w:rsid w:val="009A753C"/>
    <w:rsid w:val="009B0563"/>
    <w:rsid w:val="009B10D2"/>
    <w:rsid w:val="009B12D7"/>
    <w:rsid w:val="009B242F"/>
    <w:rsid w:val="009B2DEF"/>
    <w:rsid w:val="009B30D9"/>
    <w:rsid w:val="009B3240"/>
    <w:rsid w:val="009B4FF4"/>
    <w:rsid w:val="009B508D"/>
    <w:rsid w:val="009B607A"/>
    <w:rsid w:val="009C029E"/>
    <w:rsid w:val="009C19DD"/>
    <w:rsid w:val="009C4D5A"/>
    <w:rsid w:val="009C5CF0"/>
    <w:rsid w:val="009C6B9C"/>
    <w:rsid w:val="009D1C13"/>
    <w:rsid w:val="009D262C"/>
    <w:rsid w:val="009D2C7B"/>
    <w:rsid w:val="009D39E9"/>
    <w:rsid w:val="009D3A67"/>
    <w:rsid w:val="009D3BAD"/>
    <w:rsid w:val="009D4248"/>
    <w:rsid w:val="009D42E4"/>
    <w:rsid w:val="009D431F"/>
    <w:rsid w:val="009D4DBF"/>
    <w:rsid w:val="009D5DCA"/>
    <w:rsid w:val="009D6470"/>
    <w:rsid w:val="009D6CCA"/>
    <w:rsid w:val="009D71FE"/>
    <w:rsid w:val="009D7752"/>
    <w:rsid w:val="009E0181"/>
    <w:rsid w:val="009E02BC"/>
    <w:rsid w:val="009E02F2"/>
    <w:rsid w:val="009E08A4"/>
    <w:rsid w:val="009E0A94"/>
    <w:rsid w:val="009E151F"/>
    <w:rsid w:val="009E3636"/>
    <w:rsid w:val="009E45B3"/>
    <w:rsid w:val="009E480F"/>
    <w:rsid w:val="009E4B77"/>
    <w:rsid w:val="009E57DE"/>
    <w:rsid w:val="009E58A3"/>
    <w:rsid w:val="009E5AED"/>
    <w:rsid w:val="009E69B2"/>
    <w:rsid w:val="009E79A2"/>
    <w:rsid w:val="009E7A39"/>
    <w:rsid w:val="009E7B65"/>
    <w:rsid w:val="009F0591"/>
    <w:rsid w:val="009F0784"/>
    <w:rsid w:val="009F07DF"/>
    <w:rsid w:val="009F0F8E"/>
    <w:rsid w:val="009F29C8"/>
    <w:rsid w:val="009F2D9C"/>
    <w:rsid w:val="009F3FCD"/>
    <w:rsid w:val="009F42F5"/>
    <w:rsid w:val="009F4383"/>
    <w:rsid w:val="009F53AA"/>
    <w:rsid w:val="009F5906"/>
    <w:rsid w:val="009F6464"/>
    <w:rsid w:val="009F6EB1"/>
    <w:rsid w:val="009F7704"/>
    <w:rsid w:val="00A00F88"/>
    <w:rsid w:val="00A011F8"/>
    <w:rsid w:val="00A020D8"/>
    <w:rsid w:val="00A024A3"/>
    <w:rsid w:val="00A033B9"/>
    <w:rsid w:val="00A03887"/>
    <w:rsid w:val="00A05261"/>
    <w:rsid w:val="00A05A66"/>
    <w:rsid w:val="00A06530"/>
    <w:rsid w:val="00A06A29"/>
    <w:rsid w:val="00A07611"/>
    <w:rsid w:val="00A10D06"/>
    <w:rsid w:val="00A1165B"/>
    <w:rsid w:val="00A11953"/>
    <w:rsid w:val="00A12EA9"/>
    <w:rsid w:val="00A1383E"/>
    <w:rsid w:val="00A147E9"/>
    <w:rsid w:val="00A14907"/>
    <w:rsid w:val="00A152D7"/>
    <w:rsid w:val="00A16779"/>
    <w:rsid w:val="00A16963"/>
    <w:rsid w:val="00A176CD"/>
    <w:rsid w:val="00A17861"/>
    <w:rsid w:val="00A178E9"/>
    <w:rsid w:val="00A21524"/>
    <w:rsid w:val="00A21753"/>
    <w:rsid w:val="00A223BB"/>
    <w:rsid w:val="00A2251E"/>
    <w:rsid w:val="00A24428"/>
    <w:rsid w:val="00A244EE"/>
    <w:rsid w:val="00A24CD3"/>
    <w:rsid w:val="00A25920"/>
    <w:rsid w:val="00A26D17"/>
    <w:rsid w:val="00A26FA6"/>
    <w:rsid w:val="00A30169"/>
    <w:rsid w:val="00A3032E"/>
    <w:rsid w:val="00A30679"/>
    <w:rsid w:val="00A3097F"/>
    <w:rsid w:val="00A3184E"/>
    <w:rsid w:val="00A31CF9"/>
    <w:rsid w:val="00A33F0D"/>
    <w:rsid w:val="00A34644"/>
    <w:rsid w:val="00A349CA"/>
    <w:rsid w:val="00A35975"/>
    <w:rsid w:val="00A37588"/>
    <w:rsid w:val="00A376C4"/>
    <w:rsid w:val="00A37DCD"/>
    <w:rsid w:val="00A4098E"/>
    <w:rsid w:val="00A41D89"/>
    <w:rsid w:val="00A41D8A"/>
    <w:rsid w:val="00A42037"/>
    <w:rsid w:val="00A4309C"/>
    <w:rsid w:val="00A45153"/>
    <w:rsid w:val="00A47366"/>
    <w:rsid w:val="00A501CE"/>
    <w:rsid w:val="00A518FA"/>
    <w:rsid w:val="00A519E2"/>
    <w:rsid w:val="00A51AD0"/>
    <w:rsid w:val="00A52252"/>
    <w:rsid w:val="00A525DD"/>
    <w:rsid w:val="00A5374C"/>
    <w:rsid w:val="00A55221"/>
    <w:rsid w:val="00A56C4D"/>
    <w:rsid w:val="00A5754A"/>
    <w:rsid w:val="00A57756"/>
    <w:rsid w:val="00A60B3F"/>
    <w:rsid w:val="00A62517"/>
    <w:rsid w:val="00A62A33"/>
    <w:rsid w:val="00A62FA1"/>
    <w:rsid w:val="00A63BAD"/>
    <w:rsid w:val="00A63D62"/>
    <w:rsid w:val="00A63FAB"/>
    <w:rsid w:val="00A64D05"/>
    <w:rsid w:val="00A6639E"/>
    <w:rsid w:val="00A66CCF"/>
    <w:rsid w:val="00A67636"/>
    <w:rsid w:val="00A704C0"/>
    <w:rsid w:val="00A71DE7"/>
    <w:rsid w:val="00A72DEE"/>
    <w:rsid w:val="00A73927"/>
    <w:rsid w:val="00A73EB1"/>
    <w:rsid w:val="00A745B3"/>
    <w:rsid w:val="00A757C8"/>
    <w:rsid w:val="00A7653A"/>
    <w:rsid w:val="00A76F62"/>
    <w:rsid w:val="00A77633"/>
    <w:rsid w:val="00A77FCD"/>
    <w:rsid w:val="00A800EB"/>
    <w:rsid w:val="00A8038E"/>
    <w:rsid w:val="00A80707"/>
    <w:rsid w:val="00A810BB"/>
    <w:rsid w:val="00A813C0"/>
    <w:rsid w:val="00A814E7"/>
    <w:rsid w:val="00A81F6D"/>
    <w:rsid w:val="00A82394"/>
    <w:rsid w:val="00A84A0B"/>
    <w:rsid w:val="00A84BD0"/>
    <w:rsid w:val="00A85FAD"/>
    <w:rsid w:val="00A90B46"/>
    <w:rsid w:val="00A92567"/>
    <w:rsid w:val="00A9370D"/>
    <w:rsid w:val="00A94633"/>
    <w:rsid w:val="00A950AA"/>
    <w:rsid w:val="00A952EC"/>
    <w:rsid w:val="00A9571A"/>
    <w:rsid w:val="00A95D46"/>
    <w:rsid w:val="00AA04DD"/>
    <w:rsid w:val="00AA0704"/>
    <w:rsid w:val="00AA114D"/>
    <w:rsid w:val="00AA1401"/>
    <w:rsid w:val="00AA1906"/>
    <w:rsid w:val="00AA1DCA"/>
    <w:rsid w:val="00AA2055"/>
    <w:rsid w:val="00AA2D66"/>
    <w:rsid w:val="00AA3131"/>
    <w:rsid w:val="00AA34D4"/>
    <w:rsid w:val="00AA3D0A"/>
    <w:rsid w:val="00AA4281"/>
    <w:rsid w:val="00AA48EC"/>
    <w:rsid w:val="00AA4B44"/>
    <w:rsid w:val="00AA50DC"/>
    <w:rsid w:val="00AA5385"/>
    <w:rsid w:val="00AA66D7"/>
    <w:rsid w:val="00AA6997"/>
    <w:rsid w:val="00AA6AF7"/>
    <w:rsid w:val="00AA6E92"/>
    <w:rsid w:val="00AA708E"/>
    <w:rsid w:val="00AB0124"/>
    <w:rsid w:val="00AB0430"/>
    <w:rsid w:val="00AB2325"/>
    <w:rsid w:val="00AB3F61"/>
    <w:rsid w:val="00AB4E3E"/>
    <w:rsid w:val="00AB4F68"/>
    <w:rsid w:val="00AB5072"/>
    <w:rsid w:val="00AB545D"/>
    <w:rsid w:val="00AB5C5A"/>
    <w:rsid w:val="00AB6A7D"/>
    <w:rsid w:val="00AB71F9"/>
    <w:rsid w:val="00AB7752"/>
    <w:rsid w:val="00AC01E6"/>
    <w:rsid w:val="00AC0348"/>
    <w:rsid w:val="00AC042E"/>
    <w:rsid w:val="00AC0969"/>
    <w:rsid w:val="00AC0AE6"/>
    <w:rsid w:val="00AC0BC8"/>
    <w:rsid w:val="00AC18EF"/>
    <w:rsid w:val="00AC2926"/>
    <w:rsid w:val="00AC34D5"/>
    <w:rsid w:val="00AC385D"/>
    <w:rsid w:val="00AC3DAA"/>
    <w:rsid w:val="00AC46FF"/>
    <w:rsid w:val="00AC5470"/>
    <w:rsid w:val="00AC54CF"/>
    <w:rsid w:val="00AC66CA"/>
    <w:rsid w:val="00AC6833"/>
    <w:rsid w:val="00AC697E"/>
    <w:rsid w:val="00AC6D96"/>
    <w:rsid w:val="00AC7C8D"/>
    <w:rsid w:val="00AD0EA5"/>
    <w:rsid w:val="00AD1BB8"/>
    <w:rsid w:val="00AD1FCF"/>
    <w:rsid w:val="00AD3272"/>
    <w:rsid w:val="00AD3387"/>
    <w:rsid w:val="00AD3680"/>
    <w:rsid w:val="00AD388F"/>
    <w:rsid w:val="00AD5F7C"/>
    <w:rsid w:val="00AD62F7"/>
    <w:rsid w:val="00AD71B2"/>
    <w:rsid w:val="00AD7467"/>
    <w:rsid w:val="00AD75A4"/>
    <w:rsid w:val="00AE0128"/>
    <w:rsid w:val="00AE055C"/>
    <w:rsid w:val="00AE1048"/>
    <w:rsid w:val="00AE1BC8"/>
    <w:rsid w:val="00AE20B0"/>
    <w:rsid w:val="00AE2994"/>
    <w:rsid w:val="00AE31BD"/>
    <w:rsid w:val="00AE3D1C"/>
    <w:rsid w:val="00AE3F46"/>
    <w:rsid w:val="00AE4459"/>
    <w:rsid w:val="00AE5EB0"/>
    <w:rsid w:val="00AE731B"/>
    <w:rsid w:val="00AF0F7A"/>
    <w:rsid w:val="00AF20DA"/>
    <w:rsid w:val="00AF32E7"/>
    <w:rsid w:val="00AF3DBA"/>
    <w:rsid w:val="00AF3E0F"/>
    <w:rsid w:val="00AF4C20"/>
    <w:rsid w:val="00AF5D4B"/>
    <w:rsid w:val="00AF5E54"/>
    <w:rsid w:val="00AF7C4A"/>
    <w:rsid w:val="00AF7EBA"/>
    <w:rsid w:val="00B00298"/>
    <w:rsid w:val="00B00C1D"/>
    <w:rsid w:val="00B00C60"/>
    <w:rsid w:val="00B0175E"/>
    <w:rsid w:val="00B017D2"/>
    <w:rsid w:val="00B02712"/>
    <w:rsid w:val="00B0376B"/>
    <w:rsid w:val="00B0448C"/>
    <w:rsid w:val="00B046F8"/>
    <w:rsid w:val="00B0603A"/>
    <w:rsid w:val="00B0626E"/>
    <w:rsid w:val="00B06E3D"/>
    <w:rsid w:val="00B07C28"/>
    <w:rsid w:val="00B11480"/>
    <w:rsid w:val="00B11703"/>
    <w:rsid w:val="00B11AA3"/>
    <w:rsid w:val="00B1235E"/>
    <w:rsid w:val="00B12792"/>
    <w:rsid w:val="00B12B6C"/>
    <w:rsid w:val="00B14058"/>
    <w:rsid w:val="00B1585D"/>
    <w:rsid w:val="00B15B5C"/>
    <w:rsid w:val="00B16E84"/>
    <w:rsid w:val="00B16F6C"/>
    <w:rsid w:val="00B17382"/>
    <w:rsid w:val="00B174F1"/>
    <w:rsid w:val="00B201BD"/>
    <w:rsid w:val="00B202E1"/>
    <w:rsid w:val="00B208D8"/>
    <w:rsid w:val="00B21A7B"/>
    <w:rsid w:val="00B248A3"/>
    <w:rsid w:val="00B2514F"/>
    <w:rsid w:val="00B258C1"/>
    <w:rsid w:val="00B259DB"/>
    <w:rsid w:val="00B259DF"/>
    <w:rsid w:val="00B26DBB"/>
    <w:rsid w:val="00B27641"/>
    <w:rsid w:val="00B317E4"/>
    <w:rsid w:val="00B320DB"/>
    <w:rsid w:val="00B32D9D"/>
    <w:rsid w:val="00B330E7"/>
    <w:rsid w:val="00B33DD8"/>
    <w:rsid w:val="00B34E3A"/>
    <w:rsid w:val="00B35438"/>
    <w:rsid w:val="00B35BB7"/>
    <w:rsid w:val="00B35C04"/>
    <w:rsid w:val="00B35CE7"/>
    <w:rsid w:val="00B378F7"/>
    <w:rsid w:val="00B41AEE"/>
    <w:rsid w:val="00B421FE"/>
    <w:rsid w:val="00B43814"/>
    <w:rsid w:val="00B44B83"/>
    <w:rsid w:val="00B458F2"/>
    <w:rsid w:val="00B46F80"/>
    <w:rsid w:val="00B4747E"/>
    <w:rsid w:val="00B4766D"/>
    <w:rsid w:val="00B50274"/>
    <w:rsid w:val="00B50851"/>
    <w:rsid w:val="00B50F8A"/>
    <w:rsid w:val="00B51EC8"/>
    <w:rsid w:val="00B54415"/>
    <w:rsid w:val="00B5459D"/>
    <w:rsid w:val="00B54F8A"/>
    <w:rsid w:val="00B5562B"/>
    <w:rsid w:val="00B55E5E"/>
    <w:rsid w:val="00B56DAF"/>
    <w:rsid w:val="00B5759C"/>
    <w:rsid w:val="00B618AE"/>
    <w:rsid w:val="00B61B37"/>
    <w:rsid w:val="00B63030"/>
    <w:rsid w:val="00B6304F"/>
    <w:rsid w:val="00B64E5C"/>
    <w:rsid w:val="00B6569F"/>
    <w:rsid w:val="00B67328"/>
    <w:rsid w:val="00B67EB4"/>
    <w:rsid w:val="00B7066D"/>
    <w:rsid w:val="00B715DE"/>
    <w:rsid w:val="00B716D7"/>
    <w:rsid w:val="00B71DEC"/>
    <w:rsid w:val="00B71FBB"/>
    <w:rsid w:val="00B72934"/>
    <w:rsid w:val="00B72D3D"/>
    <w:rsid w:val="00B72EC9"/>
    <w:rsid w:val="00B7307B"/>
    <w:rsid w:val="00B7308B"/>
    <w:rsid w:val="00B736E9"/>
    <w:rsid w:val="00B77C94"/>
    <w:rsid w:val="00B809A8"/>
    <w:rsid w:val="00B80DF1"/>
    <w:rsid w:val="00B810BB"/>
    <w:rsid w:val="00B81344"/>
    <w:rsid w:val="00B81748"/>
    <w:rsid w:val="00B81A31"/>
    <w:rsid w:val="00B8289D"/>
    <w:rsid w:val="00B8369D"/>
    <w:rsid w:val="00B842C9"/>
    <w:rsid w:val="00B8478B"/>
    <w:rsid w:val="00B84D66"/>
    <w:rsid w:val="00B85808"/>
    <w:rsid w:val="00B8636E"/>
    <w:rsid w:val="00B8652F"/>
    <w:rsid w:val="00B87ABF"/>
    <w:rsid w:val="00B91076"/>
    <w:rsid w:val="00B92629"/>
    <w:rsid w:val="00B92759"/>
    <w:rsid w:val="00B92A15"/>
    <w:rsid w:val="00B931F5"/>
    <w:rsid w:val="00B93348"/>
    <w:rsid w:val="00B93CC8"/>
    <w:rsid w:val="00B94220"/>
    <w:rsid w:val="00B94674"/>
    <w:rsid w:val="00B95125"/>
    <w:rsid w:val="00B95AED"/>
    <w:rsid w:val="00B95CAD"/>
    <w:rsid w:val="00B96254"/>
    <w:rsid w:val="00B96267"/>
    <w:rsid w:val="00B96517"/>
    <w:rsid w:val="00B96A9A"/>
    <w:rsid w:val="00B97202"/>
    <w:rsid w:val="00BA04F9"/>
    <w:rsid w:val="00BA06C0"/>
    <w:rsid w:val="00BA144A"/>
    <w:rsid w:val="00BA227D"/>
    <w:rsid w:val="00BA2522"/>
    <w:rsid w:val="00BA2AC4"/>
    <w:rsid w:val="00BA2E48"/>
    <w:rsid w:val="00BA31CB"/>
    <w:rsid w:val="00BA41AD"/>
    <w:rsid w:val="00BA4829"/>
    <w:rsid w:val="00BA5726"/>
    <w:rsid w:val="00BA5B2F"/>
    <w:rsid w:val="00BA5E73"/>
    <w:rsid w:val="00BA6CBA"/>
    <w:rsid w:val="00BB04E4"/>
    <w:rsid w:val="00BB0965"/>
    <w:rsid w:val="00BB0CD1"/>
    <w:rsid w:val="00BB34B4"/>
    <w:rsid w:val="00BB380E"/>
    <w:rsid w:val="00BB485C"/>
    <w:rsid w:val="00BB5BF7"/>
    <w:rsid w:val="00BB66BC"/>
    <w:rsid w:val="00BB6757"/>
    <w:rsid w:val="00BB7A95"/>
    <w:rsid w:val="00BC195F"/>
    <w:rsid w:val="00BC19A8"/>
    <w:rsid w:val="00BC216F"/>
    <w:rsid w:val="00BC32E5"/>
    <w:rsid w:val="00BC6492"/>
    <w:rsid w:val="00BC6C15"/>
    <w:rsid w:val="00BC6CB5"/>
    <w:rsid w:val="00BC6F16"/>
    <w:rsid w:val="00BD02BD"/>
    <w:rsid w:val="00BD03A4"/>
    <w:rsid w:val="00BD0BF3"/>
    <w:rsid w:val="00BD14B9"/>
    <w:rsid w:val="00BD1DBA"/>
    <w:rsid w:val="00BD21E5"/>
    <w:rsid w:val="00BD2326"/>
    <w:rsid w:val="00BD3604"/>
    <w:rsid w:val="00BD41E2"/>
    <w:rsid w:val="00BD455B"/>
    <w:rsid w:val="00BD4BB4"/>
    <w:rsid w:val="00BD5EAD"/>
    <w:rsid w:val="00BD60ED"/>
    <w:rsid w:val="00BD64AF"/>
    <w:rsid w:val="00BD6B8A"/>
    <w:rsid w:val="00BD6C33"/>
    <w:rsid w:val="00BD6DFF"/>
    <w:rsid w:val="00BD7576"/>
    <w:rsid w:val="00BE12C9"/>
    <w:rsid w:val="00BE1D7B"/>
    <w:rsid w:val="00BE20A7"/>
    <w:rsid w:val="00BE3268"/>
    <w:rsid w:val="00BE42B2"/>
    <w:rsid w:val="00BE4398"/>
    <w:rsid w:val="00BE43F5"/>
    <w:rsid w:val="00BE44F1"/>
    <w:rsid w:val="00BE51DF"/>
    <w:rsid w:val="00BE7443"/>
    <w:rsid w:val="00BE76C5"/>
    <w:rsid w:val="00BF18AF"/>
    <w:rsid w:val="00BF1CB1"/>
    <w:rsid w:val="00BF1E11"/>
    <w:rsid w:val="00BF24D2"/>
    <w:rsid w:val="00BF26E4"/>
    <w:rsid w:val="00BF2D89"/>
    <w:rsid w:val="00BF3CFE"/>
    <w:rsid w:val="00BF420C"/>
    <w:rsid w:val="00BF48C9"/>
    <w:rsid w:val="00BF4A6C"/>
    <w:rsid w:val="00BF4C51"/>
    <w:rsid w:val="00BF503C"/>
    <w:rsid w:val="00BF598C"/>
    <w:rsid w:val="00C01050"/>
    <w:rsid w:val="00C015E6"/>
    <w:rsid w:val="00C01C0E"/>
    <w:rsid w:val="00C02A32"/>
    <w:rsid w:val="00C02D09"/>
    <w:rsid w:val="00C042FD"/>
    <w:rsid w:val="00C044CE"/>
    <w:rsid w:val="00C04906"/>
    <w:rsid w:val="00C04B9E"/>
    <w:rsid w:val="00C04F27"/>
    <w:rsid w:val="00C05657"/>
    <w:rsid w:val="00C062B2"/>
    <w:rsid w:val="00C062B6"/>
    <w:rsid w:val="00C06576"/>
    <w:rsid w:val="00C06B45"/>
    <w:rsid w:val="00C07687"/>
    <w:rsid w:val="00C07ED1"/>
    <w:rsid w:val="00C1024E"/>
    <w:rsid w:val="00C1122E"/>
    <w:rsid w:val="00C13ABB"/>
    <w:rsid w:val="00C148AE"/>
    <w:rsid w:val="00C17DFC"/>
    <w:rsid w:val="00C17DFD"/>
    <w:rsid w:val="00C203F5"/>
    <w:rsid w:val="00C20490"/>
    <w:rsid w:val="00C21D4D"/>
    <w:rsid w:val="00C21D8C"/>
    <w:rsid w:val="00C2277F"/>
    <w:rsid w:val="00C22C5F"/>
    <w:rsid w:val="00C2308A"/>
    <w:rsid w:val="00C23B90"/>
    <w:rsid w:val="00C24248"/>
    <w:rsid w:val="00C24AA5"/>
    <w:rsid w:val="00C24D9F"/>
    <w:rsid w:val="00C27324"/>
    <w:rsid w:val="00C27E39"/>
    <w:rsid w:val="00C303A6"/>
    <w:rsid w:val="00C3046D"/>
    <w:rsid w:val="00C30D19"/>
    <w:rsid w:val="00C30F63"/>
    <w:rsid w:val="00C3126F"/>
    <w:rsid w:val="00C31842"/>
    <w:rsid w:val="00C327D2"/>
    <w:rsid w:val="00C32F74"/>
    <w:rsid w:val="00C33443"/>
    <w:rsid w:val="00C33FD2"/>
    <w:rsid w:val="00C35008"/>
    <w:rsid w:val="00C35B25"/>
    <w:rsid w:val="00C35C40"/>
    <w:rsid w:val="00C35D9B"/>
    <w:rsid w:val="00C35F14"/>
    <w:rsid w:val="00C3714C"/>
    <w:rsid w:val="00C41151"/>
    <w:rsid w:val="00C4135C"/>
    <w:rsid w:val="00C45F55"/>
    <w:rsid w:val="00C4625D"/>
    <w:rsid w:val="00C465A4"/>
    <w:rsid w:val="00C46FFD"/>
    <w:rsid w:val="00C47682"/>
    <w:rsid w:val="00C47B50"/>
    <w:rsid w:val="00C47FC6"/>
    <w:rsid w:val="00C5031D"/>
    <w:rsid w:val="00C5067A"/>
    <w:rsid w:val="00C50CF1"/>
    <w:rsid w:val="00C52500"/>
    <w:rsid w:val="00C52BED"/>
    <w:rsid w:val="00C52DF6"/>
    <w:rsid w:val="00C54295"/>
    <w:rsid w:val="00C54C7C"/>
    <w:rsid w:val="00C5506B"/>
    <w:rsid w:val="00C55430"/>
    <w:rsid w:val="00C5616B"/>
    <w:rsid w:val="00C5624E"/>
    <w:rsid w:val="00C56D1C"/>
    <w:rsid w:val="00C56FE5"/>
    <w:rsid w:val="00C60DCF"/>
    <w:rsid w:val="00C60DFC"/>
    <w:rsid w:val="00C62028"/>
    <w:rsid w:val="00C6226E"/>
    <w:rsid w:val="00C62436"/>
    <w:rsid w:val="00C632FD"/>
    <w:rsid w:val="00C63346"/>
    <w:rsid w:val="00C63409"/>
    <w:rsid w:val="00C64095"/>
    <w:rsid w:val="00C64749"/>
    <w:rsid w:val="00C64FFA"/>
    <w:rsid w:val="00C668B5"/>
    <w:rsid w:val="00C66FFA"/>
    <w:rsid w:val="00C67CDA"/>
    <w:rsid w:val="00C705B2"/>
    <w:rsid w:val="00C70CF2"/>
    <w:rsid w:val="00C71140"/>
    <w:rsid w:val="00C71407"/>
    <w:rsid w:val="00C71516"/>
    <w:rsid w:val="00C72720"/>
    <w:rsid w:val="00C73D3C"/>
    <w:rsid w:val="00C7411A"/>
    <w:rsid w:val="00C74A16"/>
    <w:rsid w:val="00C75970"/>
    <w:rsid w:val="00C769F4"/>
    <w:rsid w:val="00C77F04"/>
    <w:rsid w:val="00C804E1"/>
    <w:rsid w:val="00C8110C"/>
    <w:rsid w:val="00C82994"/>
    <w:rsid w:val="00C82B02"/>
    <w:rsid w:val="00C83BA2"/>
    <w:rsid w:val="00C83CED"/>
    <w:rsid w:val="00C855DC"/>
    <w:rsid w:val="00C85A13"/>
    <w:rsid w:val="00C8739C"/>
    <w:rsid w:val="00C87EBA"/>
    <w:rsid w:val="00C90E54"/>
    <w:rsid w:val="00C92BF2"/>
    <w:rsid w:val="00C93955"/>
    <w:rsid w:val="00C94137"/>
    <w:rsid w:val="00C946E8"/>
    <w:rsid w:val="00C949C9"/>
    <w:rsid w:val="00C95150"/>
    <w:rsid w:val="00C956ED"/>
    <w:rsid w:val="00C964AC"/>
    <w:rsid w:val="00C96C9C"/>
    <w:rsid w:val="00C97635"/>
    <w:rsid w:val="00CA0117"/>
    <w:rsid w:val="00CA06D5"/>
    <w:rsid w:val="00CA0AEA"/>
    <w:rsid w:val="00CA105E"/>
    <w:rsid w:val="00CA1274"/>
    <w:rsid w:val="00CA13B4"/>
    <w:rsid w:val="00CA1BB5"/>
    <w:rsid w:val="00CA24BF"/>
    <w:rsid w:val="00CA37B8"/>
    <w:rsid w:val="00CA4224"/>
    <w:rsid w:val="00CA497A"/>
    <w:rsid w:val="00CA5322"/>
    <w:rsid w:val="00CA65D2"/>
    <w:rsid w:val="00CA6D4D"/>
    <w:rsid w:val="00CA7068"/>
    <w:rsid w:val="00CA7226"/>
    <w:rsid w:val="00CA7595"/>
    <w:rsid w:val="00CB1556"/>
    <w:rsid w:val="00CB16AC"/>
    <w:rsid w:val="00CB2760"/>
    <w:rsid w:val="00CB2869"/>
    <w:rsid w:val="00CB35BF"/>
    <w:rsid w:val="00CB370E"/>
    <w:rsid w:val="00CB3721"/>
    <w:rsid w:val="00CB41B0"/>
    <w:rsid w:val="00CB435A"/>
    <w:rsid w:val="00CB49E3"/>
    <w:rsid w:val="00CB5BB3"/>
    <w:rsid w:val="00CB5FB2"/>
    <w:rsid w:val="00CB72BD"/>
    <w:rsid w:val="00CB77BC"/>
    <w:rsid w:val="00CB7826"/>
    <w:rsid w:val="00CB7C31"/>
    <w:rsid w:val="00CC13FA"/>
    <w:rsid w:val="00CC1487"/>
    <w:rsid w:val="00CC28F3"/>
    <w:rsid w:val="00CC38EA"/>
    <w:rsid w:val="00CC44F8"/>
    <w:rsid w:val="00CC47DE"/>
    <w:rsid w:val="00CC6F33"/>
    <w:rsid w:val="00CD0DBD"/>
    <w:rsid w:val="00CD1849"/>
    <w:rsid w:val="00CD1915"/>
    <w:rsid w:val="00CD1E0C"/>
    <w:rsid w:val="00CD27FC"/>
    <w:rsid w:val="00CD3879"/>
    <w:rsid w:val="00CD4AB8"/>
    <w:rsid w:val="00CD76A2"/>
    <w:rsid w:val="00CD783D"/>
    <w:rsid w:val="00CD7CAF"/>
    <w:rsid w:val="00CD7DC9"/>
    <w:rsid w:val="00CE06AD"/>
    <w:rsid w:val="00CE1EF0"/>
    <w:rsid w:val="00CE295A"/>
    <w:rsid w:val="00CE346F"/>
    <w:rsid w:val="00CE397C"/>
    <w:rsid w:val="00CE3AB0"/>
    <w:rsid w:val="00CE3DB6"/>
    <w:rsid w:val="00CE412D"/>
    <w:rsid w:val="00CE5C95"/>
    <w:rsid w:val="00CE5F23"/>
    <w:rsid w:val="00CE5F4D"/>
    <w:rsid w:val="00CE6147"/>
    <w:rsid w:val="00CE63C8"/>
    <w:rsid w:val="00CE734C"/>
    <w:rsid w:val="00CF0A2A"/>
    <w:rsid w:val="00CF3695"/>
    <w:rsid w:val="00CF37D1"/>
    <w:rsid w:val="00CF4820"/>
    <w:rsid w:val="00CF54E9"/>
    <w:rsid w:val="00CF585F"/>
    <w:rsid w:val="00CF7206"/>
    <w:rsid w:val="00CF7328"/>
    <w:rsid w:val="00CF7700"/>
    <w:rsid w:val="00CF7AD1"/>
    <w:rsid w:val="00CF7E47"/>
    <w:rsid w:val="00D0049A"/>
    <w:rsid w:val="00D00C70"/>
    <w:rsid w:val="00D0176B"/>
    <w:rsid w:val="00D0377B"/>
    <w:rsid w:val="00D03B9F"/>
    <w:rsid w:val="00D05B1F"/>
    <w:rsid w:val="00D06ECA"/>
    <w:rsid w:val="00D074DC"/>
    <w:rsid w:val="00D07D80"/>
    <w:rsid w:val="00D07ED0"/>
    <w:rsid w:val="00D10473"/>
    <w:rsid w:val="00D110C5"/>
    <w:rsid w:val="00D12B48"/>
    <w:rsid w:val="00D12F78"/>
    <w:rsid w:val="00D13E70"/>
    <w:rsid w:val="00D14DAA"/>
    <w:rsid w:val="00D15496"/>
    <w:rsid w:val="00D15DE3"/>
    <w:rsid w:val="00D16DA2"/>
    <w:rsid w:val="00D16FAB"/>
    <w:rsid w:val="00D17795"/>
    <w:rsid w:val="00D17F78"/>
    <w:rsid w:val="00D20618"/>
    <w:rsid w:val="00D20A67"/>
    <w:rsid w:val="00D210E8"/>
    <w:rsid w:val="00D23099"/>
    <w:rsid w:val="00D2399C"/>
    <w:rsid w:val="00D24392"/>
    <w:rsid w:val="00D24659"/>
    <w:rsid w:val="00D267BF"/>
    <w:rsid w:val="00D26C45"/>
    <w:rsid w:val="00D27087"/>
    <w:rsid w:val="00D2758E"/>
    <w:rsid w:val="00D27E29"/>
    <w:rsid w:val="00D30BB3"/>
    <w:rsid w:val="00D31AFA"/>
    <w:rsid w:val="00D33569"/>
    <w:rsid w:val="00D336A8"/>
    <w:rsid w:val="00D3434C"/>
    <w:rsid w:val="00D34C49"/>
    <w:rsid w:val="00D35B31"/>
    <w:rsid w:val="00D37540"/>
    <w:rsid w:val="00D37A33"/>
    <w:rsid w:val="00D4060A"/>
    <w:rsid w:val="00D41148"/>
    <w:rsid w:val="00D44042"/>
    <w:rsid w:val="00D44C16"/>
    <w:rsid w:val="00D44C94"/>
    <w:rsid w:val="00D45024"/>
    <w:rsid w:val="00D45048"/>
    <w:rsid w:val="00D45D59"/>
    <w:rsid w:val="00D4744F"/>
    <w:rsid w:val="00D476C2"/>
    <w:rsid w:val="00D476EA"/>
    <w:rsid w:val="00D5189D"/>
    <w:rsid w:val="00D51E5D"/>
    <w:rsid w:val="00D52B90"/>
    <w:rsid w:val="00D55522"/>
    <w:rsid w:val="00D55648"/>
    <w:rsid w:val="00D55C1F"/>
    <w:rsid w:val="00D5763E"/>
    <w:rsid w:val="00D57965"/>
    <w:rsid w:val="00D57B0E"/>
    <w:rsid w:val="00D57CEA"/>
    <w:rsid w:val="00D6002E"/>
    <w:rsid w:val="00D600B8"/>
    <w:rsid w:val="00D60FE0"/>
    <w:rsid w:val="00D622C2"/>
    <w:rsid w:val="00D62F57"/>
    <w:rsid w:val="00D63073"/>
    <w:rsid w:val="00D632C9"/>
    <w:rsid w:val="00D63F7A"/>
    <w:rsid w:val="00D6589A"/>
    <w:rsid w:val="00D66AF3"/>
    <w:rsid w:val="00D678D9"/>
    <w:rsid w:val="00D67FCE"/>
    <w:rsid w:val="00D703BE"/>
    <w:rsid w:val="00D7043B"/>
    <w:rsid w:val="00D705FD"/>
    <w:rsid w:val="00D72120"/>
    <w:rsid w:val="00D7214B"/>
    <w:rsid w:val="00D7492C"/>
    <w:rsid w:val="00D75ADD"/>
    <w:rsid w:val="00D769F4"/>
    <w:rsid w:val="00D76E20"/>
    <w:rsid w:val="00D77C69"/>
    <w:rsid w:val="00D82955"/>
    <w:rsid w:val="00D82AEF"/>
    <w:rsid w:val="00D84530"/>
    <w:rsid w:val="00D87498"/>
    <w:rsid w:val="00D878B1"/>
    <w:rsid w:val="00D87A95"/>
    <w:rsid w:val="00D87E75"/>
    <w:rsid w:val="00D905E9"/>
    <w:rsid w:val="00D90C3F"/>
    <w:rsid w:val="00D92244"/>
    <w:rsid w:val="00D9246A"/>
    <w:rsid w:val="00D92E82"/>
    <w:rsid w:val="00D9339A"/>
    <w:rsid w:val="00D940E0"/>
    <w:rsid w:val="00D956F0"/>
    <w:rsid w:val="00D95AEC"/>
    <w:rsid w:val="00D95E54"/>
    <w:rsid w:val="00D964A4"/>
    <w:rsid w:val="00D965F0"/>
    <w:rsid w:val="00D96E77"/>
    <w:rsid w:val="00D977C6"/>
    <w:rsid w:val="00DA13AE"/>
    <w:rsid w:val="00DA1EF4"/>
    <w:rsid w:val="00DA2B09"/>
    <w:rsid w:val="00DA38B3"/>
    <w:rsid w:val="00DA3B0C"/>
    <w:rsid w:val="00DA4A61"/>
    <w:rsid w:val="00DA553D"/>
    <w:rsid w:val="00DA556F"/>
    <w:rsid w:val="00DA5B0C"/>
    <w:rsid w:val="00DA66A1"/>
    <w:rsid w:val="00DA7701"/>
    <w:rsid w:val="00DB0014"/>
    <w:rsid w:val="00DB0711"/>
    <w:rsid w:val="00DB155D"/>
    <w:rsid w:val="00DB1E67"/>
    <w:rsid w:val="00DB288C"/>
    <w:rsid w:val="00DB296B"/>
    <w:rsid w:val="00DB3403"/>
    <w:rsid w:val="00DB36C2"/>
    <w:rsid w:val="00DB37E7"/>
    <w:rsid w:val="00DB3872"/>
    <w:rsid w:val="00DB442D"/>
    <w:rsid w:val="00DB4C78"/>
    <w:rsid w:val="00DB66C2"/>
    <w:rsid w:val="00DB6B06"/>
    <w:rsid w:val="00DB761C"/>
    <w:rsid w:val="00DB7BBF"/>
    <w:rsid w:val="00DB7D6B"/>
    <w:rsid w:val="00DB7FAC"/>
    <w:rsid w:val="00DB7FC9"/>
    <w:rsid w:val="00DC098C"/>
    <w:rsid w:val="00DC09BC"/>
    <w:rsid w:val="00DC101A"/>
    <w:rsid w:val="00DC196C"/>
    <w:rsid w:val="00DC1ECE"/>
    <w:rsid w:val="00DC2A0F"/>
    <w:rsid w:val="00DC2BEF"/>
    <w:rsid w:val="00DC3C93"/>
    <w:rsid w:val="00DC45CF"/>
    <w:rsid w:val="00DC50E9"/>
    <w:rsid w:val="00DC6A01"/>
    <w:rsid w:val="00DC7B49"/>
    <w:rsid w:val="00DD032B"/>
    <w:rsid w:val="00DD131B"/>
    <w:rsid w:val="00DD15CB"/>
    <w:rsid w:val="00DD161E"/>
    <w:rsid w:val="00DD1A9D"/>
    <w:rsid w:val="00DD273B"/>
    <w:rsid w:val="00DD2C8B"/>
    <w:rsid w:val="00DD2F42"/>
    <w:rsid w:val="00DD397B"/>
    <w:rsid w:val="00DD398B"/>
    <w:rsid w:val="00DD3F00"/>
    <w:rsid w:val="00DD5BFC"/>
    <w:rsid w:val="00DD5FB7"/>
    <w:rsid w:val="00DD7BC7"/>
    <w:rsid w:val="00DE0204"/>
    <w:rsid w:val="00DE0944"/>
    <w:rsid w:val="00DE2A87"/>
    <w:rsid w:val="00DE2EB6"/>
    <w:rsid w:val="00DE4690"/>
    <w:rsid w:val="00DE47FA"/>
    <w:rsid w:val="00DE68D5"/>
    <w:rsid w:val="00DE6A2E"/>
    <w:rsid w:val="00DE7B0F"/>
    <w:rsid w:val="00DF0657"/>
    <w:rsid w:val="00DF0F91"/>
    <w:rsid w:val="00DF18A4"/>
    <w:rsid w:val="00DF1FD3"/>
    <w:rsid w:val="00DF2D75"/>
    <w:rsid w:val="00DF31DA"/>
    <w:rsid w:val="00DF3856"/>
    <w:rsid w:val="00DF552A"/>
    <w:rsid w:val="00DF5AF5"/>
    <w:rsid w:val="00DF6C1A"/>
    <w:rsid w:val="00DF708C"/>
    <w:rsid w:val="00E004C5"/>
    <w:rsid w:val="00E00FDD"/>
    <w:rsid w:val="00E04766"/>
    <w:rsid w:val="00E06115"/>
    <w:rsid w:val="00E062C5"/>
    <w:rsid w:val="00E06416"/>
    <w:rsid w:val="00E10F25"/>
    <w:rsid w:val="00E11016"/>
    <w:rsid w:val="00E12257"/>
    <w:rsid w:val="00E13367"/>
    <w:rsid w:val="00E133BA"/>
    <w:rsid w:val="00E1342A"/>
    <w:rsid w:val="00E15EBA"/>
    <w:rsid w:val="00E1695F"/>
    <w:rsid w:val="00E17A98"/>
    <w:rsid w:val="00E20127"/>
    <w:rsid w:val="00E208FA"/>
    <w:rsid w:val="00E20952"/>
    <w:rsid w:val="00E21B6C"/>
    <w:rsid w:val="00E23B29"/>
    <w:rsid w:val="00E23E2D"/>
    <w:rsid w:val="00E25A5C"/>
    <w:rsid w:val="00E269F5"/>
    <w:rsid w:val="00E26B2F"/>
    <w:rsid w:val="00E272D7"/>
    <w:rsid w:val="00E31597"/>
    <w:rsid w:val="00E31ADF"/>
    <w:rsid w:val="00E33963"/>
    <w:rsid w:val="00E339A7"/>
    <w:rsid w:val="00E33CCF"/>
    <w:rsid w:val="00E362CF"/>
    <w:rsid w:val="00E37434"/>
    <w:rsid w:val="00E37B94"/>
    <w:rsid w:val="00E37DDB"/>
    <w:rsid w:val="00E40940"/>
    <w:rsid w:val="00E411D3"/>
    <w:rsid w:val="00E41730"/>
    <w:rsid w:val="00E43A25"/>
    <w:rsid w:val="00E441B2"/>
    <w:rsid w:val="00E442C6"/>
    <w:rsid w:val="00E45F0E"/>
    <w:rsid w:val="00E45FB4"/>
    <w:rsid w:val="00E473F7"/>
    <w:rsid w:val="00E4796F"/>
    <w:rsid w:val="00E507DD"/>
    <w:rsid w:val="00E5090C"/>
    <w:rsid w:val="00E5091B"/>
    <w:rsid w:val="00E509B9"/>
    <w:rsid w:val="00E50CD1"/>
    <w:rsid w:val="00E50E1F"/>
    <w:rsid w:val="00E50EB6"/>
    <w:rsid w:val="00E511C8"/>
    <w:rsid w:val="00E518E0"/>
    <w:rsid w:val="00E51F02"/>
    <w:rsid w:val="00E52F0C"/>
    <w:rsid w:val="00E53A05"/>
    <w:rsid w:val="00E53E17"/>
    <w:rsid w:val="00E54B9F"/>
    <w:rsid w:val="00E55791"/>
    <w:rsid w:val="00E5588F"/>
    <w:rsid w:val="00E5600C"/>
    <w:rsid w:val="00E566AB"/>
    <w:rsid w:val="00E579EE"/>
    <w:rsid w:val="00E57E6A"/>
    <w:rsid w:val="00E605DC"/>
    <w:rsid w:val="00E60CDD"/>
    <w:rsid w:val="00E60EAB"/>
    <w:rsid w:val="00E61ECD"/>
    <w:rsid w:val="00E624AA"/>
    <w:rsid w:val="00E62D4B"/>
    <w:rsid w:val="00E63082"/>
    <w:rsid w:val="00E6407A"/>
    <w:rsid w:val="00E65ECC"/>
    <w:rsid w:val="00E66977"/>
    <w:rsid w:val="00E66BDC"/>
    <w:rsid w:val="00E6788F"/>
    <w:rsid w:val="00E700ED"/>
    <w:rsid w:val="00E70277"/>
    <w:rsid w:val="00E70492"/>
    <w:rsid w:val="00E70525"/>
    <w:rsid w:val="00E709A9"/>
    <w:rsid w:val="00E71CD6"/>
    <w:rsid w:val="00E72B17"/>
    <w:rsid w:val="00E74AAD"/>
    <w:rsid w:val="00E74DFE"/>
    <w:rsid w:val="00E75544"/>
    <w:rsid w:val="00E755FD"/>
    <w:rsid w:val="00E7572B"/>
    <w:rsid w:val="00E75B50"/>
    <w:rsid w:val="00E76D26"/>
    <w:rsid w:val="00E76E81"/>
    <w:rsid w:val="00E7716B"/>
    <w:rsid w:val="00E77546"/>
    <w:rsid w:val="00E802E0"/>
    <w:rsid w:val="00E80C09"/>
    <w:rsid w:val="00E8250C"/>
    <w:rsid w:val="00E829A3"/>
    <w:rsid w:val="00E83DA5"/>
    <w:rsid w:val="00E84143"/>
    <w:rsid w:val="00E855F2"/>
    <w:rsid w:val="00E86EE6"/>
    <w:rsid w:val="00E87469"/>
    <w:rsid w:val="00E87FFE"/>
    <w:rsid w:val="00E90EE7"/>
    <w:rsid w:val="00E91676"/>
    <w:rsid w:val="00E9199B"/>
    <w:rsid w:val="00E91D86"/>
    <w:rsid w:val="00E91EDC"/>
    <w:rsid w:val="00E93509"/>
    <w:rsid w:val="00E93915"/>
    <w:rsid w:val="00E94850"/>
    <w:rsid w:val="00E95E6F"/>
    <w:rsid w:val="00E95FB5"/>
    <w:rsid w:val="00EA0E7F"/>
    <w:rsid w:val="00EA1808"/>
    <w:rsid w:val="00EA183C"/>
    <w:rsid w:val="00EA1905"/>
    <w:rsid w:val="00EA3B2F"/>
    <w:rsid w:val="00EA5BD6"/>
    <w:rsid w:val="00EA5E93"/>
    <w:rsid w:val="00EA667B"/>
    <w:rsid w:val="00EA671E"/>
    <w:rsid w:val="00EB0A80"/>
    <w:rsid w:val="00EB234C"/>
    <w:rsid w:val="00EB2DCF"/>
    <w:rsid w:val="00EB43D8"/>
    <w:rsid w:val="00EB4564"/>
    <w:rsid w:val="00EB4D94"/>
    <w:rsid w:val="00EB52DB"/>
    <w:rsid w:val="00EB5614"/>
    <w:rsid w:val="00EB601C"/>
    <w:rsid w:val="00EB6316"/>
    <w:rsid w:val="00EB651A"/>
    <w:rsid w:val="00EB7A2F"/>
    <w:rsid w:val="00EC0736"/>
    <w:rsid w:val="00EC187E"/>
    <w:rsid w:val="00EC1934"/>
    <w:rsid w:val="00EC2AEF"/>
    <w:rsid w:val="00EC30E7"/>
    <w:rsid w:val="00EC362F"/>
    <w:rsid w:val="00EC4340"/>
    <w:rsid w:val="00EC4478"/>
    <w:rsid w:val="00EC44A9"/>
    <w:rsid w:val="00EC70E3"/>
    <w:rsid w:val="00ED03BE"/>
    <w:rsid w:val="00ED0FC7"/>
    <w:rsid w:val="00ED27D4"/>
    <w:rsid w:val="00ED33BD"/>
    <w:rsid w:val="00ED33FF"/>
    <w:rsid w:val="00ED3B8D"/>
    <w:rsid w:val="00ED3C7E"/>
    <w:rsid w:val="00ED3F32"/>
    <w:rsid w:val="00ED5C6F"/>
    <w:rsid w:val="00ED6326"/>
    <w:rsid w:val="00ED698E"/>
    <w:rsid w:val="00ED6F95"/>
    <w:rsid w:val="00ED76E5"/>
    <w:rsid w:val="00EE1ADD"/>
    <w:rsid w:val="00EE28C1"/>
    <w:rsid w:val="00EE2DF7"/>
    <w:rsid w:val="00EE3D52"/>
    <w:rsid w:val="00EE5549"/>
    <w:rsid w:val="00EE57B2"/>
    <w:rsid w:val="00EE5B59"/>
    <w:rsid w:val="00EE67F1"/>
    <w:rsid w:val="00EE6F99"/>
    <w:rsid w:val="00EE7806"/>
    <w:rsid w:val="00EE7E7F"/>
    <w:rsid w:val="00EF315A"/>
    <w:rsid w:val="00EF33AD"/>
    <w:rsid w:val="00EF6BB3"/>
    <w:rsid w:val="00EF7732"/>
    <w:rsid w:val="00F0066D"/>
    <w:rsid w:val="00F00E31"/>
    <w:rsid w:val="00F01307"/>
    <w:rsid w:val="00F0265E"/>
    <w:rsid w:val="00F02AFD"/>
    <w:rsid w:val="00F04A1C"/>
    <w:rsid w:val="00F04D6B"/>
    <w:rsid w:val="00F05381"/>
    <w:rsid w:val="00F05387"/>
    <w:rsid w:val="00F05421"/>
    <w:rsid w:val="00F058EC"/>
    <w:rsid w:val="00F063CE"/>
    <w:rsid w:val="00F06F1F"/>
    <w:rsid w:val="00F0777F"/>
    <w:rsid w:val="00F07829"/>
    <w:rsid w:val="00F07934"/>
    <w:rsid w:val="00F106C9"/>
    <w:rsid w:val="00F109B4"/>
    <w:rsid w:val="00F12BB2"/>
    <w:rsid w:val="00F134FF"/>
    <w:rsid w:val="00F1379D"/>
    <w:rsid w:val="00F13FD0"/>
    <w:rsid w:val="00F14E0F"/>
    <w:rsid w:val="00F14FA9"/>
    <w:rsid w:val="00F15684"/>
    <w:rsid w:val="00F160F5"/>
    <w:rsid w:val="00F166A4"/>
    <w:rsid w:val="00F20A12"/>
    <w:rsid w:val="00F21400"/>
    <w:rsid w:val="00F21A98"/>
    <w:rsid w:val="00F22480"/>
    <w:rsid w:val="00F22A89"/>
    <w:rsid w:val="00F22F23"/>
    <w:rsid w:val="00F25592"/>
    <w:rsid w:val="00F257FB"/>
    <w:rsid w:val="00F26179"/>
    <w:rsid w:val="00F26909"/>
    <w:rsid w:val="00F26D11"/>
    <w:rsid w:val="00F27141"/>
    <w:rsid w:val="00F277E8"/>
    <w:rsid w:val="00F301DD"/>
    <w:rsid w:val="00F31221"/>
    <w:rsid w:val="00F335DA"/>
    <w:rsid w:val="00F337CD"/>
    <w:rsid w:val="00F3389D"/>
    <w:rsid w:val="00F3398D"/>
    <w:rsid w:val="00F33E64"/>
    <w:rsid w:val="00F35B10"/>
    <w:rsid w:val="00F362A4"/>
    <w:rsid w:val="00F41757"/>
    <w:rsid w:val="00F41A7E"/>
    <w:rsid w:val="00F43491"/>
    <w:rsid w:val="00F43663"/>
    <w:rsid w:val="00F447EF"/>
    <w:rsid w:val="00F4572A"/>
    <w:rsid w:val="00F46C04"/>
    <w:rsid w:val="00F475CF"/>
    <w:rsid w:val="00F50927"/>
    <w:rsid w:val="00F50AC7"/>
    <w:rsid w:val="00F5112D"/>
    <w:rsid w:val="00F517B5"/>
    <w:rsid w:val="00F51F01"/>
    <w:rsid w:val="00F526BD"/>
    <w:rsid w:val="00F53241"/>
    <w:rsid w:val="00F53341"/>
    <w:rsid w:val="00F54E9D"/>
    <w:rsid w:val="00F55877"/>
    <w:rsid w:val="00F56005"/>
    <w:rsid w:val="00F569C6"/>
    <w:rsid w:val="00F6018D"/>
    <w:rsid w:val="00F60532"/>
    <w:rsid w:val="00F60550"/>
    <w:rsid w:val="00F610BD"/>
    <w:rsid w:val="00F629F9"/>
    <w:rsid w:val="00F62C2B"/>
    <w:rsid w:val="00F630BD"/>
    <w:rsid w:val="00F63D4D"/>
    <w:rsid w:val="00F643C5"/>
    <w:rsid w:val="00F658AC"/>
    <w:rsid w:val="00F65A06"/>
    <w:rsid w:val="00F65FE2"/>
    <w:rsid w:val="00F6657C"/>
    <w:rsid w:val="00F66E5F"/>
    <w:rsid w:val="00F674B5"/>
    <w:rsid w:val="00F678E8"/>
    <w:rsid w:val="00F67D39"/>
    <w:rsid w:val="00F70428"/>
    <w:rsid w:val="00F70AA6"/>
    <w:rsid w:val="00F70E3E"/>
    <w:rsid w:val="00F71E66"/>
    <w:rsid w:val="00F72E4D"/>
    <w:rsid w:val="00F732CB"/>
    <w:rsid w:val="00F73EE4"/>
    <w:rsid w:val="00F7428B"/>
    <w:rsid w:val="00F744F2"/>
    <w:rsid w:val="00F74B0C"/>
    <w:rsid w:val="00F74B67"/>
    <w:rsid w:val="00F75B75"/>
    <w:rsid w:val="00F82A3A"/>
    <w:rsid w:val="00F830A9"/>
    <w:rsid w:val="00F836D4"/>
    <w:rsid w:val="00F83C53"/>
    <w:rsid w:val="00F8479F"/>
    <w:rsid w:val="00F85281"/>
    <w:rsid w:val="00F856F8"/>
    <w:rsid w:val="00F860FB"/>
    <w:rsid w:val="00F8649F"/>
    <w:rsid w:val="00F8669A"/>
    <w:rsid w:val="00F8729B"/>
    <w:rsid w:val="00F902AC"/>
    <w:rsid w:val="00F90478"/>
    <w:rsid w:val="00F90F0D"/>
    <w:rsid w:val="00F90F9C"/>
    <w:rsid w:val="00F9109E"/>
    <w:rsid w:val="00F91BD4"/>
    <w:rsid w:val="00F924F2"/>
    <w:rsid w:val="00F929AE"/>
    <w:rsid w:val="00F946F5"/>
    <w:rsid w:val="00F959A3"/>
    <w:rsid w:val="00F95B3B"/>
    <w:rsid w:val="00F96ED1"/>
    <w:rsid w:val="00FA01BD"/>
    <w:rsid w:val="00FA01FB"/>
    <w:rsid w:val="00FA0BC3"/>
    <w:rsid w:val="00FA0DC1"/>
    <w:rsid w:val="00FA1688"/>
    <w:rsid w:val="00FA1941"/>
    <w:rsid w:val="00FA2682"/>
    <w:rsid w:val="00FA3604"/>
    <w:rsid w:val="00FA4E90"/>
    <w:rsid w:val="00FA4EAD"/>
    <w:rsid w:val="00FA50E5"/>
    <w:rsid w:val="00FA56C5"/>
    <w:rsid w:val="00FA57A9"/>
    <w:rsid w:val="00FA5EEA"/>
    <w:rsid w:val="00FA5FCE"/>
    <w:rsid w:val="00FA6AE9"/>
    <w:rsid w:val="00FB11CB"/>
    <w:rsid w:val="00FB16B5"/>
    <w:rsid w:val="00FB180B"/>
    <w:rsid w:val="00FB1C63"/>
    <w:rsid w:val="00FB3870"/>
    <w:rsid w:val="00FB4434"/>
    <w:rsid w:val="00FB4C1C"/>
    <w:rsid w:val="00FB51CD"/>
    <w:rsid w:val="00FB6B2A"/>
    <w:rsid w:val="00FB6DB3"/>
    <w:rsid w:val="00FB6EEF"/>
    <w:rsid w:val="00FB7B0E"/>
    <w:rsid w:val="00FC0565"/>
    <w:rsid w:val="00FC179E"/>
    <w:rsid w:val="00FC22D9"/>
    <w:rsid w:val="00FC35C5"/>
    <w:rsid w:val="00FC36AA"/>
    <w:rsid w:val="00FC3F9C"/>
    <w:rsid w:val="00FC3FDF"/>
    <w:rsid w:val="00FC44A4"/>
    <w:rsid w:val="00FC4728"/>
    <w:rsid w:val="00FC495C"/>
    <w:rsid w:val="00FC4E01"/>
    <w:rsid w:val="00FC4E5F"/>
    <w:rsid w:val="00FC4F8B"/>
    <w:rsid w:val="00FC603F"/>
    <w:rsid w:val="00FC6D33"/>
    <w:rsid w:val="00FC7423"/>
    <w:rsid w:val="00FD0B59"/>
    <w:rsid w:val="00FD0B99"/>
    <w:rsid w:val="00FD147A"/>
    <w:rsid w:val="00FD15CF"/>
    <w:rsid w:val="00FD17F7"/>
    <w:rsid w:val="00FD1BCD"/>
    <w:rsid w:val="00FD2042"/>
    <w:rsid w:val="00FD47DF"/>
    <w:rsid w:val="00FD5741"/>
    <w:rsid w:val="00FD5E59"/>
    <w:rsid w:val="00FD6121"/>
    <w:rsid w:val="00FD613C"/>
    <w:rsid w:val="00FD63B4"/>
    <w:rsid w:val="00FD6921"/>
    <w:rsid w:val="00FD69E7"/>
    <w:rsid w:val="00FD6D19"/>
    <w:rsid w:val="00FD6DBA"/>
    <w:rsid w:val="00FD757F"/>
    <w:rsid w:val="00FD77A4"/>
    <w:rsid w:val="00FD7B4B"/>
    <w:rsid w:val="00FE0C2C"/>
    <w:rsid w:val="00FE1331"/>
    <w:rsid w:val="00FE1370"/>
    <w:rsid w:val="00FE2E98"/>
    <w:rsid w:val="00FE357A"/>
    <w:rsid w:val="00FE35E0"/>
    <w:rsid w:val="00FE392D"/>
    <w:rsid w:val="00FE6BC5"/>
    <w:rsid w:val="00FE6E37"/>
    <w:rsid w:val="00FE72F4"/>
    <w:rsid w:val="00FE74C5"/>
    <w:rsid w:val="00FE798A"/>
    <w:rsid w:val="00FF08D8"/>
    <w:rsid w:val="00FF0DC8"/>
    <w:rsid w:val="00FF15A5"/>
    <w:rsid w:val="00FF2121"/>
    <w:rsid w:val="00FF26A7"/>
    <w:rsid w:val="00FF3D03"/>
    <w:rsid w:val="00FF4468"/>
    <w:rsid w:val="00FF47EB"/>
    <w:rsid w:val="00FF6B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398ABD"/>
  <w15:docId w15:val="{2CA9D215-9ED8-4239-9065-F6FD2114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DCF"/>
    <w:pPr>
      <w:tabs>
        <w:tab w:val="left" w:pos="3690"/>
      </w:tabs>
      <w:spacing w:after="0" w:line="240" w:lineRule="auto"/>
    </w:pPr>
    <w:rPr>
      <w:rFonts w:ascii="Times New Roman" w:hAnsi="Times New Roman" w:cs="Times New Roman"/>
    </w:rPr>
  </w:style>
  <w:style w:type="paragraph" w:styleId="Heading1">
    <w:name w:val="heading 1"/>
    <w:basedOn w:val="Normal"/>
    <w:next w:val="Normal"/>
    <w:link w:val="Heading1Char"/>
    <w:uiPriority w:val="9"/>
    <w:qFormat/>
    <w:rsid w:val="00C60DCF"/>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60DCF"/>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75A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60DCF"/>
    <w:pPr>
      <w:keepNext/>
      <w:spacing w:before="240" w:after="60"/>
      <w:ind w:left="864" w:hanging="864"/>
      <w:outlineLvl w:val="3"/>
    </w:pPr>
    <w:rPr>
      <w:rFonts w:ascii="Calibri" w:eastAsia="Times New Roman" w:hAnsi="Calibri"/>
      <w:b/>
      <w:bCs/>
      <w:sz w:val="24"/>
      <w:szCs w:val="24"/>
      <w:lang w:val="en-GB" w:eastAsia="en-US"/>
    </w:rPr>
  </w:style>
  <w:style w:type="paragraph" w:styleId="Heading5">
    <w:name w:val="heading 5"/>
    <w:basedOn w:val="Normal"/>
    <w:next w:val="Normal"/>
    <w:link w:val="Heading5Char"/>
    <w:qFormat/>
    <w:rsid w:val="00F22A89"/>
    <w:pPr>
      <w:spacing w:before="240" w:after="60"/>
      <w:ind w:left="1008" w:hanging="1008"/>
      <w:outlineLvl w:val="4"/>
    </w:pPr>
    <w:rPr>
      <w:rFonts w:ascii="Calibri" w:eastAsia="Times New Roman" w:hAnsi="Calibri"/>
      <w:b/>
      <w:bCs/>
      <w:i/>
      <w:iCs/>
      <w:sz w:val="26"/>
      <w:szCs w:val="26"/>
      <w:lang w:val="en-GB" w:eastAsia="en-US"/>
    </w:rPr>
  </w:style>
  <w:style w:type="paragraph" w:styleId="Heading6">
    <w:name w:val="heading 6"/>
    <w:basedOn w:val="Normal"/>
    <w:next w:val="Normal"/>
    <w:link w:val="Heading6Char"/>
    <w:qFormat/>
    <w:rsid w:val="00F22A89"/>
    <w:pPr>
      <w:spacing w:before="240" w:after="60"/>
      <w:ind w:left="1152" w:hanging="1152"/>
      <w:outlineLvl w:val="5"/>
    </w:pPr>
    <w:rPr>
      <w:rFonts w:ascii="Calibri" w:eastAsia="Times New Roman" w:hAnsi="Calibri"/>
      <w:b/>
      <w:bCs/>
      <w:lang w:val="en-GB" w:eastAsia="en-US"/>
    </w:rPr>
  </w:style>
  <w:style w:type="paragraph" w:styleId="Heading7">
    <w:name w:val="heading 7"/>
    <w:basedOn w:val="Normal"/>
    <w:next w:val="Normal"/>
    <w:link w:val="Heading7Char"/>
    <w:qFormat/>
    <w:rsid w:val="00F22A89"/>
    <w:pPr>
      <w:spacing w:before="240" w:after="60"/>
      <w:ind w:left="1296" w:hanging="1296"/>
      <w:outlineLvl w:val="6"/>
    </w:pPr>
    <w:rPr>
      <w:rFonts w:ascii="Calibri" w:eastAsia="Times New Roman" w:hAnsi="Calibri"/>
      <w:szCs w:val="24"/>
      <w:lang w:val="en-GB" w:eastAsia="en-US"/>
    </w:rPr>
  </w:style>
  <w:style w:type="paragraph" w:styleId="Heading8">
    <w:name w:val="heading 8"/>
    <w:basedOn w:val="Normal"/>
    <w:next w:val="Normal"/>
    <w:link w:val="Heading8Char"/>
    <w:qFormat/>
    <w:rsid w:val="00F22A89"/>
    <w:pPr>
      <w:spacing w:before="240" w:after="60"/>
      <w:ind w:left="1440" w:hanging="1440"/>
      <w:outlineLvl w:val="7"/>
    </w:pPr>
    <w:rPr>
      <w:rFonts w:ascii="Calibri" w:eastAsia="Times New Roman" w:hAnsi="Calibri"/>
      <w:i/>
      <w:iCs/>
      <w:szCs w:val="24"/>
      <w:lang w:val="en-GB" w:eastAsia="en-US"/>
    </w:rPr>
  </w:style>
  <w:style w:type="paragraph" w:styleId="Heading9">
    <w:name w:val="heading 9"/>
    <w:basedOn w:val="Normal"/>
    <w:next w:val="Normal"/>
    <w:link w:val="Heading9Char"/>
    <w:qFormat/>
    <w:rsid w:val="00F22A89"/>
    <w:pPr>
      <w:spacing w:before="240" w:after="60"/>
      <w:ind w:left="1584" w:hanging="1584"/>
      <w:outlineLvl w:val="8"/>
    </w:pPr>
    <w:rPr>
      <w:rFonts w:ascii="Cambria" w:eastAsia="Times New Roman" w:hAnsi="Cambria"/>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DCF"/>
    <w:rPr>
      <w:rFonts w:asciiTheme="majorHAnsi" w:eastAsiaTheme="majorEastAsia" w:hAnsiTheme="majorHAnsi" w:cstheme="majorBidi"/>
      <w:b/>
      <w:bCs/>
      <w:sz w:val="28"/>
      <w:szCs w:val="28"/>
    </w:rPr>
  </w:style>
  <w:style w:type="paragraph" w:styleId="Date">
    <w:name w:val="Date"/>
    <w:basedOn w:val="Normal"/>
    <w:next w:val="Normal"/>
    <w:link w:val="DateChar"/>
    <w:uiPriority w:val="99"/>
    <w:semiHidden/>
    <w:unhideWhenUsed/>
    <w:rsid w:val="0004254A"/>
  </w:style>
  <w:style w:type="character" w:customStyle="1" w:styleId="DateChar">
    <w:name w:val="Date Char"/>
    <w:basedOn w:val="DefaultParagraphFont"/>
    <w:link w:val="Date"/>
    <w:uiPriority w:val="99"/>
    <w:semiHidden/>
    <w:rsid w:val="0004254A"/>
    <w:rPr>
      <w:rFonts w:ascii="Times New Roman" w:hAnsi="Times New Roman"/>
      <w:sz w:val="24"/>
    </w:rPr>
  </w:style>
  <w:style w:type="character" w:customStyle="1" w:styleId="Heading2Char">
    <w:name w:val="Heading 2 Char"/>
    <w:basedOn w:val="DefaultParagraphFont"/>
    <w:link w:val="Heading2"/>
    <w:uiPriority w:val="9"/>
    <w:rsid w:val="00C60DCF"/>
    <w:rPr>
      <w:rFonts w:asciiTheme="majorHAnsi" w:eastAsiaTheme="majorEastAsia" w:hAnsiTheme="majorHAnsi" w:cstheme="majorBidi"/>
      <w:b/>
      <w:bCs/>
      <w:sz w:val="26"/>
      <w:szCs w:val="26"/>
    </w:rPr>
  </w:style>
  <w:style w:type="paragraph" w:styleId="ListParagraph">
    <w:name w:val="List Paragraph"/>
    <w:basedOn w:val="Normal"/>
    <w:link w:val="ListParagraphChar"/>
    <w:uiPriority w:val="34"/>
    <w:qFormat/>
    <w:rsid w:val="0075520E"/>
    <w:pPr>
      <w:ind w:left="720"/>
      <w:contextualSpacing/>
    </w:pPr>
  </w:style>
  <w:style w:type="paragraph" w:styleId="FootnoteText">
    <w:name w:val="footnote text"/>
    <w:basedOn w:val="Normal"/>
    <w:link w:val="FootnoteTextChar"/>
    <w:uiPriority w:val="99"/>
    <w:unhideWhenUsed/>
    <w:rsid w:val="0075520E"/>
    <w:rPr>
      <w:sz w:val="20"/>
      <w:szCs w:val="20"/>
    </w:rPr>
  </w:style>
  <w:style w:type="character" w:customStyle="1" w:styleId="FootnoteTextChar">
    <w:name w:val="Footnote Text Char"/>
    <w:basedOn w:val="DefaultParagraphFont"/>
    <w:link w:val="FootnoteText"/>
    <w:uiPriority w:val="99"/>
    <w:rsid w:val="0075520E"/>
    <w:rPr>
      <w:rFonts w:ascii="Times New Roman" w:hAnsi="Times New Roman"/>
      <w:sz w:val="20"/>
      <w:szCs w:val="20"/>
    </w:rPr>
  </w:style>
  <w:style w:type="character" w:styleId="FootnoteReference">
    <w:name w:val="footnote reference"/>
    <w:basedOn w:val="DefaultParagraphFont"/>
    <w:uiPriority w:val="99"/>
    <w:semiHidden/>
    <w:unhideWhenUsed/>
    <w:rsid w:val="0075520E"/>
    <w:rPr>
      <w:vertAlign w:val="superscript"/>
    </w:rPr>
  </w:style>
  <w:style w:type="character" w:customStyle="1" w:styleId="Heading3Char">
    <w:name w:val="Heading 3 Char"/>
    <w:basedOn w:val="DefaultParagraphFont"/>
    <w:link w:val="Heading3"/>
    <w:uiPriority w:val="9"/>
    <w:rsid w:val="00D75ADD"/>
    <w:rPr>
      <w:rFonts w:asciiTheme="majorHAnsi" w:eastAsiaTheme="majorEastAsia" w:hAnsiTheme="majorHAnsi" w:cstheme="majorBidi"/>
      <w:b/>
      <w:bCs/>
      <w:color w:val="4F81BD" w:themeColor="accent1"/>
      <w:sz w:val="24"/>
    </w:rPr>
  </w:style>
  <w:style w:type="paragraph" w:styleId="BalloonText">
    <w:name w:val="Balloon Text"/>
    <w:basedOn w:val="Normal"/>
    <w:link w:val="BalloonTextChar"/>
    <w:uiPriority w:val="99"/>
    <w:semiHidden/>
    <w:unhideWhenUsed/>
    <w:rsid w:val="00D75ADD"/>
    <w:rPr>
      <w:rFonts w:ascii="Tahoma" w:hAnsi="Tahoma" w:cs="Tahoma"/>
      <w:sz w:val="16"/>
      <w:szCs w:val="16"/>
    </w:rPr>
  </w:style>
  <w:style w:type="character" w:customStyle="1" w:styleId="BalloonTextChar">
    <w:name w:val="Balloon Text Char"/>
    <w:basedOn w:val="DefaultParagraphFont"/>
    <w:link w:val="BalloonText"/>
    <w:uiPriority w:val="99"/>
    <w:semiHidden/>
    <w:rsid w:val="00D75ADD"/>
    <w:rPr>
      <w:rFonts w:ascii="Tahoma" w:hAnsi="Tahoma" w:cs="Tahoma"/>
      <w:sz w:val="16"/>
      <w:szCs w:val="16"/>
    </w:rPr>
  </w:style>
  <w:style w:type="table" w:styleId="TableGrid">
    <w:name w:val="Table Grid"/>
    <w:basedOn w:val="TableNormal"/>
    <w:uiPriority w:val="39"/>
    <w:rsid w:val="00212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C45E8"/>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C52500"/>
    <w:pPr>
      <w:tabs>
        <w:tab w:val="center" w:pos="4680"/>
        <w:tab w:val="right" w:pos="9360"/>
      </w:tabs>
    </w:pPr>
  </w:style>
  <w:style w:type="character" w:customStyle="1" w:styleId="HeaderChar">
    <w:name w:val="Header Char"/>
    <w:basedOn w:val="DefaultParagraphFont"/>
    <w:link w:val="Header"/>
    <w:uiPriority w:val="99"/>
    <w:rsid w:val="00C52500"/>
    <w:rPr>
      <w:rFonts w:ascii="Times New Roman" w:hAnsi="Times New Roman"/>
      <w:sz w:val="24"/>
    </w:rPr>
  </w:style>
  <w:style w:type="paragraph" w:styleId="Footer">
    <w:name w:val="footer"/>
    <w:basedOn w:val="Normal"/>
    <w:link w:val="FooterChar"/>
    <w:uiPriority w:val="99"/>
    <w:unhideWhenUsed/>
    <w:rsid w:val="00C52500"/>
    <w:pPr>
      <w:tabs>
        <w:tab w:val="center" w:pos="4680"/>
        <w:tab w:val="right" w:pos="9360"/>
      </w:tabs>
    </w:pPr>
  </w:style>
  <w:style w:type="character" w:customStyle="1" w:styleId="FooterChar">
    <w:name w:val="Footer Char"/>
    <w:basedOn w:val="DefaultParagraphFont"/>
    <w:link w:val="Footer"/>
    <w:uiPriority w:val="99"/>
    <w:rsid w:val="00C52500"/>
    <w:rPr>
      <w:rFonts w:ascii="Times New Roman" w:hAnsi="Times New Roman"/>
      <w:sz w:val="24"/>
    </w:rPr>
  </w:style>
  <w:style w:type="paragraph" w:styleId="EndnoteText">
    <w:name w:val="endnote text"/>
    <w:basedOn w:val="Normal"/>
    <w:link w:val="EndnoteTextChar"/>
    <w:uiPriority w:val="99"/>
    <w:unhideWhenUsed/>
    <w:rsid w:val="00D7492C"/>
    <w:rPr>
      <w:sz w:val="20"/>
      <w:szCs w:val="20"/>
    </w:rPr>
  </w:style>
  <w:style w:type="character" w:customStyle="1" w:styleId="EndnoteTextChar">
    <w:name w:val="Endnote Text Char"/>
    <w:basedOn w:val="DefaultParagraphFont"/>
    <w:link w:val="EndnoteText"/>
    <w:uiPriority w:val="99"/>
    <w:rsid w:val="00D7492C"/>
    <w:rPr>
      <w:rFonts w:ascii="Times New Roman" w:hAnsi="Times New Roman"/>
      <w:sz w:val="20"/>
      <w:szCs w:val="20"/>
    </w:rPr>
  </w:style>
  <w:style w:type="character" w:styleId="EndnoteReference">
    <w:name w:val="endnote reference"/>
    <w:basedOn w:val="DefaultParagraphFont"/>
    <w:uiPriority w:val="99"/>
    <w:semiHidden/>
    <w:unhideWhenUsed/>
    <w:rsid w:val="00D7492C"/>
    <w:rPr>
      <w:vertAlign w:val="superscript"/>
    </w:rPr>
  </w:style>
  <w:style w:type="paragraph" w:styleId="Caption">
    <w:name w:val="caption"/>
    <w:basedOn w:val="Normal"/>
    <w:next w:val="Normal"/>
    <w:uiPriority w:val="35"/>
    <w:unhideWhenUsed/>
    <w:qFormat/>
    <w:rsid w:val="00F74B67"/>
    <w:rPr>
      <w:i/>
      <w:iCs/>
      <w:color w:val="1F497D" w:themeColor="text2"/>
      <w:szCs w:val="18"/>
    </w:rPr>
  </w:style>
  <w:style w:type="table" w:customStyle="1" w:styleId="PlainTable21">
    <w:name w:val="Plain Table 21"/>
    <w:basedOn w:val="TableNormal"/>
    <w:uiPriority w:val="42"/>
    <w:rsid w:val="00D704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A63BAD"/>
    <w:pPr>
      <w:outlineLvl w:val="9"/>
    </w:pPr>
    <w:rPr>
      <w:lang w:eastAsia="en-US"/>
    </w:rPr>
  </w:style>
  <w:style w:type="paragraph" w:styleId="TOC1">
    <w:name w:val="toc 1"/>
    <w:basedOn w:val="Normal"/>
    <w:next w:val="Normal"/>
    <w:autoRedefine/>
    <w:uiPriority w:val="39"/>
    <w:unhideWhenUsed/>
    <w:rsid w:val="00A63BAD"/>
    <w:pPr>
      <w:spacing w:after="100"/>
    </w:pPr>
  </w:style>
  <w:style w:type="paragraph" w:styleId="TOC2">
    <w:name w:val="toc 2"/>
    <w:basedOn w:val="Normal"/>
    <w:next w:val="Normal"/>
    <w:autoRedefine/>
    <w:uiPriority w:val="39"/>
    <w:unhideWhenUsed/>
    <w:rsid w:val="00553134"/>
    <w:pPr>
      <w:tabs>
        <w:tab w:val="right" w:leader="dot" w:pos="12950"/>
      </w:tabs>
      <w:spacing w:after="100"/>
      <w:ind w:left="240" w:right="288"/>
    </w:pPr>
  </w:style>
  <w:style w:type="character" w:styleId="Hyperlink">
    <w:name w:val="Hyperlink"/>
    <w:basedOn w:val="DefaultParagraphFont"/>
    <w:uiPriority w:val="99"/>
    <w:unhideWhenUsed/>
    <w:rsid w:val="00A63BAD"/>
    <w:rPr>
      <w:color w:val="0000FF" w:themeColor="hyperlink"/>
      <w:u w:val="single"/>
    </w:rPr>
  </w:style>
  <w:style w:type="table" w:customStyle="1" w:styleId="LightGrid-Accent11">
    <w:name w:val="Light Grid - Accent 11"/>
    <w:basedOn w:val="TableNormal"/>
    <w:uiPriority w:val="62"/>
    <w:rsid w:val="0098085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ableofFigures">
    <w:name w:val="table of figures"/>
    <w:basedOn w:val="Normal"/>
    <w:next w:val="Normal"/>
    <w:uiPriority w:val="99"/>
    <w:unhideWhenUsed/>
    <w:rsid w:val="00B87ABF"/>
  </w:style>
  <w:style w:type="table" w:customStyle="1" w:styleId="MediumShading1-Accent11">
    <w:name w:val="Medium Shading 1 - Accent 11"/>
    <w:basedOn w:val="TableNormal"/>
    <w:uiPriority w:val="63"/>
    <w:rsid w:val="004139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965E4A"/>
    <w:rPr>
      <w:sz w:val="16"/>
      <w:szCs w:val="16"/>
    </w:rPr>
  </w:style>
  <w:style w:type="paragraph" w:styleId="CommentText">
    <w:name w:val="annotation text"/>
    <w:basedOn w:val="Normal"/>
    <w:link w:val="CommentTextChar"/>
    <w:uiPriority w:val="99"/>
    <w:unhideWhenUsed/>
    <w:rsid w:val="00965E4A"/>
    <w:rPr>
      <w:sz w:val="20"/>
      <w:szCs w:val="20"/>
    </w:rPr>
  </w:style>
  <w:style w:type="character" w:customStyle="1" w:styleId="CommentTextChar">
    <w:name w:val="Comment Text Char"/>
    <w:basedOn w:val="DefaultParagraphFont"/>
    <w:link w:val="CommentText"/>
    <w:uiPriority w:val="99"/>
    <w:rsid w:val="00965E4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65E4A"/>
    <w:rPr>
      <w:b/>
      <w:bCs/>
    </w:rPr>
  </w:style>
  <w:style w:type="character" w:customStyle="1" w:styleId="CommentSubjectChar">
    <w:name w:val="Comment Subject Char"/>
    <w:basedOn w:val="CommentTextChar"/>
    <w:link w:val="CommentSubject"/>
    <w:uiPriority w:val="99"/>
    <w:semiHidden/>
    <w:rsid w:val="00965E4A"/>
    <w:rPr>
      <w:rFonts w:ascii="Times New Roman" w:hAnsi="Times New Roman"/>
      <w:b/>
      <w:bCs/>
      <w:sz w:val="20"/>
      <w:szCs w:val="20"/>
    </w:rPr>
  </w:style>
  <w:style w:type="table" w:customStyle="1" w:styleId="LightGrid-Accent12">
    <w:name w:val="Light Grid - Accent 12"/>
    <w:basedOn w:val="TableNormal"/>
    <w:uiPriority w:val="62"/>
    <w:rsid w:val="00F277E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OC3">
    <w:name w:val="toc 3"/>
    <w:basedOn w:val="Normal"/>
    <w:next w:val="Normal"/>
    <w:autoRedefine/>
    <w:uiPriority w:val="39"/>
    <w:unhideWhenUsed/>
    <w:rsid w:val="00A05261"/>
    <w:pPr>
      <w:spacing w:after="100"/>
      <w:ind w:left="480"/>
    </w:pPr>
  </w:style>
  <w:style w:type="character" w:customStyle="1" w:styleId="Heading4Char">
    <w:name w:val="Heading 4 Char"/>
    <w:basedOn w:val="DefaultParagraphFont"/>
    <w:link w:val="Heading4"/>
    <w:rsid w:val="00C60DCF"/>
    <w:rPr>
      <w:rFonts w:ascii="Calibri" w:eastAsia="Times New Roman" w:hAnsi="Calibri" w:cs="Times New Roman"/>
      <w:b/>
      <w:bCs/>
      <w:sz w:val="24"/>
      <w:szCs w:val="24"/>
      <w:lang w:val="en-GB" w:eastAsia="en-US"/>
    </w:rPr>
  </w:style>
  <w:style w:type="character" w:customStyle="1" w:styleId="Heading5Char">
    <w:name w:val="Heading 5 Char"/>
    <w:basedOn w:val="DefaultParagraphFont"/>
    <w:link w:val="Heading5"/>
    <w:rsid w:val="00F22A89"/>
    <w:rPr>
      <w:rFonts w:ascii="Calibri" w:eastAsia="Times New Roman" w:hAnsi="Calibri" w:cs="Times New Roman"/>
      <w:b/>
      <w:bCs/>
      <w:i/>
      <w:iCs/>
      <w:sz w:val="26"/>
      <w:szCs w:val="26"/>
      <w:lang w:val="en-GB" w:eastAsia="en-US"/>
    </w:rPr>
  </w:style>
  <w:style w:type="character" w:customStyle="1" w:styleId="Heading6Char">
    <w:name w:val="Heading 6 Char"/>
    <w:basedOn w:val="DefaultParagraphFont"/>
    <w:link w:val="Heading6"/>
    <w:rsid w:val="00F22A89"/>
    <w:rPr>
      <w:rFonts w:ascii="Calibri" w:eastAsia="Times New Roman" w:hAnsi="Calibri" w:cs="Times New Roman"/>
      <w:b/>
      <w:bCs/>
      <w:lang w:val="en-GB" w:eastAsia="en-US"/>
    </w:rPr>
  </w:style>
  <w:style w:type="character" w:customStyle="1" w:styleId="Heading7Char">
    <w:name w:val="Heading 7 Char"/>
    <w:basedOn w:val="DefaultParagraphFont"/>
    <w:link w:val="Heading7"/>
    <w:rsid w:val="00F22A89"/>
    <w:rPr>
      <w:rFonts w:ascii="Calibri" w:eastAsia="Times New Roman" w:hAnsi="Calibri" w:cs="Times New Roman"/>
      <w:sz w:val="24"/>
      <w:szCs w:val="24"/>
      <w:lang w:val="en-GB" w:eastAsia="en-US"/>
    </w:rPr>
  </w:style>
  <w:style w:type="character" w:customStyle="1" w:styleId="Heading8Char">
    <w:name w:val="Heading 8 Char"/>
    <w:basedOn w:val="DefaultParagraphFont"/>
    <w:link w:val="Heading8"/>
    <w:rsid w:val="00F22A89"/>
    <w:rPr>
      <w:rFonts w:ascii="Calibri" w:eastAsia="Times New Roman" w:hAnsi="Calibri" w:cs="Times New Roman"/>
      <w:i/>
      <w:iCs/>
      <w:sz w:val="24"/>
      <w:szCs w:val="24"/>
      <w:lang w:val="en-GB" w:eastAsia="en-US"/>
    </w:rPr>
  </w:style>
  <w:style w:type="character" w:customStyle="1" w:styleId="Heading9Char">
    <w:name w:val="Heading 9 Char"/>
    <w:basedOn w:val="DefaultParagraphFont"/>
    <w:link w:val="Heading9"/>
    <w:rsid w:val="00F22A89"/>
    <w:rPr>
      <w:rFonts w:ascii="Cambria" w:eastAsia="Times New Roman" w:hAnsi="Cambria" w:cs="Times New Roman"/>
      <w:lang w:val="en-GB" w:eastAsia="en-US"/>
    </w:rPr>
  </w:style>
  <w:style w:type="table" w:styleId="LightGrid-Accent1">
    <w:name w:val="Light Grid Accent 1"/>
    <w:basedOn w:val="TableNormal"/>
    <w:uiPriority w:val="62"/>
    <w:rsid w:val="002153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Revision">
    <w:name w:val="Revision"/>
    <w:hidden/>
    <w:uiPriority w:val="99"/>
    <w:semiHidden/>
    <w:rsid w:val="00D24659"/>
    <w:pPr>
      <w:spacing w:after="0" w:line="240" w:lineRule="auto"/>
    </w:pPr>
    <w:rPr>
      <w:rFonts w:ascii="Times New Roman" w:hAnsi="Times New Roman"/>
      <w:sz w:val="24"/>
    </w:rPr>
  </w:style>
  <w:style w:type="character" w:customStyle="1" w:styleId="ListParagraphChar">
    <w:name w:val="List Paragraph Char"/>
    <w:link w:val="ListParagraph"/>
    <w:uiPriority w:val="34"/>
    <w:locked/>
    <w:rsid w:val="001C4E2C"/>
    <w:rPr>
      <w:rFonts w:ascii="Times New Roman" w:hAnsi="Times New Roman"/>
      <w:sz w:val="24"/>
    </w:rPr>
  </w:style>
  <w:style w:type="character" w:styleId="FollowedHyperlink">
    <w:name w:val="FollowedHyperlink"/>
    <w:basedOn w:val="DefaultParagraphFont"/>
    <w:uiPriority w:val="99"/>
    <w:semiHidden/>
    <w:unhideWhenUsed/>
    <w:rsid w:val="005B001D"/>
    <w:rPr>
      <w:color w:val="800080" w:themeColor="followedHyperlink"/>
      <w:u w:val="single"/>
    </w:rPr>
  </w:style>
  <w:style w:type="character" w:styleId="LineNumber">
    <w:name w:val="line number"/>
    <w:basedOn w:val="DefaultParagraphFont"/>
    <w:uiPriority w:val="99"/>
    <w:semiHidden/>
    <w:unhideWhenUsed/>
    <w:rsid w:val="008B410F"/>
  </w:style>
  <w:style w:type="character" w:customStyle="1" w:styleId="highlight2">
    <w:name w:val="highlight2"/>
    <w:basedOn w:val="DefaultParagraphFont"/>
    <w:rsid w:val="00CB72BD"/>
  </w:style>
  <w:style w:type="paragraph" w:customStyle="1" w:styleId="Default">
    <w:name w:val="Default"/>
    <w:rsid w:val="00567EB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tgc">
    <w:name w:val="_tgc"/>
    <w:basedOn w:val="DefaultParagraphFont"/>
    <w:rsid w:val="00FB11CB"/>
  </w:style>
  <w:style w:type="character" w:customStyle="1" w:styleId="cit">
    <w:name w:val="cit"/>
    <w:basedOn w:val="DefaultParagraphFont"/>
    <w:rsid w:val="00424BFF"/>
  </w:style>
  <w:style w:type="paragraph" w:styleId="HTMLPreformatted">
    <w:name w:val="HTML Preformatted"/>
    <w:basedOn w:val="Normal"/>
    <w:link w:val="HTMLPreformattedChar"/>
    <w:uiPriority w:val="99"/>
    <w:unhideWhenUsed/>
    <w:rsid w:val="00FC4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FC44A4"/>
    <w:rPr>
      <w:rFonts w:ascii="Courier New" w:eastAsia="Times New Roman" w:hAnsi="Courier New" w:cs="Courier New"/>
      <w:sz w:val="20"/>
      <w:szCs w:val="20"/>
      <w:lang w:eastAsia="en-US"/>
    </w:rPr>
  </w:style>
  <w:style w:type="character" w:styleId="PlaceholderText">
    <w:name w:val="Placeholder Text"/>
    <w:basedOn w:val="DefaultParagraphFont"/>
    <w:uiPriority w:val="99"/>
    <w:semiHidden/>
    <w:rsid w:val="00B21A7B"/>
    <w:rPr>
      <w:color w:val="808080"/>
    </w:rPr>
  </w:style>
  <w:style w:type="character" w:styleId="HTMLCite">
    <w:name w:val="HTML Cite"/>
    <w:basedOn w:val="DefaultParagraphFont"/>
    <w:uiPriority w:val="99"/>
    <w:semiHidden/>
    <w:unhideWhenUsed/>
    <w:rsid w:val="002550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9947">
      <w:bodyDiv w:val="1"/>
      <w:marLeft w:val="0"/>
      <w:marRight w:val="0"/>
      <w:marTop w:val="0"/>
      <w:marBottom w:val="0"/>
      <w:divBdr>
        <w:top w:val="none" w:sz="0" w:space="0" w:color="auto"/>
        <w:left w:val="none" w:sz="0" w:space="0" w:color="auto"/>
        <w:bottom w:val="none" w:sz="0" w:space="0" w:color="auto"/>
        <w:right w:val="none" w:sz="0" w:space="0" w:color="auto"/>
      </w:divBdr>
    </w:div>
    <w:div w:id="25452538">
      <w:bodyDiv w:val="1"/>
      <w:marLeft w:val="0"/>
      <w:marRight w:val="0"/>
      <w:marTop w:val="0"/>
      <w:marBottom w:val="0"/>
      <w:divBdr>
        <w:top w:val="none" w:sz="0" w:space="0" w:color="auto"/>
        <w:left w:val="none" w:sz="0" w:space="0" w:color="auto"/>
        <w:bottom w:val="none" w:sz="0" w:space="0" w:color="auto"/>
        <w:right w:val="none" w:sz="0" w:space="0" w:color="auto"/>
      </w:divBdr>
    </w:div>
    <w:div w:id="34741076">
      <w:bodyDiv w:val="1"/>
      <w:marLeft w:val="0"/>
      <w:marRight w:val="0"/>
      <w:marTop w:val="0"/>
      <w:marBottom w:val="0"/>
      <w:divBdr>
        <w:top w:val="none" w:sz="0" w:space="0" w:color="auto"/>
        <w:left w:val="none" w:sz="0" w:space="0" w:color="auto"/>
        <w:bottom w:val="none" w:sz="0" w:space="0" w:color="auto"/>
        <w:right w:val="none" w:sz="0" w:space="0" w:color="auto"/>
      </w:divBdr>
    </w:div>
    <w:div w:id="77291601">
      <w:bodyDiv w:val="1"/>
      <w:marLeft w:val="0"/>
      <w:marRight w:val="0"/>
      <w:marTop w:val="0"/>
      <w:marBottom w:val="0"/>
      <w:divBdr>
        <w:top w:val="none" w:sz="0" w:space="0" w:color="auto"/>
        <w:left w:val="none" w:sz="0" w:space="0" w:color="auto"/>
        <w:bottom w:val="none" w:sz="0" w:space="0" w:color="auto"/>
        <w:right w:val="none" w:sz="0" w:space="0" w:color="auto"/>
      </w:divBdr>
      <w:divsChild>
        <w:div w:id="608783052">
          <w:marLeft w:val="0"/>
          <w:marRight w:val="0"/>
          <w:marTop w:val="0"/>
          <w:marBottom w:val="0"/>
          <w:divBdr>
            <w:top w:val="none" w:sz="0" w:space="0" w:color="auto"/>
            <w:left w:val="none" w:sz="0" w:space="0" w:color="auto"/>
            <w:bottom w:val="none" w:sz="0" w:space="0" w:color="auto"/>
            <w:right w:val="none" w:sz="0" w:space="0" w:color="auto"/>
          </w:divBdr>
          <w:divsChild>
            <w:div w:id="208609600">
              <w:marLeft w:val="0"/>
              <w:marRight w:val="0"/>
              <w:marTop w:val="0"/>
              <w:marBottom w:val="0"/>
              <w:divBdr>
                <w:top w:val="none" w:sz="0" w:space="0" w:color="auto"/>
                <w:left w:val="none" w:sz="0" w:space="0" w:color="auto"/>
                <w:bottom w:val="none" w:sz="0" w:space="0" w:color="auto"/>
                <w:right w:val="none" w:sz="0" w:space="0" w:color="auto"/>
              </w:divBdr>
              <w:divsChild>
                <w:div w:id="505630879">
                  <w:marLeft w:val="0"/>
                  <w:marRight w:val="0"/>
                  <w:marTop w:val="0"/>
                  <w:marBottom w:val="0"/>
                  <w:divBdr>
                    <w:top w:val="none" w:sz="0" w:space="0" w:color="auto"/>
                    <w:left w:val="none" w:sz="0" w:space="0" w:color="auto"/>
                    <w:bottom w:val="none" w:sz="0" w:space="0" w:color="auto"/>
                    <w:right w:val="none" w:sz="0" w:space="0" w:color="auto"/>
                  </w:divBdr>
                  <w:divsChild>
                    <w:div w:id="1555585478">
                      <w:marLeft w:val="0"/>
                      <w:marRight w:val="0"/>
                      <w:marTop w:val="0"/>
                      <w:marBottom w:val="0"/>
                      <w:divBdr>
                        <w:top w:val="none" w:sz="0" w:space="0" w:color="auto"/>
                        <w:left w:val="none" w:sz="0" w:space="0" w:color="auto"/>
                        <w:bottom w:val="none" w:sz="0" w:space="0" w:color="auto"/>
                        <w:right w:val="none" w:sz="0" w:space="0" w:color="auto"/>
                      </w:divBdr>
                      <w:divsChild>
                        <w:div w:id="1833912060">
                          <w:marLeft w:val="0"/>
                          <w:marRight w:val="0"/>
                          <w:marTop w:val="0"/>
                          <w:marBottom w:val="0"/>
                          <w:divBdr>
                            <w:top w:val="none" w:sz="0" w:space="0" w:color="auto"/>
                            <w:left w:val="none" w:sz="0" w:space="0" w:color="auto"/>
                            <w:bottom w:val="none" w:sz="0" w:space="0" w:color="auto"/>
                            <w:right w:val="none" w:sz="0" w:space="0" w:color="auto"/>
                          </w:divBdr>
                          <w:divsChild>
                            <w:div w:id="2029789973">
                              <w:marLeft w:val="0"/>
                              <w:marRight w:val="0"/>
                              <w:marTop w:val="0"/>
                              <w:marBottom w:val="0"/>
                              <w:divBdr>
                                <w:top w:val="none" w:sz="0" w:space="0" w:color="auto"/>
                                <w:left w:val="none" w:sz="0" w:space="0" w:color="auto"/>
                                <w:bottom w:val="none" w:sz="0" w:space="0" w:color="auto"/>
                                <w:right w:val="none" w:sz="0" w:space="0" w:color="auto"/>
                              </w:divBdr>
                              <w:divsChild>
                                <w:div w:id="2097942519">
                                  <w:marLeft w:val="0"/>
                                  <w:marRight w:val="0"/>
                                  <w:marTop w:val="0"/>
                                  <w:marBottom w:val="0"/>
                                  <w:divBdr>
                                    <w:top w:val="none" w:sz="0" w:space="0" w:color="auto"/>
                                    <w:left w:val="none" w:sz="0" w:space="0" w:color="auto"/>
                                    <w:bottom w:val="none" w:sz="0" w:space="0" w:color="auto"/>
                                    <w:right w:val="none" w:sz="0" w:space="0" w:color="auto"/>
                                  </w:divBdr>
                                  <w:divsChild>
                                    <w:div w:id="285157595">
                                      <w:marLeft w:val="0"/>
                                      <w:marRight w:val="0"/>
                                      <w:marTop w:val="0"/>
                                      <w:marBottom w:val="0"/>
                                      <w:divBdr>
                                        <w:top w:val="none" w:sz="0" w:space="0" w:color="auto"/>
                                        <w:left w:val="none" w:sz="0" w:space="0" w:color="auto"/>
                                        <w:bottom w:val="none" w:sz="0" w:space="0" w:color="auto"/>
                                        <w:right w:val="none" w:sz="0" w:space="0" w:color="auto"/>
                                      </w:divBdr>
                                      <w:divsChild>
                                        <w:div w:id="1148598133">
                                          <w:marLeft w:val="0"/>
                                          <w:marRight w:val="0"/>
                                          <w:marTop w:val="0"/>
                                          <w:marBottom w:val="0"/>
                                          <w:divBdr>
                                            <w:top w:val="none" w:sz="0" w:space="0" w:color="auto"/>
                                            <w:left w:val="none" w:sz="0" w:space="0" w:color="auto"/>
                                            <w:bottom w:val="none" w:sz="0" w:space="0" w:color="auto"/>
                                            <w:right w:val="none" w:sz="0" w:space="0" w:color="auto"/>
                                          </w:divBdr>
                                          <w:divsChild>
                                            <w:div w:id="406727528">
                                              <w:marLeft w:val="0"/>
                                              <w:marRight w:val="0"/>
                                              <w:marTop w:val="0"/>
                                              <w:marBottom w:val="0"/>
                                              <w:divBdr>
                                                <w:top w:val="none" w:sz="0" w:space="0" w:color="auto"/>
                                                <w:left w:val="none" w:sz="0" w:space="0" w:color="auto"/>
                                                <w:bottom w:val="none" w:sz="0" w:space="0" w:color="auto"/>
                                                <w:right w:val="none" w:sz="0" w:space="0" w:color="auto"/>
                                              </w:divBdr>
                                              <w:divsChild>
                                                <w:div w:id="1477722911">
                                                  <w:marLeft w:val="0"/>
                                                  <w:marRight w:val="0"/>
                                                  <w:marTop w:val="0"/>
                                                  <w:marBottom w:val="0"/>
                                                  <w:divBdr>
                                                    <w:top w:val="none" w:sz="0" w:space="0" w:color="auto"/>
                                                    <w:left w:val="none" w:sz="0" w:space="0" w:color="auto"/>
                                                    <w:bottom w:val="none" w:sz="0" w:space="0" w:color="auto"/>
                                                    <w:right w:val="none" w:sz="0" w:space="0" w:color="auto"/>
                                                  </w:divBdr>
                                                  <w:divsChild>
                                                    <w:div w:id="1217010902">
                                                      <w:marLeft w:val="0"/>
                                                      <w:marRight w:val="0"/>
                                                      <w:marTop w:val="0"/>
                                                      <w:marBottom w:val="0"/>
                                                      <w:divBdr>
                                                        <w:top w:val="none" w:sz="0" w:space="0" w:color="auto"/>
                                                        <w:left w:val="none" w:sz="0" w:space="0" w:color="auto"/>
                                                        <w:bottom w:val="none" w:sz="0" w:space="0" w:color="auto"/>
                                                        <w:right w:val="none" w:sz="0" w:space="0" w:color="auto"/>
                                                      </w:divBdr>
                                                      <w:divsChild>
                                                        <w:div w:id="899286752">
                                                          <w:marLeft w:val="0"/>
                                                          <w:marRight w:val="0"/>
                                                          <w:marTop w:val="0"/>
                                                          <w:marBottom w:val="0"/>
                                                          <w:divBdr>
                                                            <w:top w:val="none" w:sz="0" w:space="0" w:color="auto"/>
                                                            <w:left w:val="none" w:sz="0" w:space="0" w:color="auto"/>
                                                            <w:bottom w:val="none" w:sz="0" w:space="0" w:color="auto"/>
                                                            <w:right w:val="none" w:sz="0" w:space="0" w:color="auto"/>
                                                          </w:divBdr>
                                                          <w:divsChild>
                                                            <w:div w:id="488179023">
                                                              <w:marLeft w:val="0"/>
                                                              <w:marRight w:val="0"/>
                                                              <w:marTop w:val="0"/>
                                                              <w:marBottom w:val="0"/>
                                                              <w:divBdr>
                                                                <w:top w:val="none" w:sz="0" w:space="0" w:color="auto"/>
                                                                <w:left w:val="none" w:sz="0" w:space="0" w:color="auto"/>
                                                                <w:bottom w:val="none" w:sz="0" w:space="0" w:color="auto"/>
                                                                <w:right w:val="none" w:sz="0" w:space="0" w:color="auto"/>
                                                              </w:divBdr>
                                                              <w:divsChild>
                                                                <w:div w:id="101339773">
                                                                  <w:marLeft w:val="0"/>
                                                                  <w:marRight w:val="0"/>
                                                                  <w:marTop w:val="0"/>
                                                                  <w:marBottom w:val="0"/>
                                                                  <w:divBdr>
                                                                    <w:top w:val="none" w:sz="0" w:space="0" w:color="auto"/>
                                                                    <w:left w:val="none" w:sz="0" w:space="0" w:color="auto"/>
                                                                    <w:bottom w:val="none" w:sz="0" w:space="0" w:color="auto"/>
                                                                    <w:right w:val="none" w:sz="0" w:space="0" w:color="auto"/>
                                                                  </w:divBdr>
                                                                  <w:divsChild>
                                                                    <w:div w:id="1837644637">
                                                                      <w:marLeft w:val="0"/>
                                                                      <w:marRight w:val="0"/>
                                                                      <w:marTop w:val="0"/>
                                                                      <w:marBottom w:val="0"/>
                                                                      <w:divBdr>
                                                                        <w:top w:val="none" w:sz="0" w:space="0" w:color="auto"/>
                                                                        <w:left w:val="none" w:sz="0" w:space="0" w:color="auto"/>
                                                                        <w:bottom w:val="none" w:sz="0" w:space="0" w:color="auto"/>
                                                                        <w:right w:val="none" w:sz="0" w:space="0" w:color="auto"/>
                                                                      </w:divBdr>
                                                                      <w:divsChild>
                                                                        <w:div w:id="1302230320">
                                                                          <w:marLeft w:val="0"/>
                                                                          <w:marRight w:val="0"/>
                                                                          <w:marTop w:val="0"/>
                                                                          <w:marBottom w:val="0"/>
                                                                          <w:divBdr>
                                                                            <w:top w:val="none" w:sz="0" w:space="0" w:color="auto"/>
                                                                            <w:left w:val="none" w:sz="0" w:space="0" w:color="auto"/>
                                                                            <w:bottom w:val="none" w:sz="0" w:space="0" w:color="auto"/>
                                                                            <w:right w:val="none" w:sz="0" w:space="0" w:color="auto"/>
                                                                          </w:divBdr>
                                                                          <w:divsChild>
                                                                            <w:div w:id="2104103055">
                                                                              <w:marLeft w:val="0"/>
                                                                              <w:marRight w:val="0"/>
                                                                              <w:marTop w:val="0"/>
                                                                              <w:marBottom w:val="0"/>
                                                                              <w:divBdr>
                                                                                <w:top w:val="none" w:sz="0" w:space="0" w:color="auto"/>
                                                                                <w:left w:val="none" w:sz="0" w:space="0" w:color="auto"/>
                                                                                <w:bottom w:val="none" w:sz="0" w:space="0" w:color="auto"/>
                                                                                <w:right w:val="none" w:sz="0" w:space="0" w:color="auto"/>
                                                                              </w:divBdr>
                                                                              <w:divsChild>
                                                                                <w:div w:id="2108959520">
                                                                                  <w:marLeft w:val="0"/>
                                                                                  <w:marRight w:val="0"/>
                                                                                  <w:marTop w:val="0"/>
                                                                                  <w:marBottom w:val="0"/>
                                                                                  <w:divBdr>
                                                                                    <w:top w:val="none" w:sz="0" w:space="0" w:color="auto"/>
                                                                                    <w:left w:val="none" w:sz="0" w:space="0" w:color="auto"/>
                                                                                    <w:bottom w:val="none" w:sz="0" w:space="0" w:color="auto"/>
                                                                                    <w:right w:val="none" w:sz="0" w:space="0" w:color="auto"/>
                                                                                  </w:divBdr>
                                                                                  <w:divsChild>
                                                                                    <w:div w:id="351617592">
                                                                                      <w:marLeft w:val="0"/>
                                                                                      <w:marRight w:val="0"/>
                                                                                      <w:marTop w:val="0"/>
                                                                                      <w:marBottom w:val="0"/>
                                                                                      <w:divBdr>
                                                                                        <w:top w:val="none" w:sz="0" w:space="0" w:color="auto"/>
                                                                                        <w:left w:val="none" w:sz="0" w:space="0" w:color="auto"/>
                                                                                        <w:bottom w:val="none" w:sz="0" w:space="0" w:color="auto"/>
                                                                                        <w:right w:val="none" w:sz="0" w:space="0" w:color="auto"/>
                                                                                      </w:divBdr>
                                                                                      <w:divsChild>
                                                                                        <w:div w:id="432095971">
                                                                                          <w:marLeft w:val="0"/>
                                                                                          <w:marRight w:val="0"/>
                                                                                          <w:marTop w:val="0"/>
                                                                                          <w:marBottom w:val="0"/>
                                                                                          <w:divBdr>
                                                                                            <w:top w:val="none" w:sz="0" w:space="0" w:color="auto"/>
                                                                                            <w:left w:val="none" w:sz="0" w:space="0" w:color="auto"/>
                                                                                            <w:bottom w:val="none" w:sz="0" w:space="0" w:color="auto"/>
                                                                                            <w:right w:val="none" w:sz="0" w:space="0" w:color="auto"/>
                                                                                          </w:divBdr>
                                                                                          <w:divsChild>
                                                                                            <w:div w:id="1643465280">
                                                                                              <w:marLeft w:val="0"/>
                                                                                              <w:marRight w:val="0"/>
                                                                                              <w:marTop w:val="0"/>
                                                                                              <w:marBottom w:val="0"/>
                                                                                              <w:divBdr>
                                                                                                <w:top w:val="none" w:sz="0" w:space="0" w:color="auto"/>
                                                                                                <w:left w:val="none" w:sz="0" w:space="0" w:color="auto"/>
                                                                                                <w:bottom w:val="none" w:sz="0" w:space="0" w:color="auto"/>
                                                                                                <w:right w:val="none" w:sz="0" w:space="0" w:color="auto"/>
                                                                                              </w:divBdr>
                                                                                              <w:divsChild>
                                                                                                <w:div w:id="1584416926">
                                                                                                  <w:marLeft w:val="0"/>
                                                                                                  <w:marRight w:val="0"/>
                                                                                                  <w:marTop w:val="0"/>
                                                                                                  <w:marBottom w:val="0"/>
                                                                                                  <w:divBdr>
                                                                                                    <w:top w:val="none" w:sz="0" w:space="0" w:color="auto"/>
                                                                                                    <w:left w:val="none" w:sz="0" w:space="0" w:color="auto"/>
                                                                                                    <w:bottom w:val="none" w:sz="0" w:space="0" w:color="auto"/>
                                                                                                    <w:right w:val="none" w:sz="0" w:space="0" w:color="auto"/>
                                                                                                  </w:divBdr>
                                                                                                  <w:divsChild>
                                                                                                    <w:div w:id="1606771992">
                                                                                                      <w:marLeft w:val="0"/>
                                                                                                      <w:marRight w:val="0"/>
                                                                                                      <w:marTop w:val="0"/>
                                                                                                      <w:marBottom w:val="0"/>
                                                                                                      <w:divBdr>
                                                                                                        <w:top w:val="none" w:sz="0" w:space="0" w:color="auto"/>
                                                                                                        <w:left w:val="none" w:sz="0" w:space="0" w:color="auto"/>
                                                                                                        <w:bottom w:val="none" w:sz="0" w:space="0" w:color="auto"/>
                                                                                                        <w:right w:val="none" w:sz="0" w:space="0" w:color="auto"/>
                                                                                                      </w:divBdr>
                                                                                                      <w:divsChild>
                                                                                                        <w:div w:id="342056364">
                                                                                                          <w:marLeft w:val="0"/>
                                                                                                          <w:marRight w:val="0"/>
                                                                                                          <w:marTop w:val="0"/>
                                                                                                          <w:marBottom w:val="0"/>
                                                                                                          <w:divBdr>
                                                                                                            <w:top w:val="none" w:sz="0" w:space="0" w:color="auto"/>
                                                                                                            <w:left w:val="none" w:sz="0" w:space="0" w:color="auto"/>
                                                                                                            <w:bottom w:val="none" w:sz="0" w:space="0" w:color="auto"/>
                                                                                                            <w:right w:val="none" w:sz="0" w:space="0" w:color="auto"/>
                                                                                                          </w:divBdr>
                                                                                                        </w:div>
                                                                                                        <w:div w:id="860585561">
                                                                                                          <w:marLeft w:val="720"/>
                                                                                                          <w:marRight w:val="0"/>
                                                                                                          <w:marTop w:val="0"/>
                                                                                                          <w:marBottom w:val="0"/>
                                                                                                          <w:divBdr>
                                                                                                            <w:top w:val="none" w:sz="0" w:space="0" w:color="auto"/>
                                                                                                            <w:left w:val="none" w:sz="0" w:space="0" w:color="auto"/>
                                                                                                            <w:bottom w:val="none" w:sz="0" w:space="0" w:color="auto"/>
                                                                                                            <w:right w:val="none" w:sz="0" w:space="0" w:color="auto"/>
                                                                                                          </w:divBdr>
                                                                                                        </w:div>
                                                                                                        <w:div w:id="1004476559">
                                                                                                          <w:marLeft w:val="0"/>
                                                                                                          <w:marRight w:val="0"/>
                                                                                                          <w:marTop w:val="0"/>
                                                                                                          <w:marBottom w:val="0"/>
                                                                                                          <w:divBdr>
                                                                                                            <w:top w:val="none" w:sz="0" w:space="0" w:color="auto"/>
                                                                                                            <w:left w:val="none" w:sz="0" w:space="0" w:color="auto"/>
                                                                                                            <w:bottom w:val="none" w:sz="0" w:space="0" w:color="auto"/>
                                                                                                            <w:right w:val="none" w:sz="0" w:space="0" w:color="auto"/>
                                                                                                          </w:divBdr>
                                                                                                        </w:div>
                                                                                                        <w:div w:id="1088768575">
                                                                                                          <w:marLeft w:val="0"/>
                                                                                                          <w:marRight w:val="0"/>
                                                                                                          <w:marTop w:val="0"/>
                                                                                                          <w:marBottom w:val="0"/>
                                                                                                          <w:divBdr>
                                                                                                            <w:top w:val="none" w:sz="0" w:space="0" w:color="auto"/>
                                                                                                            <w:left w:val="none" w:sz="0" w:space="0" w:color="auto"/>
                                                                                                            <w:bottom w:val="none" w:sz="0" w:space="0" w:color="auto"/>
                                                                                                            <w:right w:val="none" w:sz="0" w:space="0" w:color="auto"/>
                                                                                                          </w:divBdr>
                                                                                                        </w:div>
                                                                                                        <w:div w:id="1180774173">
                                                                                                          <w:marLeft w:val="720"/>
                                                                                                          <w:marRight w:val="0"/>
                                                                                                          <w:marTop w:val="0"/>
                                                                                                          <w:marBottom w:val="0"/>
                                                                                                          <w:divBdr>
                                                                                                            <w:top w:val="none" w:sz="0" w:space="0" w:color="auto"/>
                                                                                                            <w:left w:val="none" w:sz="0" w:space="0" w:color="auto"/>
                                                                                                            <w:bottom w:val="none" w:sz="0" w:space="0" w:color="auto"/>
                                                                                                            <w:right w:val="none" w:sz="0" w:space="0" w:color="auto"/>
                                                                                                          </w:divBdr>
                                                                                                        </w:div>
                                                                                                        <w:div w:id="1369329940">
                                                                                                          <w:marLeft w:val="0"/>
                                                                                                          <w:marRight w:val="0"/>
                                                                                                          <w:marTop w:val="0"/>
                                                                                                          <w:marBottom w:val="0"/>
                                                                                                          <w:divBdr>
                                                                                                            <w:top w:val="none" w:sz="0" w:space="0" w:color="auto"/>
                                                                                                            <w:left w:val="none" w:sz="0" w:space="0" w:color="auto"/>
                                                                                                            <w:bottom w:val="none" w:sz="0" w:space="0" w:color="auto"/>
                                                                                                            <w:right w:val="none" w:sz="0" w:space="0" w:color="auto"/>
                                                                                                          </w:divBdr>
                                                                                                        </w:div>
                                                                                                        <w:div w:id="1514303147">
                                                                                                          <w:marLeft w:val="0"/>
                                                                                                          <w:marRight w:val="0"/>
                                                                                                          <w:marTop w:val="0"/>
                                                                                                          <w:marBottom w:val="0"/>
                                                                                                          <w:divBdr>
                                                                                                            <w:top w:val="none" w:sz="0" w:space="0" w:color="auto"/>
                                                                                                            <w:left w:val="none" w:sz="0" w:space="0" w:color="auto"/>
                                                                                                            <w:bottom w:val="none" w:sz="0" w:space="0" w:color="auto"/>
                                                                                                            <w:right w:val="none" w:sz="0" w:space="0" w:color="auto"/>
                                                                                                          </w:divBdr>
                                                                                                        </w:div>
                                                                                                        <w:div w:id="1736273327">
                                                                                                          <w:marLeft w:val="0"/>
                                                                                                          <w:marRight w:val="0"/>
                                                                                                          <w:marTop w:val="0"/>
                                                                                                          <w:marBottom w:val="0"/>
                                                                                                          <w:divBdr>
                                                                                                            <w:top w:val="none" w:sz="0" w:space="0" w:color="auto"/>
                                                                                                            <w:left w:val="none" w:sz="0" w:space="0" w:color="auto"/>
                                                                                                            <w:bottom w:val="none" w:sz="0" w:space="0" w:color="auto"/>
                                                                                                            <w:right w:val="none" w:sz="0" w:space="0" w:color="auto"/>
                                                                                                          </w:divBdr>
                                                                                                        </w:div>
                                                                                                        <w:div w:id="1874032460">
                                                                                                          <w:marLeft w:val="720"/>
                                                                                                          <w:marRight w:val="0"/>
                                                                                                          <w:marTop w:val="0"/>
                                                                                                          <w:marBottom w:val="0"/>
                                                                                                          <w:divBdr>
                                                                                                            <w:top w:val="none" w:sz="0" w:space="0" w:color="auto"/>
                                                                                                            <w:left w:val="none" w:sz="0" w:space="0" w:color="auto"/>
                                                                                                            <w:bottom w:val="none" w:sz="0" w:space="0" w:color="auto"/>
                                                                                                            <w:right w:val="none" w:sz="0" w:space="0" w:color="auto"/>
                                                                                                          </w:divBdr>
                                                                                                        </w:div>
                                                                                                        <w:div w:id="2094156981">
                                                                                                          <w:marLeft w:val="0"/>
                                                                                                          <w:marRight w:val="0"/>
                                                                                                          <w:marTop w:val="0"/>
                                                                                                          <w:marBottom w:val="0"/>
                                                                                                          <w:divBdr>
                                                                                                            <w:top w:val="none" w:sz="0" w:space="0" w:color="auto"/>
                                                                                                            <w:left w:val="none" w:sz="0" w:space="0" w:color="auto"/>
                                                                                                            <w:bottom w:val="none" w:sz="0" w:space="0" w:color="auto"/>
                                                                                                            <w:right w:val="none" w:sz="0" w:space="0" w:color="auto"/>
                                                                                                          </w:divBdr>
                                                                                                        </w:div>
                                                                                                        <w:div w:id="209481103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154827">
      <w:bodyDiv w:val="1"/>
      <w:marLeft w:val="0"/>
      <w:marRight w:val="0"/>
      <w:marTop w:val="0"/>
      <w:marBottom w:val="0"/>
      <w:divBdr>
        <w:top w:val="none" w:sz="0" w:space="0" w:color="auto"/>
        <w:left w:val="none" w:sz="0" w:space="0" w:color="auto"/>
        <w:bottom w:val="none" w:sz="0" w:space="0" w:color="auto"/>
        <w:right w:val="none" w:sz="0" w:space="0" w:color="auto"/>
      </w:divBdr>
    </w:div>
    <w:div w:id="87314568">
      <w:bodyDiv w:val="1"/>
      <w:marLeft w:val="0"/>
      <w:marRight w:val="0"/>
      <w:marTop w:val="0"/>
      <w:marBottom w:val="0"/>
      <w:divBdr>
        <w:top w:val="none" w:sz="0" w:space="0" w:color="auto"/>
        <w:left w:val="none" w:sz="0" w:space="0" w:color="auto"/>
        <w:bottom w:val="none" w:sz="0" w:space="0" w:color="auto"/>
        <w:right w:val="none" w:sz="0" w:space="0" w:color="auto"/>
      </w:divBdr>
    </w:div>
    <w:div w:id="92090700">
      <w:bodyDiv w:val="1"/>
      <w:marLeft w:val="0"/>
      <w:marRight w:val="0"/>
      <w:marTop w:val="0"/>
      <w:marBottom w:val="0"/>
      <w:divBdr>
        <w:top w:val="none" w:sz="0" w:space="0" w:color="auto"/>
        <w:left w:val="none" w:sz="0" w:space="0" w:color="auto"/>
        <w:bottom w:val="none" w:sz="0" w:space="0" w:color="auto"/>
        <w:right w:val="none" w:sz="0" w:space="0" w:color="auto"/>
      </w:divBdr>
    </w:div>
    <w:div w:id="95445172">
      <w:bodyDiv w:val="1"/>
      <w:marLeft w:val="0"/>
      <w:marRight w:val="0"/>
      <w:marTop w:val="0"/>
      <w:marBottom w:val="0"/>
      <w:divBdr>
        <w:top w:val="none" w:sz="0" w:space="0" w:color="auto"/>
        <w:left w:val="none" w:sz="0" w:space="0" w:color="auto"/>
        <w:bottom w:val="none" w:sz="0" w:space="0" w:color="auto"/>
        <w:right w:val="none" w:sz="0" w:space="0" w:color="auto"/>
      </w:divBdr>
    </w:div>
    <w:div w:id="96021446">
      <w:bodyDiv w:val="1"/>
      <w:marLeft w:val="0"/>
      <w:marRight w:val="0"/>
      <w:marTop w:val="0"/>
      <w:marBottom w:val="0"/>
      <w:divBdr>
        <w:top w:val="none" w:sz="0" w:space="0" w:color="auto"/>
        <w:left w:val="none" w:sz="0" w:space="0" w:color="auto"/>
        <w:bottom w:val="none" w:sz="0" w:space="0" w:color="auto"/>
        <w:right w:val="none" w:sz="0" w:space="0" w:color="auto"/>
      </w:divBdr>
    </w:div>
    <w:div w:id="101192650">
      <w:bodyDiv w:val="1"/>
      <w:marLeft w:val="0"/>
      <w:marRight w:val="0"/>
      <w:marTop w:val="0"/>
      <w:marBottom w:val="0"/>
      <w:divBdr>
        <w:top w:val="none" w:sz="0" w:space="0" w:color="auto"/>
        <w:left w:val="none" w:sz="0" w:space="0" w:color="auto"/>
        <w:bottom w:val="none" w:sz="0" w:space="0" w:color="auto"/>
        <w:right w:val="none" w:sz="0" w:space="0" w:color="auto"/>
      </w:divBdr>
    </w:div>
    <w:div w:id="126824346">
      <w:bodyDiv w:val="1"/>
      <w:marLeft w:val="0"/>
      <w:marRight w:val="0"/>
      <w:marTop w:val="0"/>
      <w:marBottom w:val="0"/>
      <w:divBdr>
        <w:top w:val="none" w:sz="0" w:space="0" w:color="auto"/>
        <w:left w:val="none" w:sz="0" w:space="0" w:color="auto"/>
        <w:bottom w:val="none" w:sz="0" w:space="0" w:color="auto"/>
        <w:right w:val="none" w:sz="0" w:space="0" w:color="auto"/>
      </w:divBdr>
    </w:div>
    <w:div w:id="129565346">
      <w:bodyDiv w:val="1"/>
      <w:marLeft w:val="0"/>
      <w:marRight w:val="0"/>
      <w:marTop w:val="0"/>
      <w:marBottom w:val="0"/>
      <w:divBdr>
        <w:top w:val="none" w:sz="0" w:space="0" w:color="auto"/>
        <w:left w:val="none" w:sz="0" w:space="0" w:color="auto"/>
        <w:bottom w:val="none" w:sz="0" w:space="0" w:color="auto"/>
        <w:right w:val="none" w:sz="0" w:space="0" w:color="auto"/>
      </w:divBdr>
    </w:div>
    <w:div w:id="179786470">
      <w:bodyDiv w:val="1"/>
      <w:marLeft w:val="0"/>
      <w:marRight w:val="0"/>
      <w:marTop w:val="0"/>
      <w:marBottom w:val="0"/>
      <w:divBdr>
        <w:top w:val="none" w:sz="0" w:space="0" w:color="auto"/>
        <w:left w:val="none" w:sz="0" w:space="0" w:color="auto"/>
        <w:bottom w:val="none" w:sz="0" w:space="0" w:color="auto"/>
        <w:right w:val="none" w:sz="0" w:space="0" w:color="auto"/>
      </w:divBdr>
    </w:div>
    <w:div w:id="180628344">
      <w:bodyDiv w:val="1"/>
      <w:marLeft w:val="0"/>
      <w:marRight w:val="0"/>
      <w:marTop w:val="0"/>
      <w:marBottom w:val="0"/>
      <w:divBdr>
        <w:top w:val="none" w:sz="0" w:space="0" w:color="auto"/>
        <w:left w:val="none" w:sz="0" w:space="0" w:color="auto"/>
        <w:bottom w:val="none" w:sz="0" w:space="0" w:color="auto"/>
        <w:right w:val="none" w:sz="0" w:space="0" w:color="auto"/>
      </w:divBdr>
    </w:div>
    <w:div w:id="202251526">
      <w:bodyDiv w:val="1"/>
      <w:marLeft w:val="0"/>
      <w:marRight w:val="0"/>
      <w:marTop w:val="0"/>
      <w:marBottom w:val="0"/>
      <w:divBdr>
        <w:top w:val="none" w:sz="0" w:space="0" w:color="auto"/>
        <w:left w:val="none" w:sz="0" w:space="0" w:color="auto"/>
        <w:bottom w:val="none" w:sz="0" w:space="0" w:color="auto"/>
        <w:right w:val="none" w:sz="0" w:space="0" w:color="auto"/>
      </w:divBdr>
    </w:div>
    <w:div w:id="226957796">
      <w:bodyDiv w:val="1"/>
      <w:marLeft w:val="0"/>
      <w:marRight w:val="0"/>
      <w:marTop w:val="0"/>
      <w:marBottom w:val="0"/>
      <w:divBdr>
        <w:top w:val="none" w:sz="0" w:space="0" w:color="auto"/>
        <w:left w:val="none" w:sz="0" w:space="0" w:color="auto"/>
        <w:bottom w:val="none" w:sz="0" w:space="0" w:color="auto"/>
        <w:right w:val="none" w:sz="0" w:space="0" w:color="auto"/>
      </w:divBdr>
    </w:div>
    <w:div w:id="251934548">
      <w:bodyDiv w:val="1"/>
      <w:marLeft w:val="0"/>
      <w:marRight w:val="0"/>
      <w:marTop w:val="0"/>
      <w:marBottom w:val="0"/>
      <w:divBdr>
        <w:top w:val="none" w:sz="0" w:space="0" w:color="auto"/>
        <w:left w:val="none" w:sz="0" w:space="0" w:color="auto"/>
        <w:bottom w:val="none" w:sz="0" w:space="0" w:color="auto"/>
        <w:right w:val="none" w:sz="0" w:space="0" w:color="auto"/>
      </w:divBdr>
    </w:div>
    <w:div w:id="269899004">
      <w:bodyDiv w:val="1"/>
      <w:marLeft w:val="0"/>
      <w:marRight w:val="0"/>
      <w:marTop w:val="0"/>
      <w:marBottom w:val="0"/>
      <w:divBdr>
        <w:top w:val="none" w:sz="0" w:space="0" w:color="auto"/>
        <w:left w:val="none" w:sz="0" w:space="0" w:color="auto"/>
        <w:bottom w:val="none" w:sz="0" w:space="0" w:color="auto"/>
        <w:right w:val="none" w:sz="0" w:space="0" w:color="auto"/>
      </w:divBdr>
    </w:div>
    <w:div w:id="281959780">
      <w:bodyDiv w:val="1"/>
      <w:marLeft w:val="0"/>
      <w:marRight w:val="0"/>
      <w:marTop w:val="0"/>
      <w:marBottom w:val="0"/>
      <w:divBdr>
        <w:top w:val="none" w:sz="0" w:space="0" w:color="auto"/>
        <w:left w:val="none" w:sz="0" w:space="0" w:color="auto"/>
        <w:bottom w:val="none" w:sz="0" w:space="0" w:color="auto"/>
        <w:right w:val="none" w:sz="0" w:space="0" w:color="auto"/>
      </w:divBdr>
    </w:div>
    <w:div w:id="286086297">
      <w:bodyDiv w:val="1"/>
      <w:marLeft w:val="0"/>
      <w:marRight w:val="0"/>
      <w:marTop w:val="0"/>
      <w:marBottom w:val="0"/>
      <w:divBdr>
        <w:top w:val="none" w:sz="0" w:space="0" w:color="auto"/>
        <w:left w:val="none" w:sz="0" w:space="0" w:color="auto"/>
        <w:bottom w:val="none" w:sz="0" w:space="0" w:color="auto"/>
        <w:right w:val="none" w:sz="0" w:space="0" w:color="auto"/>
      </w:divBdr>
    </w:div>
    <w:div w:id="286396764">
      <w:bodyDiv w:val="1"/>
      <w:marLeft w:val="0"/>
      <w:marRight w:val="0"/>
      <w:marTop w:val="0"/>
      <w:marBottom w:val="0"/>
      <w:divBdr>
        <w:top w:val="none" w:sz="0" w:space="0" w:color="auto"/>
        <w:left w:val="none" w:sz="0" w:space="0" w:color="auto"/>
        <w:bottom w:val="none" w:sz="0" w:space="0" w:color="auto"/>
        <w:right w:val="none" w:sz="0" w:space="0" w:color="auto"/>
      </w:divBdr>
    </w:div>
    <w:div w:id="303630906">
      <w:bodyDiv w:val="1"/>
      <w:marLeft w:val="0"/>
      <w:marRight w:val="0"/>
      <w:marTop w:val="0"/>
      <w:marBottom w:val="0"/>
      <w:divBdr>
        <w:top w:val="none" w:sz="0" w:space="0" w:color="auto"/>
        <w:left w:val="none" w:sz="0" w:space="0" w:color="auto"/>
        <w:bottom w:val="none" w:sz="0" w:space="0" w:color="auto"/>
        <w:right w:val="none" w:sz="0" w:space="0" w:color="auto"/>
      </w:divBdr>
    </w:div>
    <w:div w:id="307705112">
      <w:bodyDiv w:val="1"/>
      <w:marLeft w:val="0"/>
      <w:marRight w:val="0"/>
      <w:marTop w:val="0"/>
      <w:marBottom w:val="0"/>
      <w:divBdr>
        <w:top w:val="none" w:sz="0" w:space="0" w:color="auto"/>
        <w:left w:val="none" w:sz="0" w:space="0" w:color="auto"/>
        <w:bottom w:val="none" w:sz="0" w:space="0" w:color="auto"/>
        <w:right w:val="none" w:sz="0" w:space="0" w:color="auto"/>
      </w:divBdr>
    </w:div>
    <w:div w:id="333076665">
      <w:bodyDiv w:val="1"/>
      <w:marLeft w:val="0"/>
      <w:marRight w:val="0"/>
      <w:marTop w:val="0"/>
      <w:marBottom w:val="0"/>
      <w:divBdr>
        <w:top w:val="none" w:sz="0" w:space="0" w:color="auto"/>
        <w:left w:val="none" w:sz="0" w:space="0" w:color="auto"/>
        <w:bottom w:val="none" w:sz="0" w:space="0" w:color="auto"/>
        <w:right w:val="none" w:sz="0" w:space="0" w:color="auto"/>
      </w:divBdr>
    </w:div>
    <w:div w:id="342053945">
      <w:bodyDiv w:val="1"/>
      <w:marLeft w:val="0"/>
      <w:marRight w:val="0"/>
      <w:marTop w:val="0"/>
      <w:marBottom w:val="0"/>
      <w:divBdr>
        <w:top w:val="none" w:sz="0" w:space="0" w:color="auto"/>
        <w:left w:val="none" w:sz="0" w:space="0" w:color="auto"/>
        <w:bottom w:val="none" w:sz="0" w:space="0" w:color="auto"/>
        <w:right w:val="none" w:sz="0" w:space="0" w:color="auto"/>
      </w:divBdr>
    </w:div>
    <w:div w:id="347635474">
      <w:bodyDiv w:val="1"/>
      <w:marLeft w:val="0"/>
      <w:marRight w:val="0"/>
      <w:marTop w:val="0"/>
      <w:marBottom w:val="0"/>
      <w:divBdr>
        <w:top w:val="none" w:sz="0" w:space="0" w:color="auto"/>
        <w:left w:val="none" w:sz="0" w:space="0" w:color="auto"/>
        <w:bottom w:val="none" w:sz="0" w:space="0" w:color="auto"/>
        <w:right w:val="none" w:sz="0" w:space="0" w:color="auto"/>
      </w:divBdr>
    </w:div>
    <w:div w:id="359087469">
      <w:bodyDiv w:val="1"/>
      <w:marLeft w:val="0"/>
      <w:marRight w:val="0"/>
      <w:marTop w:val="0"/>
      <w:marBottom w:val="0"/>
      <w:divBdr>
        <w:top w:val="none" w:sz="0" w:space="0" w:color="auto"/>
        <w:left w:val="none" w:sz="0" w:space="0" w:color="auto"/>
        <w:bottom w:val="none" w:sz="0" w:space="0" w:color="auto"/>
        <w:right w:val="none" w:sz="0" w:space="0" w:color="auto"/>
      </w:divBdr>
    </w:div>
    <w:div w:id="383725005">
      <w:bodyDiv w:val="1"/>
      <w:marLeft w:val="0"/>
      <w:marRight w:val="0"/>
      <w:marTop w:val="0"/>
      <w:marBottom w:val="0"/>
      <w:divBdr>
        <w:top w:val="none" w:sz="0" w:space="0" w:color="auto"/>
        <w:left w:val="none" w:sz="0" w:space="0" w:color="auto"/>
        <w:bottom w:val="none" w:sz="0" w:space="0" w:color="auto"/>
        <w:right w:val="none" w:sz="0" w:space="0" w:color="auto"/>
      </w:divBdr>
    </w:div>
    <w:div w:id="385497376">
      <w:bodyDiv w:val="1"/>
      <w:marLeft w:val="0"/>
      <w:marRight w:val="0"/>
      <w:marTop w:val="0"/>
      <w:marBottom w:val="0"/>
      <w:divBdr>
        <w:top w:val="none" w:sz="0" w:space="0" w:color="auto"/>
        <w:left w:val="none" w:sz="0" w:space="0" w:color="auto"/>
        <w:bottom w:val="none" w:sz="0" w:space="0" w:color="auto"/>
        <w:right w:val="none" w:sz="0" w:space="0" w:color="auto"/>
      </w:divBdr>
    </w:div>
    <w:div w:id="428816417">
      <w:bodyDiv w:val="1"/>
      <w:marLeft w:val="0"/>
      <w:marRight w:val="0"/>
      <w:marTop w:val="0"/>
      <w:marBottom w:val="0"/>
      <w:divBdr>
        <w:top w:val="none" w:sz="0" w:space="0" w:color="auto"/>
        <w:left w:val="none" w:sz="0" w:space="0" w:color="auto"/>
        <w:bottom w:val="none" w:sz="0" w:space="0" w:color="auto"/>
        <w:right w:val="none" w:sz="0" w:space="0" w:color="auto"/>
      </w:divBdr>
    </w:div>
    <w:div w:id="444613638">
      <w:bodyDiv w:val="1"/>
      <w:marLeft w:val="0"/>
      <w:marRight w:val="0"/>
      <w:marTop w:val="0"/>
      <w:marBottom w:val="0"/>
      <w:divBdr>
        <w:top w:val="none" w:sz="0" w:space="0" w:color="auto"/>
        <w:left w:val="none" w:sz="0" w:space="0" w:color="auto"/>
        <w:bottom w:val="none" w:sz="0" w:space="0" w:color="auto"/>
        <w:right w:val="none" w:sz="0" w:space="0" w:color="auto"/>
      </w:divBdr>
    </w:div>
    <w:div w:id="482696989">
      <w:bodyDiv w:val="1"/>
      <w:marLeft w:val="0"/>
      <w:marRight w:val="0"/>
      <w:marTop w:val="0"/>
      <w:marBottom w:val="0"/>
      <w:divBdr>
        <w:top w:val="none" w:sz="0" w:space="0" w:color="auto"/>
        <w:left w:val="none" w:sz="0" w:space="0" w:color="auto"/>
        <w:bottom w:val="none" w:sz="0" w:space="0" w:color="auto"/>
        <w:right w:val="none" w:sz="0" w:space="0" w:color="auto"/>
      </w:divBdr>
    </w:div>
    <w:div w:id="487089561">
      <w:bodyDiv w:val="1"/>
      <w:marLeft w:val="0"/>
      <w:marRight w:val="0"/>
      <w:marTop w:val="0"/>
      <w:marBottom w:val="0"/>
      <w:divBdr>
        <w:top w:val="none" w:sz="0" w:space="0" w:color="auto"/>
        <w:left w:val="none" w:sz="0" w:space="0" w:color="auto"/>
        <w:bottom w:val="none" w:sz="0" w:space="0" w:color="auto"/>
        <w:right w:val="none" w:sz="0" w:space="0" w:color="auto"/>
      </w:divBdr>
      <w:divsChild>
        <w:div w:id="432481560">
          <w:marLeft w:val="0"/>
          <w:marRight w:val="0"/>
          <w:marTop w:val="0"/>
          <w:marBottom w:val="0"/>
          <w:divBdr>
            <w:top w:val="none" w:sz="0" w:space="0" w:color="auto"/>
            <w:left w:val="none" w:sz="0" w:space="0" w:color="auto"/>
            <w:bottom w:val="none" w:sz="0" w:space="0" w:color="auto"/>
            <w:right w:val="none" w:sz="0" w:space="0" w:color="auto"/>
          </w:divBdr>
          <w:divsChild>
            <w:div w:id="896670532">
              <w:marLeft w:val="0"/>
              <w:marRight w:val="0"/>
              <w:marTop w:val="0"/>
              <w:marBottom w:val="0"/>
              <w:divBdr>
                <w:top w:val="none" w:sz="0" w:space="0" w:color="auto"/>
                <w:left w:val="none" w:sz="0" w:space="0" w:color="auto"/>
                <w:bottom w:val="none" w:sz="0" w:space="0" w:color="auto"/>
                <w:right w:val="none" w:sz="0" w:space="0" w:color="auto"/>
              </w:divBdr>
              <w:divsChild>
                <w:div w:id="395980624">
                  <w:marLeft w:val="0"/>
                  <w:marRight w:val="0"/>
                  <w:marTop w:val="0"/>
                  <w:marBottom w:val="0"/>
                  <w:divBdr>
                    <w:top w:val="none" w:sz="0" w:space="0" w:color="auto"/>
                    <w:left w:val="none" w:sz="0" w:space="0" w:color="auto"/>
                    <w:bottom w:val="none" w:sz="0" w:space="0" w:color="auto"/>
                    <w:right w:val="none" w:sz="0" w:space="0" w:color="auto"/>
                  </w:divBdr>
                  <w:divsChild>
                    <w:div w:id="393430271">
                      <w:marLeft w:val="0"/>
                      <w:marRight w:val="0"/>
                      <w:marTop w:val="0"/>
                      <w:marBottom w:val="0"/>
                      <w:divBdr>
                        <w:top w:val="none" w:sz="0" w:space="0" w:color="auto"/>
                        <w:left w:val="none" w:sz="0" w:space="0" w:color="auto"/>
                        <w:bottom w:val="none" w:sz="0" w:space="0" w:color="auto"/>
                        <w:right w:val="none" w:sz="0" w:space="0" w:color="auto"/>
                      </w:divBdr>
                      <w:divsChild>
                        <w:div w:id="1809323093">
                          <w:marLeft w:val="0"/>
                          <w:marRight w:val="0"/>
                          <w:marTop w:val="0"/>
                          <w:marBottom w:val="0"/>
                          <w:divBdr>
                            <w:top w:val="none" w:sz="0" w:space="0" w:color="auto"/>
                            <w:left w:val="none" w:sz="0" w:space="0" w:color="auto"/>
                            <w:bottom w:val="none" w:sz="0" w:space="0" w:color="auto"/>
                            <w:right w:val="none" w:sz="0" w:space="0" w:color="auto"/>
                          </w:divBdr>
                          <w:divsChild>
                            <w:div w:id="1803225979">
                              <w:marLeft w:val="0"/>
                              <w:marRight w:val="0"/>
                              <w:marTop w:val="0"/>
                              <w:marBottom w:val="0"/>
                              <w:divBdr>
                                <w:top w:val="none" w:sz="0" w:space="0" w:color="auto"/>
                                <w:left w:val="none" w:sz="0" w:space="0" w:color="auto"/>
                                <w:bottom w:val="none" w:sz="0" w:space="0" w:color="auto"/>
                                <w:right w:val="none" w:sz="0" w:space="0" w:color="auto"/>
                              </w:divBdr>
                              <w:divsChild>
                                <w:div w:id="1450782776">
                                  <w:marLeft w:val="0"/>
                                  <w:marRight w:val="0"/>
                                  <w:marTop w:val="0"/>
                                  <w:marBottom w:val="0"/>
                                  <w:divBdr>
                                    <w:top w:val="none" w:sz="0" w:space="0" w:color="auto"/>
                                    <w:left w:val="none" w:sz="0" w:space="0" w:color="auto"/>
                                    <w:bottom w:val="none" w:sz="0" w:space="0" w:color="auto"/>
                                    <w:right w:val="none" w:sz="0" w:space="0" w:color="auto"/>
                                  </w:divBdr>
                                  <w:divsChild>
                                    <w:div w:id="1519470195">
                                      <w:marLeft w:val="0"/>
                                      <w:marRight w:val="0"/>
                                      <w:marTop w:val="0"/>
                                      <w:marBottom w:val="0"/>
                                      <w:divBdr>
                                        <w:top w:val="none" w:sz="0" w:space="0" w:color="auto"/>
                                        <w:left w:val="none" w:sz="0" w:space="0" w:color="auto"/>
                                        <w:bottom w:val="none" w:sz="0" w:space="0" w:color="auto"/>
                                        <w:right w:val="none" w:sz="0" w:space="0" w:color="auto"/>
                                      </w:divBdr>
                                      <w:divsChild>
                                        <w:div w:id="1188056715">
                                          <w:marLeft w:val="0"/>
                                          <w:marRight w:val="0"/>
                                          <w:marTop w:val="0"/>
                                          <w:marBottom w:val="0"/>
                                          <w:divBdr>
                                            <w:top w:val="none" w:sz="0" w:space="0" w:color="auto"/>
                                            <w:left w:val="none" w:sz="0" w:space="0" w:color="auto"/>
                                            <w:bottom w:val="none" w:sz="0" w:space="0" w:color="auto"/>
                                            <w:right w:val="none" w:sz="0" w:space="0" w:color="auto"/>
                                          </w:divBdr>
                                          <w:divsChild>
                                            <w:div w:id="1033847514">
                                              <w:marLeft w:val="0"/>
                                              <w:marRight w:val="0"/>
                                              <w:marTop w:val="0"/>
                                              <w:marBottom w:val="0"/>
                                              <w:divBdr>
                                                <w:top w:val="none" w:sz="0" w:space="0" w:color="auto"/>
                                                <w:left w:val="none" w:sz="0" w:space="0" w:color="auto"/>
                                                <w:bottom w:val="none" w:sz="0" w:space="0" w:color="auto"/>
                                                <w:right w:val="none" w:sz="0" w:space="0" w:color="auto"/>
                                              </w:divBdr>
                                              <w:divsChild>
                                                <w:div w:id="1080634456">
                                                  <w:marLeft w:val="0"/>
                                                  <w:marRight w:val="0"/>
                                                  <w:marTop w:val="0"/>
                                                  <w:marBottom w:val="0"/>
                                                  <w:divBdr>
                                                    <w:top w:val="none" w:sz="0" w:space="0" w:color="auto"/>
                                                    <w:left w:val="none" w:sz="0" w:space="0" w:color="auto"/>
                                                    <w:bottom w:val="none" w:sz="0" w:space="0" w:color="auto"/>
                                                    <w:right w:val="none" w:sz="0" w:space="0" w:color="auto"/>
                                                  </w:divBdr>
                                                  <w:divsChild>
                                                    <w:div w:id="942149831">
                                                      <w:marLeft w:val="0"/>
                                                      <w:marRight w:val="0"/>
                                                      <w:marTop w:val="0"/>
                                                      <w:marBottom w:val="0"/>
                                                      <w:divBdr>
                                                        <w:top w:val="none" w:sz="0" w:space="0" w:color="auto"/>
                                                        <w:left w:val="none" w:sz="0" w:space="0" w:color="auto"/>
                                                        <w:bottom w:val="none" w:sz="0" w:space="0" w:color="auto"/>
                                                        <w:right w:val="none" w:sz="0" w:space="0" w:color="auto"/>
                                                      </w:divBdr>
                                                      <w:divsChild>
                                                        <w:div w:id="246496198">
                                                          <w:marLeft w:val="0"/>
                                                          <w:marRight w:val="0"/>
                                                          <w:marTop w:val="0"/>
                                                          <w:marBottom w:val="0"/>
                                                          <w:divBdr>
                                                            <w:top w:val="none" w:sz="0" w:space="0" w:color="auto"/>
                                                            <w:left w:val="none" w:sz="0" w:space="0" w:color="auto"/>
                                                            <w:bottom w:val="none" w:sz="0" w:space="0" w:color="auto"/>
                                                            <w:right w:val="none" w:sz="0" w:space="0" w:color="auto"/>
                                                          </w:divBdr>
                                                          <w:divsChild>
                                                            <w:div w:id="1005206726">
                                                              <w:marLeft w:val="0"/>
                                                              <w:marRight w:val="0"/>
                                                              <w:marTop w:val="0"/>
                                                              <w:marBottom w:val="0"/>
                                                              <w:divBdr>
                                                                <w:top w:val="none" w:sz="0" w:space="0" w:color="auto"/>
                                                                <w:left w:val="none" w:sz="0" w:space="0" w:color="auto"/>
                                                                <w:bottom w:val="none" w:sz="0" w:space="0" w:color="auto"/>
                                                                <w:right w:val="none" w:sz="0" w:space="0" w:color="auto"/>
                                                              </w:divBdr>
                                                              <w:divsChild>
                                                                <w:div w:id="1514419759">
                                                                  <w:marLeft w:val="0"/>
                                                                  <w:marRight w:val="0"/>
                                                                  <w:marTop w:val="0"/>
                                                                  <w:marBottom w:val="0"/>
                                                                  <w:divBdr>
                                                                    <w:top w:val="none" w:sz="0" w:space="0" w:color="auto"/>
                                                                    <w:left w:val="none" w:sz="0" w:space="0" w:color="auto"/>
                                                                    <w:bottom w:val="none" w:sz="0" w:space="0" w:color="auto"/>
                                                                    <w:right w:val="none" w:sz="0" w:space="0" w:color="auto"/>
                                                                  </w:divBdr>
                                                                  <w:divsChild>
                                                                    <w:div w:id="1117989496">
                                                                      <w:marLeft w:val="0"/>
                                                                      <w:marRight w:val="0"/>
                                                                      <w:marTop w:val="0"/>
                                                                      <w:marBottom w:val="0"/>
                                                                      <w:divBdr>
                                                                        <w:top w:val="none" w:sz="0" w:space="0" w:color="auto"/>
                                                                        <w:left w:val="none" w:sz="0" w:space="0" w:color="auto"/>
                                                                        <w:bottom w:val="none" w:sz="0" w:space="0" w:color="auto"/>
                                                                        <w:right w:val="none" w:sz="0" w:space="0" w:color="auto"/>
                                                                      </w:divBdr>
                                                                      <w:divsChild>
                                                                        <w:div w:id="21053980">
                                                                          <w:marLeft w:val="0"/>
                                                                          <w:marRight w:val="0"/>
                                                                          <w:marTop w:val="0"/>
                                                                          <w:marBottom w:val="0"/>
                                                                          <w:divBdr>
                                                                            <w:top w:val="none" w:sz="0" w:space="0" w:color="auto"/>
                                                                            <w:left w:val="none" w:sz="0" w:space="0" w:color="auto"/>
                                                                            <w:bottom w:val="none" w:sz="0" w:space="0" w:color="auto"/>
                                                                            <w:right w:val="none" w:sz="0" w:space="0" w:color="auto"/>
                                                                          </w:divBdr>
                                                                          <w:divsChild>
                                                                            <w:div w:id="517431943">
                                                                              <w:marLeft w:val="0"/>
                                                                              <w:marRight w:val="0"/>
                                                                              <w:marTop w:val="0"/>
                                                                              <w:marBottom w:val="0"/>
                                                                              <w:divBdr>
                                                                                <w:top w:val="none" w:sz="0" w:space="0" w:color="auto"/>
                                                                                <w:left w:val="none" w:sz="0" w:space="0" w:color="auto"/>
                                                                                <w:bottom w:val="none" w:sz="0" w:space="0" w:color="auto"/>
                                                                                <w:right w:val="none" w:sz="0" w:space="0" w:color="auto"/>
                                                                              </w:divBdr>
                                                                              <w:divsChild>
                                                                                <w:div w:id="1244535043">
                                                                                  <w:marLeft w:val="0"/>
                                                                                  <w:marRight w:val="0"/>
                                                                                  <w:marTop w:val="0"/>
                                                                                  <w:marBottom w:val="0"/>
                                                                                  <w:divBdr>
                                                                                    <w:top w:val="none" w:sz="0" w:space="0" w:color="auto"/>
                                                                                    <w:left w:val="none" w:sz="0" w:space="0" w:color="auto"/>
                                                                                    <w:bottom w:val="none" w:sz="0" w:space="0" w:color="auto"/>
                                                                                    <w:right w:val="none" w:sz="0" w:space="0" w:color="auto"/>
                                                                                  </w:divBdr>
                                                                                  <w:divsChild>
                                                                                    <w:div w:id="787353810">
                                                                                      <w:marLeft w:val="0"/>
                                                                                      <w:marRight w:val="0"/>
                                                                                      <w:marTop w:val="0"/>
                                                                                      <w:marBottom w:val="0"/>
                                                                                      <w:divBdr>
                                                                                        <w:top w:val="none" w:sz="0" w:space="0" w:color="auto"/>
                                                                                        <w:left w:val="none" w:sz="0" w:space="0" w:color="auto"/>
                                                                                        <w:bottom w:val="none" w:sz="0" w:space="0" w:color="auto"/>
                                                                                        <w:right w:val="none" w:sz="0" w:space="0" w:color="auto"/>
                                                                                      </w:divBdr>
                                                                                      <w:divsChild>
                                                                                        <w:div w:id="828057057">
                                                                                          <w:marLeft w:val="0"/>
                                                                                          <w:marRight w:val="0"/>
                                                                                          <w:marTop w:val="0"/>
                                                                                          <w:marBottom w:val="0"/>
                                                                                          <w:divBdr>
                                                                                            <w:top w:val="none" w:sz="0" w:space="0" w:color="auto"/>
                                                                                            <w:left w:val="none" w:sz="0" w:space="0" w:color="auto"/>
                                                                                            <w:bottom w:val="none" w:sz="0" w:space="0" w:color="auto"/>
                                                                                            <w:right w:val="none" w:sz="0" w:space="0" w:color="auto"/>
                                                                                          </w:divBdr>
                                                                                          <w:divsChild>
                                                                                            <w:div w:id="8605970">
                                                                                              <w:marLeft w:val="0"/>
                                                                                              <w:marRight w:val="0"/>
                                                                                              <w:marTop w:val="0"/>
                                                                                              <w:marBottom w:val="0"/>
                                                                                              <w:divBdr>
                                                                                                <w:top w:val="none" w:sz="0" w:space="0" w:color="auto"/>
                                                                                                <w:left w:val="none" w:sz="0" w:space="0" w:color="auto"/>
                                                                                                <w:bottom w:val="none" w:sz="0" w:space="0" w:color="auto"/>
                                                                                                <w:right w:val="none" w:sz="0" w:space="0" w:color="auto"/>
                                                                                              </w:divBdr>
                                                                                              <w:divsChild>
                                                                                                <w:div w:id="211889135">
                                                                                                  <w:marLeft w:val="0"/>
                                                                                                  <w:marRight w:val="0"/>
                                                                                                  <w:marTop w:val="0"/>
                                                                                                  <w:marBottom w:val="0"/>
                                                                                                  <w:divBdr>
                                                                                                    <w:top w:val="none" w:sz="0" w:space="0" w:color="auto"/>
                                                                                                    <w:left w:val="none" w:sz="0" w:space="0" w:color="auto"/>
                                                                                                    <w:bottom w:val="none" w:sz="0" w:space="0" w:color="auto"/>
                                                                                                    <w:right w:val="none" w:sz="0" w:space="0" w:color="auto"/>
                                                                                                  </w:divBdr>
                                                                                                  <w:divsChild>
                                                                                                    <w:div w:id="1643193961">
                                                                                                      <w:marLeft w:val="0"/>
                                                                                                      <w:marRight w:val="0"/>
                                                                                                      <w:marTop w:val="0"/>
                                                                                                      <w:marBottom w:val="0"/>
                                                                                                      <w:divBdr>
                                                                                                        <w:top w:val="none" w:sz="0" w:space="0" w:color="auto"/>
                                                                                                        <w:left w:val="none" w:sz="0" w:space="0" w:color="auto"/>
                                                                                                        <w:bottom w:val="none" w:sz="0" w:space="0" w:color="auto"/>
                                                                                                        <w:right w:val="none" w:sz="0" w:space="0" w:color="auto"/>
                                                                                                      </w:divBdr>
                                                                                                      <w:divsChild>
                                                                                                        <w:div w:id="2249853">
                                                                                                          <w:marLeft w:val="0"/>
                                                                                                          <w:marRight w:val="0"/>
                                                                                                          <w:marTop w:val="0"/>
                                                                                                          <w:marBottom w:val="0"/>
                                                                                                          <w:divBdr>
                                                                                                            <w:top w:val="none" w:sz="0" w:space="0" w:color="auto"/>
                                                                                                            <w:left w:val="none" w:sz="0" w:space="0" w:color="auto"/>
                                                                                                            <w:bottom w:val="none" w:sz="0" w:space="0" w:color="auto"/>
                                                                                                            <w:right w:val="none" w:sz="0" w:space="0" w:color="auto"/>
                                                                                                          </w:divBdr>
                                                                                                        </w:div>
                                                                                                        <w:div w:id="15739535">
                                                                                                          <w:marLeft w:val="0"/>
                                                                                                          <w:marRight w:val="0"/>
                                                                                                          <w:marTop w:val="0"/>
                                                                                                          <w:marBottom w:val="0"/>
                                                                                                          <w:divBdr>
                                                                                                            <w:top w:val="none" w:sz="0" w:space="0" w:color="auto"/>
                                                                                                            <w:left w:val="none" w:sz="0" w:space="0" w:color="auto"/>
                                                                                                            <w:bottom w:val="none" w:sz="0" w:space="0" w:color="auto"/>
                                                                                                            <w:right w:val="none" w:sz="0" w:space="0" w:color="auto"/>
                                                                                                          </w:divBdr>
                                                                                                        </w:div>
                                                                                                        <w:div w:id="220411024">
                                                                                                          <w:marLeft w:val="0"/>
                                                                                                          <w:marRight w:val="0"/>
                                                                                                          <w:marTop w:val="0"/>
                                                                                                          <w:marBottom w:val="0"/>
                                                                                                          <w:divBdr>
                                                                                                            <w:top w:val="none" w:sz="0" w:space="0" w:color="auto"/>
                                                                                                            <w:left w:val="none" w:sz="0" w:space="0" w:color="auto"/>
                                                                                                            <w:bottom w:val="none" w:sz="0" w:space="0" w:color="auto"/>
                                                                                                            <w:right w:val="none" w:sz="0" w:space="0" w:color="auto"/>
                                                                                                          </w:divBdr>
                                                                                                        </w:div>
                                                                                                        <w:div w:id="572393376">
                                                                                                          <w:marLeft w:val="0"/>
                                                                                                          <w:marRight w:val="0"/>
                                                                                                          <w:marTop w:val="0"/>
                                                                                                          <w:marBottom w:val="0"/>
                                                                                                          <w:divBdr>
                                                                                                            <w:top w:val="none" w:sz="0" w:space="0" w:color="auto"/>
                                                                                                            <w:left w:val="none" w:sz="0" w:space="0" w:color="auto"/>
                                                                                                            <w:bottom w:val="none" w:sz="0" w:space="0" w:color="auto"/>
                                                                                                            <w:right w:val="none" w:sz="0" w:space="0" w:color="auto"/>
                                                                                                          </w:divBdr>
                                                                                                        </w:div>
                                                                                                        <w:div w:id="696278623">
                                                                                                          <w:marLeft w:val="0"/>
                                                                                                          <w:marRight w:val="0"/>
                                                                                                          <w:marTop w:val="0"/>
                                                                                                          <w:marBottom w:val="0"/>
                                                                                                          <w:divBdr>
                                                                                                            <w:top w:val="none" w:sz="0" w:space="0" w:color="auto"/>
                                                                                                            <w:left w:val="none" w:sz="0" w:space="0" w:color="auto"/>
                                                                                                            <w:bottom w:val="none" w:sz="0" w:space="0" w:color="auto"/>
                                                                                                            <w:right w:val="none" w:sz="0" w:space="0" w:color="auto"/>
                                                                                                          </w:divBdr>
                                                                                                        </w:div>
                                                                                                        <w:div w:id="1026251992">
                                                                                                          <w:marLeft w:val="0"/>
                                                                                                          <w:marRight w:val="0"/>
                                                                                                          <w:marTop w:val="0"/>
                                                                                                          <w:marBottom w:val="0"/>
                                                                                                          <w:divBdr>
                                                                                                            <w:top w:val="none" w:sz="0" w:space="0" w:color="auto"/>
                                                                                                            <w:left w:val="none" w:sz="0" w:space="0" w:color="auto"/>
                                                                                                            <w:bottom w:val="none" w:sz="0" w:space="0" w:color="auto"/>
                                                                                                            <w:right w:val="none" w:sz="0" w:space="0" w:color="auto"/>
                                                                                                          </w:divBdr>
                                                                                                        </w:div>
                                                                                                        <w:div w:id="1177963783">
                                                                                                          <w:marLeft w:val="720"/>
                                                                                                          <w:marRight w:val="0"/>
                                                                                                          <w:marTop w:val="0"/>
                                                                                                          <w:marBottom w:val="0"/>
                                                                                                          <w:divBdr>
                                                                                                            <w:top w:val="none" w:sz="0" w:space="0" w:color="auto"/>
                                                                                                            <w:left w:val="none" w:sz="0" w:space="0" w:color="auto"/>
                                                                                                            <w:bottom w:val="none" w:sz="0" w:space="0" w:color="auto"/>
                                                                                                            <w:right w:val="none" w:sz="0" w:space="0" w:color="auto"/>
                                                                                                          </w:divBdr>
                                                                                                        </w:div>
                                                                                                        <w:div w:id="1484927618">
                                                                                                          <w:marLeft w:val="0"/>
                                                                                                          <w:marRight w:val="0"/>
                                                                                                          <w:marTop w:val="0"/>
                                                                                                          <w:marBottom w:val="0"/>
                                                                                                          <w:divBdr>
                                                                                                            <w:top w:val="none" w:sz="0" w:space="0" w:color="auto"/>
                                                                                                            <w:left w:val="none" w:sz="0" w:space="0" w:color="auto"/>
                                                                                                            <w:bottom w:val="none" w:sz="0" w:space="0" w:color="auto"/>
                                                                                                            <w:right w:val="none" w:sz="0" w:space="0" w:color="auto"/>
                                                                                                          </w:divBdr>
                                                                                                        </w:div>
                                                                                                        <w:div w:id="1537622040">
                                                                                                          <w:marLeft w:val="720"/>
                                                                                                          <w:marRight w:val="0"/>
                                                                                                          <w:marTop w:val="0"/>
                                                                                                          <w:marBottom w:val="0"/>
                                                                                                          <w:divBdr>
                                                                                                            <w:top w:val="none" w:sz="0" w:space="0" w:color="auto"/>
                                                                                                            <w:left w:val="none" w:sz="0" w:space="0" w:color="auto"/>
                                                                                                            <w:bottom w:val="none" w:sz="0" w:space="0" w:color="auto"/>
                                                                                                            <w:right w:val="none" w:sz="0" w:space="0" w:color="auto"/>
                                                                                                          </w:divBdr>
                                                                                                        </w:div>
                                                                                                        <w:div w:id="1546212959">
                                                                                                          <w:marLeft w:val="720"/>
                                                                                                          <w:marRight w:val="0"/>
                                                                                                          <w:marTop w:val="0"/>
                                                                                                          <w:marBottom w:val="0"/>
                                                                                                          <w:divBdr>
                                                                                                            <w:top w:val="none" w:sz="0" w:space="0" w:color="auto"/>
                                                                                                            <w:left w:val="none" w:sz="0" w:space="0" w:color="auto"/>
                                                                                                            <w:bottom w:val="none" w:sz="0" w:space="0" w:color="auto"/>
                                                                                                            <w:right w:val="none" w:sz="0" w:space="0" w:color="auto"/>
                                                                                                          </w:divBdr>
                                                                                                        </w:div>
                                                                                                        <w:div w:id="213027232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2452677">
      <w:bodyDiv w:val="1"/>
      <w:marLeft w:val="0"/>
      <w:marRight w:val="0"/>
      <w:marTop w:val="0"/>
      <w:marBottom w:val="0"/>
      <w:divBdr>
        <w:top w:val="none" w:sz="0" w:space="0" w:color="auto"/>
        <w:left w:val="none" w:sz="0" w:space="0" w:color="auto"/>
        <w:bottom w:val="none" w:sz="0" w:space="0" w:color="auto"/>
        <w:right w:val="none" w:sz="0" w:space="0" w:color="auto"/>
      </w:divBdr>
    </w:div>
    <w:div w:id="527718521">
      <w:bodyDiv w:val="1"/>
      <w:marLeft w:val="0"/>
      <w:marRight w:val="0"/>
      <w:marTop w:val="0"/>
      <w:marBottom w:val="0"/>
      <w:divBdr>
        <w:top w:val="none" w:sz="0" w:space="0" w:color="auto"/>
        <w:left w:val="none" w:sz="0" w:space="0" w:color="auto"/>
        <w:bottom w:val="none" w:sz="0" w:space="0" w:color="auto"/>
        <w:right w:val="none" w:sz="0" w:space="0" w:color="auto"/>
      </w:divBdr>
    </w:div>
    <w:div w:id="536770924">
      <w:bodyDiv w:val="1"/>
      <w:marLeft w:val="0"/>
      <w:marRight w:val="0"/>
      <w:marTop w:val="0"/>
      <w:marBottom w:val="0"/>
      <w:divBdr>
        <w:top w:val="none" w:sz="0" w:space="0" w:color="auto"/>
        <w:left w:val="none" w:sz="0" w:space="0" w:color="auto"/>
        <w:bottom w:val="none" w:sz="0" w:space="0" w:color="auto"/>
        <w:right w:val="none" w:sz="0" w:space="0" w:color="auto"/>
      </w:divBdr>
    </w:div>
    <w:div w:id="563414493">
      <w:bodyDiv w:val="1"/>
      <w:marLeft w:val="0"/>
      <w:marRight w:val="0"/>
      <w:marTop w:val="0"/>
      <w:marBottom w:val="0"/>
      <w:divBdr>
        <w:top w:val="none" w:sz="0" w:space="0" w:color="auto"/>
        <w:left w:val="none" w:sz="0" w:space="0" w:color="auto"/>
        <w:bottom w:val="none" w:sz="0" w:space="0" w:color="auto"/>
        <w:right w:val="none" w:sz="0" w:space="0" w:color="auto"/>
      </w:divBdr>
    </w:div>
    <w:div w:id="593250850">
      <w:bodyDiv w:val="1"/>
      <w:marLeft w:val="0"/>
      <w:marRight w:val="0"/>
      <w:marTop w:val="0"/>
      <w:marBottom w:val="0"/>
      <w:divBdr>
        <w:top w:val="none" w:sz="0" w:space="0" w:color="auto"/>
        <w:left w:val="none" w:sz="0" w:space="0" w:color="auto"/>
        <w:bottom w:val="none" w:sz="0" w:space="0" w:color="auto"/>
        <w:right w:val="none" w:sz="0" w:space="0" w:color="auto"/>
      </w:divBdr>
    </w:div>
    <w:div w:id="597952881">
      <w:bodyDiv w:val="1"/>
      <w:marLeft w:val="0"/>
      <w:marRight w:val="0"/>
      <w:marTop w:val="0"/>
      <w:marBottom w:val="0"/>
      <w:divBdr>
        <w:top w:val="none" w:sz="0" w:space="0" w:color="auto"/>
        <w:left w:val="none" w:sz="0" w:space="0" w:color="auto"/>
        <w:bottom w:val="none" w:sz="0" w:space="0" w:color="auto"/>
        <w:right w:val="none" w:sz="0" w:space="0" w:color="auto"/>
      </w:divBdr>
      <w:divsChild>
        <w:div w:id="1384326281">
          <w:marLeft w:val="0"/>
          <w:marRight w:val="1"/>
          <w:marTop w:val="0"/>
          <w:marBottom w:val="0"/>
          <w:divBdr>
            <w:top w:val="none" w:sz="0" w:space="0" w:color="auto"/>
            <w:left w:val="none" w:sz="0" w:space="0" w:color="auto"/>
            <w:bottom w:val="none" w:sz="0" w:space="0" w:color="auto"/>
            <w:right w:val="none" w:sz="0" w:space="0" w:color="auto"/>
          </w:divBdr>
          <w:divsChild>
            <w:div w:id="1757481823">
              <w:marLeft w:val="0"/>
              <w:marRight w:val="0"/>
              <w:marTop w:val="0"/>
              <w:marBottom w:val="0"/>
              <w:divBdr>
                <w:top w:val="none" w:sz="0" w:space="0" w:color="auto"/>
                <w:left w:val="none" w:sz="0" w:space="0" w:color="auto"/>
                <w:bottom w:val="none" w:sz="0" w:space="0" w:color="auto"/>
                <w:right w:val="none" w:sz="0" w:space="0" w:color="auto"/>
              </w:divBdr>
              <w:divsChild>
                <w:div w:id="150948238">
                  <w:marLeft w:val="0"/>
                  <w:marRight w:val="1"/>
                  <w:marTop w:val="0"/>
                  <w:marBottom w:val="0"/>
                  <w:divBdr>
                    <w:top w:val="none" w:sz="0" w:space="0" w:color="auto"/>
                    <w:left w:val="none" w:sz="0" w:space="0" w:color="auto"/>
                    <w:bottom w:val="none" w:sz="0" w:space="0" w:color="auto"/>
                    <w:right w:val="none" w:sz="0" w:space="0" w:color="auto"/>
                  </w:divBdr>
                  <w:divsChild>
                    <w:div w:id="341592082">
                      <w:marLeft w:val="0"/>
                      <w:marRight w:val="0"/>
                      <w:marTop w:val="0"/>
                      <w:marBottom w:val="0"/>
                      <w:divBdr>
                        <w:top w:val="none" w:sz="0" w:space="0" w:color="auto"/>
                        <w:left w:val="none" w:sz="0" w:space="0" w:color="auto"/>
                        <w:bottom w:val="none" w:sz="0" w:space="0" w:color="auto"/>
                        <w:right w:val="none" w:sz="0" w:space="0" w:color="auto"/>
                      </w:divBdr>
                      <w:divsChild>
                        <w:div w:id="981499413">
                          <w:marLeft w:val="0"/>
                          <w:marRight w:val="0"/>
                          <w:marTop w:val="0"/>
                          <w:marBottom w:val="0"/>
                          <w:divBdr>
                            <w:top w:val="none" w:sz="0" w:space="0" w:color="auto"/>
                            <w:left w:val="none" w:sz="0" w:space="0" w:color="auto"/>
                            <w:bottom w:val="none" w:sz="0" w:space="0" w:color="auto"/>
                            <w:right w:val="none" w:sz="0" w:space="0" w:color="auto"/>
                          </w:divBdr>
                          <w:divsChild>
                            <w:div w:id="720985553">
                              <w:marLeft w:val="0"/>
                              <w:marRight w:val="0"/>
                              <w:marTop w:val="120"/>
                              <w:marBottom w:val="360"/>
                              <w:divBdr>
                                <w:top w:val="none" w:sz="0" w:space="0" w:color="auto"/>
                                <w:left w:val="none" w:sz="0" w:space="0" w:color="auto"/>
                                <w:bottom w:val="none" w:sz="0" w:space="0" w:color="auto"/>
                                <w:right w:val="none" w:sz="0" w:space="0" w:color="auto"/>
                              </w:divBdr>
                              <w:divsChild>
                                <w:div w:id="212664743">
                                  <w:marLeft w:val="0"/>
                                  <w:marRight w:val="0"/>
                                  <w:marTop w:val="0"/>
                                  <w:marBottom w:val="0"/>
                                  <w:divBdr>
                                    <w:top w:val="none" w:sz="0" w:space="0" w:color="auto"/>
                                    <w:left w:val="none" w:sz="0" w:space="0" w:color="auto"/>
                                    <w:bottom w:val="none" w:sz="0" w:space="0" w:color="auto"/>
                                    <w:right w:val="none" w:sz="0" w:space="0" w:color="auto"/>
                                  </w:divBdr>
                                </w:div>
                                <w:div w:id="20233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473166">
      <w:bodyDiv w:val="1"/>
      <w:marLeft w:val="0"/>
      <w:marRight w:val="0"/>
      <w:marTop w:val="0"/>
      <w:marBottom w:val="0"/>
      <w:divBdr>
        <w:top w:val="none" w:sz="0" w:space="0" w:color="auto"/>
        <w:left w:val="none" w:sz="0" w:space="0" w:color="auto"/>
        <w:bottom w:val="none" w:sz="0" w:space="0" w:color="auto"/>
        <w:right w:val="none" w:sz="0" w:space="0" w:color="auto"/>
      </w:divBdr>
    </w:div>
    <w:div w:id="624501969">
      <w:bodyDiv w:val="1"/>
      <w:marLeft w:val="0"/>
      <w:marRight w:val="0"/>
      <w:marTop w:val="0"/>
      <w:marBottom w:val="0"/>
      <w:divBdr>
        <w:top w:val="none" w:sz="0" w:space="0" w:color="auto"/>
        <w:left w:val="none" w:sz="0" w:space="0" w:color="auto"/>
        <w:bottom w:val="none" w:sz="0" w:space="0" w:color="auto"/>
        <w:right w:val="none" w:sz="0" w:space="0" w:color="auto"/>
      </w:divBdr>
    </w:div>
    <w:div w:id="653025131">
      <w:bodyDiv w:val="1"/>
      <w:marLeft w:val="0"/>
      <w:marRight w:val="0"/>
      <w:marTop w:val="0"/>
      <w:marBottom w:val="0"/>
      <w:divBdr>
        <w:top w:val="none" w:sz="0" w:space="0" w:color="auto"/>
        <w:left w:val="none" w:sz="0" w:space="0" w:color="auto"/>
        <w:bottom w:val="none" w:sz="0" w:space="0" w:color="auto"/>
        <w:right w:val="none" w:sz="0" w:space="0" w:color="auto"/>
      </w:divBdr>
    </w:div>
    <w:div w:id="666790956">
      <w:bodyDiv w:val="1"/>
      <w:marLeft w:val="0"/>
      <w:marRight w:val="0"/>
      <w:marTop w:val="0"/>
      <w:marBottom w:val="0"/>
      <w:divBdr>
        <w:top w:val="none" w:sz="0" w:space="0" w:color="auto"/>
        <w:left w:val="none" w:sz="0" w:space="0" w:color="auto"/>
        <w:bottom w:val="none" w:sz="0" w:space="0" w:color="auto"/>
        <w:right w:val="none" w:sz="0" w:space="0" w:color="auto"/>
      </w:divBdr>
    </w:div>
    <w:div w:id="671875437">
      <w:bodyDiv w:val="1"/>
      <w:marLeft w:val="0"/>
      <w:marRight w:val="0"/>
      <w:marTop w:val="0"/>
      <w:marBottom w:val="0"/>
      <w:divBdr>
        <w:top w:val="none" w:sz="0" w:space="0" w:color="auto"/>
        <w:left w:val="none" w:sz="0" w:space="0" w:color="auto"/>
        <w:bottom w:val="none" w:sz="0" w:space="0" w:color="auto"/>
        <w:right w:val="none" w:sz="0" w:space="0" w:color="auto"/>
      </w:divBdr>
    </w:div>
    <w:div w:id="672536565">
      <w:bodyDiv w:val="1"/>
      <w:marLeft w:val="0"/>
      <w:marRight w:val="0"/>
      <w:marTop w:val="0"/>
      <w:marBottom w:val="0"/>
      <w:divBdr>
        <w:top w:val="none" w:sz="0" w:space="0" w:color="auto"/>
        <w:left w:val="none" w:sz="0" w:space="0" w:color="auto"/>
        <w:bottom w:val="none" w:sz="0" w:space="0" w:color="auto"/>
        <w:right w:val="none" w:sz="0" w:space="0" w:color="auto"/>
      </w:divBdr>
    </w:div>
    <w:div w:id="673803662">
      <w:bodyDiv w:val="1"/>
      <w:marLeft w:val="0"/>
      <w:marRight w:val="0"/>
      <w:marTop w:val="0"/>
      <w:marBottom w:val="0"/>
      <w:divBdr>
        <w:top w:val="none" w:sz="0" w:space="0" w:color="auto"/>
        <w:left w:val="none" w:sz="0" w:space="0" w:color="auto"/>
        <w:bottom w:val="none" w:sz="0" w:space="0" w:color="auto"/>
        <w:right w:val="none" w:sz="0" w:space="0" w:color="auto"/>
      </w:divBdr>
    </w:div>
    <w:div w:id="700936648">
      <w:bodyDiv w:val="1"/>
      <w:marLeft w:val="0"/>
      <w:marRight w:val="0"/>
      <w:marTop w:val="0"/>
      <w:marBottom w:val="0"/>
      <w:divBdr>
        <w:top w:val="none" w:sz="0" w:space="0" w:color="auto"/>
        <w:left w:val="none" w:sz="0" w:space="0" w:color="auto"/>
        <w:bottom w:val="none" w:sz="0" w:space="0" w:color="auto"/>
        <w:right w:val="none" w:sz="0" w:space="0" w:color="auto"/>
      </w:divBdr>
    </w:div>
    <w:div w:id="701172016">
      <w:bodyDiv w:val="1"/>
      <w:marLeft w:val="0"/>
      <w:marRight w:val="0"/>
      <w:marTop w:val="0"/>
      <w:marBottom w:val="0"/>
      <w:divBdr>
        <w:top w:val="none" w:sz="0" w:space="0" w:color="auto"/>
        <w:left w:val="none" w:sz="0" w:space="0" w:color="auto"/>
        <w:bottom w:val="none" w:sz="0" w:space="0" w:color="auto"/>
        <w:right w:val="none" w:sz="0" w:space="0" w:color="auto"/>
      </w:divBdr>
    </w:div>
    <w:div w:id="707876425">
      <w:bodyDiv w:val="1"/>
      <w:marLeft w:val="0"/>
      <w:marRight w:val="0"/>
      <w:marTop w:val="0"/>
      <w:marBottom w:val="0"/>
      <w:divBdr>
        <w:top w:val="none" w:sz="0" w:space="0" w:color="auto"/>
        <w:left w:val="none" w:sz="0" w:space="0" w:color="auto"/>
        <w:bottom w:val="none" w:sz="0" w:space="0" w:color="auto"/>
        <w:right w:val="none" w:sz="0" w:space="0" w:color="auto"/>
      </w:divBdr>
    </w:div>
    <w:div w:id="753015649">
      <w:bodyDiv w:val="1"/>
      <w:marLeft w:val="0"/>
      <w:marRight w:val="0"/>
      <w:marTop w:val="0"/>
      <w:marBottom w:val="0"/>
      <w:divBdr>
        <w:top w:val="none" w:sz="0" w:space="0" w:color="auto"/>
        <w:left w:val="none" w:sz="0" w:space="0" w:color="auto"/>
        <w:bottom w:val="none" w:sz="0" w:space="0" w:color="auto"/>
        <w:right w:val="none" w:sz="0" w:space="0" w:color="auto"/>
      </w:divBdr>
    </w:div>
    <w:div w:id="768502646">
      <w:bodyDiv w:val="1"/>
      <w:marLeft w:val="0"/>
      <w:marRight w:val="0"/>
      <w:marTop w:val="0"/>
      <w:marBottom w:val="0"/>
      <w:divBdr>
        <w:top w:val="none" w:sz="0" w:space="0" w:color="auto"/>
        <w:left w:val="none" w:sz="0" w:space="0" w:color="auto"/>
        <w:bottom w:val="none" w:sz="0" w:space="0" w:color="auto"/>
        <w:right w:val="none" w:sz="0" w:space="0" w:color="auto"/>
      </w:divBdr>
    </w:div>
    <w:div w:id="771517209">
      <w:bodyDiv w:val="1"/>
      <w:marLeft w:val="0"/>
      <w:marRight w:val="0"/>
      <w:marTop w:val="0"/>
      <w:marBottom w:val="0"/>
      <w:divBdr>
        <w:top w:val="none" w:sz="0" w:space="0" w:color="auto"/>
        <w:left w:val="none" w:sz="0" w:space="0" w:color="auto"/>
        <w:bottom w:val="none" w:sz="0" w:space="0" w:color="auto"/>
        <w:right w:val="none" w:sz="0" w:space="0" w:color="auto"/>
      </w:divBdr>
    </w:div>
    <w:div w:id="788355691">
      <w:bodyDiv w:val="1"/>
      <w:marLeft w:val="0"/>
      <w:marRight w:val="0"/>
      <w:marTop w:val="0"/>
      <w:marBottom w:val="0"/>
      <w:divBdr>
        <w:top w:val="none" w:sz="0" w:space="0" w:color="auto"/>
        <w:left w:val="none" w:sz="0" w:space="0" w:color="auto"/>
        <w:bottom w:val="none" w:sz="0" w:space="0" w:color="auto"/>
        <w:right w:val="none" w:sz="0" w:space="0" w:color="auto"/>
      </w:divBdr>
    </w:div>
    <w:div w:id="804011457">
      <w:bodyDiv w:val="1"/>
      <w:marLeft w:val="0"/>
      <w:marRight w:val="0"/>
      <w:marTop w:val="0"/>
      <w:marBottom w:val="0"/>
      <w:divBdr>
        <w:top w:val="none" w:sz="0" w:space="0" w:color="auto"/>
        <w:left w:val="none" w:sz="0" w:space="0" w:color="auto"/>
        <w:bottom w:val="none" w:sz="0" w:space="0" w:color="auto"/>
        <w:right w:val="none" w:sz="0" w:space="0" w:color="auto"/>
      </w:divBdr>
    </w:div>
    <w:div w:id="813183338">
      <w:bodyDiv w:val="1"/>
      <w:marLeft w:val="0"/>
      <w:marRight w:val="0"/>
      <w:marTop w:val="0"/>
      <w:marBottom w:val="0"/>
      <w:divBdr>
        <w:top w:val="none" w:sz="0" w:space="0" w:color="auto"/>
        <w:left w:val="none" w:sz="0" w:space="0" w:color="auto"/>
        <w:bottom w:val="none" w:sz="0" w:space="0" w:color="auto"/>
        <w:right w:val="none" w:sz="0" w:space="0" w:color="auto"/>
      </w:divBdr>
    </w:div>
    <w:div w:id="843474615">
      <w:bodyDiv w:val="1"/>
      <w:marLeft w:val="0"/>
      <w:marRight w:val="0"/>
      <w:marTop w:val="0"/>
      <w:marBottom w:val="0"/>
      <w:divBdr>
        <w:top w:val="none" w:sz="0" w:space="0" w:color="auto"/>
        <w:left w:val="none" w:sz="0" w:space="0" w:color="auto"/>
        <w:bottom w:val="none" w:sz="0" w:space="0" w:color="auto"/>
        <w:right w:val="none" w:sz="0" w:space="0" w:color="auto"/>
      </w:divBdr>
    </w:div>
    <w:div w:id="869345065">
      <w:bodyDiv w:val="1"/>
      <w:marLeft w:val="0"/>
      <w:marRight w:val="0"/>
      <w:marTop w:val="0"/>
      <w:marBottom w:val="0"/>
      <w:divBdr>
        <w:top w:val="none" w:sz="0" w:space="0" w:color="auto"/>
        <w:left w:val="none" w:sz="0" w:space="0" w:color="auto"/>
        <w:bottom w:val="none" w:sz="0" w:space="0" w:color="auto"/>
        <w:right w:val="none" w:sz="0" w:space="0" w:color="auto"/>
      </w:divBdr>
    </w:div>
    <w:div w:id="915895276">
      <w:bodyDiv w:val="1"/>
      <w:marLeft w:val="0"/>
      <w:marRight w:val="0"/>
      <w:marTop w:val="0"/>
      <w:marBottom w:val="0"/>
      <w:divBdr>
        <w:top w:val="none" w:sz="0" w:space="0" w:color="auto"/>
        <w:left w:val="none" w:sz="0" w:space="0" w:color="auto"/>
        <w:bottom w:val="none" w:sz="0" w:space="0" w:color="auto"/>
        <w:right w:val="none" w:sz="0" w:space="0" w:color="auto"/>
      </w:divBdr>
    </w:div>
    <w:div w:id="926495176">
      <w:bodyDiv w:val="1"/>
      <w:marLeft w:val="0"/>
      <w:marRight w:val="0"/>
      <w:marTop w:val="0"/>
      <w:marBottom w:val="0"/>
      <w:divBdr>
        <w:top w:val="none" w:sz="0" w:space="0" w:color="auto"/>
        <w:left w:val="none" w:sz="0" w:space="0" w:color="auto"/>
        <w:bottom w:val="none" w:sz="0" w:space="0" w:color="auto"/>
        <w:right w:val="none" w:sz="0" w:space="0" w:color="auto"/>
      </w:divBdr>
    </w:div>
    <w:div w:id="960921102">
      <w:bodyDiv w:val="1"/>
      <w:marLeft w:val="0"/>
      <w:marRight w:val="0"/>
      <w:marTop w:val="0"/>
      <w:marBottom w:val="0"/>
      <w:divBdr>
        <w:top w:val="none" w:sz="0" w:space="0" w:color="auto"/>
        <w:left w:val="none" w:sz="0" w:space="0" w:color="auto"/>
        <w:bottom w:val="none" w:sz="0" w:space="0" w:color="auto"/>
        <w:right w:val="none" w:sz="0" w:space="0" w:color="auto"/>
      </w:divBdr>
    </w:div>
    <w:div w:id="970477286">
      <w:bodyDiv w:val="1"/>
      <w:marLeft w:val="0"/>
      <w:marRight w:val="0"/>
      <w:marTop w:val="0"/>
      <w:marBottom w:val="0"/>
      <w:divBdr>
        <w:top w:val="none" w:sz="0" w:space="0" w:color="auto"/>
        <w:left w:val="none" w:sz="0" w:space="0" w:color="auto"/>
        <w:bottom w:val="none" w:sz="0" w:space="0" w:color="auto"/>
        <w:right w:val="none" w:sz="0" w:space="0" w:color="auto"/>
      </w:divBdr>
    </w:div>
    <w:div w:id="974064318">
      <w:bodyDiv w:val="1"/>
      <w:marLeft w:val="0"/>
      <w:marRight w:val="0"/>
      <w:marTop w:val="0"/>
      <w:marBottom w:val="0"/>
      <w:divBdr>
        <w:top w:val="none" w:sz="0" w:space="0" w:color="auto"/>
        <w:left w:val="none" w:sz="0" w:space="0" w:color="auto"/>
        <w:bottom w:val="none" w:sz="0" w:space="0" w:color="auto"/>
        <w:right w:val="none" w:sz="0" w:space="0" w:color="auto"/>
      </w:divBdr>
    </w:div>
    <w:div w:id="977615840">
      <w:bodyDiv w:val="1"/>
      <w:marLeft w:val="0"/>
      <w:marRight w:val="0"/>
      <w:marTop w:val="0"/>
      <w:marBottom w:val="0"/>
      <w:divBdr>
        <w:top w:val="none" w:sz="0" w:space="0" w:color="auto"/>
        <w:left w:val="none" w:sz="0" w:space="0" w:color="auto"/>
        <w:bottom w:val="none" w:sz="0" w:space="0" w:color="auto"/>
        <w:right w:val="none" w:sz="0" w:space="0" w:color="auto"/>
      </w:divBdr>
    </w:div>
    <w:div w:id="1018652923">
      <w:bodyDiv w:val="1"/>
      <w:marLeft w:val="0"/>
      <w:marRight w:val="0"/>
      <w:marTop w:val="0"/>
      <w:marBottom w:val="0"/>
      <w:divBdr>
        <w:top w:val="none" w:sz="0" w:space="0" w:color="auto"/>
        <w:left w:val="none" w:sz="0" w:space="0" w:color="auto"/>
        <w:bottom w:val="none" w:sz="0" w:space="0" w:color="auto"/>
        <w:right w:val="none" w:sz="0" w:space="0" w:color="auto"/>
      </w:divBdr>
    </w:div>
    <w:div w:id="1022517812">
      <w:bodyDiv w:val="1"/>
      <w:marLeft w:val="0"/>
      <w:marRight w:val="0"/>
      <w:marTop w:val="0"/>
      <w:marBottom w:val="0"/>
      <w:divBdr>
        <w:top w:val="none" w:sz="0" w:space="0" w:color="auto"/>
        <w:left w:val="none" w:sz="0" w:space="0" w:color="auto"/>
        <w:bottom w:val="none" w:sz="0" w:space="0" w:color="auto"/>
        <w:right w:val="none" w:sz="0" w:space="0" w:color="auto"/>
      </w:divBdr>
    </w:div>
    <w:div w:id="1023173088">
      <w:bodyDiv w:val="1"/>
      <w:marLeft w:val="0"/>
      <w:marRight w:val="0"/>
      <w:marTop w:val="0"/>
      <w:marBottom w:val="0"/>
      <w:divBdr>
        <w:top w:val="none" w:sz="0" w:space="0" w:color="auto"/>
        <w:left w:val="none" w:sz="0" w:space="0" w:color="auto"/>
        <w:bottom w:val="none" w:sz="0" w:space="0" w:color="auto"/>
        <w:right w:val="none" w:sz="0" w:space="0" w:color="auto"/>
      </w:divBdr>
    </w:div>
    <w:div w:id="1037698912">
      <w:bodyDiv w:val="1"/>
      <w:marLeft w:val="0"/>
      <w:marRight w:val="0"/>
      <w:marTop w:val="0"/>
      <w:marBottom w:val="0"/>
      <w:divBdr>
        <w:top w:val="none" w:sz="0" w:space="0" w:color="auto"/>
        <w:left w:val="none" w:sz="0" w:space="0" w:color="auto"/>
        <w:bottom w:val="none" w:sz="0" w:space="0" w:color="auto"/>
        <w:right w:val="none" w:sz="0" w:space="0" w:color="auto"/>
      </w:divBdr>
    </w:div>
    <w:div w:id="1046023551">
      <w:bodyDiv w:val="1"/>
      <w:marLeft w:val="0"/>
      <w:marRight w:val="0"/>
      <w:marTop w:val="0"/>
      <w:marBottom w:val="0"/>
      <w:divBdr>
        <w:top w:val="none" w:sz="0" w:space="0" w:color="auto"/>
        <w:left w:val="none" w:sz="0" w:space="0" w:color="auto"/>
        <w:bottom w:val="none" w:sz="0" w:space="0" w:color="auto"/>
        <w:right w:val="none" w:sz="0" w:space="0" w:color="auto"/>
      </w:divBdr>
    </w:div>
    <w:div w:id="1081871931">
      <w:bodyDiv w:val="1"/>
      <w:marLeft w:val="0"/>
      <w:marRight w:val="0"/>
      <w:marTop w:val="0"/>
      <w:marBottom w:val="0"/>
      <w:divBdr>
        <w:top w:val="none" w:sz="0" w:space="0" w:color="auto"/>
        <w:left w:val="none" w:sz="0" w:space="0" w:color="auto"/>
        <w:bottom w:val="none" w:sz="0" w:space="0" w:color="auto"/>
        <w:right w:val="none" w:sz="0" w:space="0" w:color="auto"/>
      </w:divBdr>
    </w:div>
    <w:div w:id="1086076563">
      <w:bodyDiv w:val="1"/>
      <w:marLeft w:val="0"/>
      <w:marRight w:val="0"/>
      <w:marTop w:val="0"/>
      <w:marBottom w:val="0"/>
      <w:divBdr>
        <w:top w:val="none" w:sz="0" w:space="0" w:color="auto"/>
        <w:left w:val="none" w:sz="0" w:space="0" w:color="auto"/>
        <w:bottom w:val="none" w:sz="0" w:space="0" w:color="auto"/>
        <w:right w:val="none" w:sz="0" w:space="0" w:color="auto"/>
      </w:divBdr>
    </w:div>
    <w:div w:id="1104688496">
      <w:bodyDiv w:val="1"/>
      <w:marLeft w:val="0"/>
      <w:marRight w:val="0"/>
      <w:marTop w:val="0"/>
      <w:marBottom w:val="0"/>
      <w:divBdr>
        <w:top w:val="none" w:sz="0" w:space="0" w:color="auto"/>
        <w:left w:val="none" w:sz="0" w:space="0" w:color="auto"/>
        <w:bottom w:val="none" w:sz="0" w:space="0" w:color="auto"/>
        <w:right w:val="none" w:sz="0" w:space="0" w:color="auto"/>
      </w:divBdr>
    </w:div>
    <w:div w:id="1126587732">
      <w:bodyDiv w:val="1"/>
      <w:marLeft w:val="0"/>
      <w:marRight w:val="0"/>
      <w:marTop w:val="0"/>
      <w:marBottom w:val="0"/>
      <w:divBdr>
        <w:top w:val="none" w:sz="0" w:space="0" w:color="auto"/>
        <w:left w:val="none" w:sz="0" w:space="0" w:color="auto"/>
        <w:bottom w:val="none" w:sz="0" w:space="0" w:color="auto"/>
        <w:right w:val="none" w:sz="0" w:space="0" w:color="auto"/>
      </w:divBdr>
    </w:div>
    <w:div w:id="1153062730">
      <w:bodyDiv w:val="1"/>
      <w:marLeft w:val="0"/>
      <w:marRight w:val="0"/>
      <w:marTop w:val="0"/>
      <w:marBottom w:val="0"/>
      <w:divBdr>
        <w:top w:val="none" w:sz="0" w:space="0" w:color="auto"/>
        <w:left w:val="none" w:sz="0" w:space="0" w:color="auto"/>
        <w:bottom w:val="none" w:sz="0" w:space="0" w:color="auto"/>
        <w:right w:val="none" w:sz="0" w:space="0" w:color="auto"/>
      </w:divBdr>
    </w:div>
    <w:div w:id="1161699691">
      <w:bodyDiv w:val="1"/>
      <w:marLeft w:val="0"/>
      <w:marRight w:val="0"/>
      <w:marTop w:val="0"/>
      <w:marBottom w:val="0"/>
      <w:divBdr>
        <w:top w:val="none" w:sz="0" w:space="0" w:color="auto"/>
        <w:left w:val="none" w:sz="0" w:space="0" w:color="auto"/>
        <w:bottom w:val="none" w:sz="0" w:space="0" w:color="auto"/>
        <w:right w:val="none" w:sz="0" w:space="0" w:color="auto"/>
      </w:divBdr>
    </w:div>
    <w:div w:id="1176579168">
      <w:bodyDiv w:val="1"/>
      <w:marLeft w:val="0"/>
      <w:marRight w:val="0"/>
      <w:marTop w:val="0"/>
      <w:marBottom w:val="0"/>
      <w:divBdr>
        <w:top w:val="none" w:sz="0" w:space="0" w:color="auto"/>
        <w:left w:val="none" w:sz="0" w:space="0" w:color="auto"/>
        <w:bottom w:val="none" w:sz="0" w:space="0" w:color="auto"/>
        <w:right w:val="none" w:sz="0" w:space="0" w:color="auto"/>
      </w:divBdr>
    </w:div>
    <w:div w:id="1182428463">
      <w:bodyDiv w:val="1"/>
      <w:marLeft w:val="0"/>
      <w:marRight w:val="0"/>
      <w:marTop w:val="0"/>
      <w:marBottom w:val="0"/>
      <w:divBdr>
        <w:top w:val="none" w:sz="0" w:space="0" w:color="auto"/>
        <w:left w:val="none" w:sz="0" w:space="0" w:color="auto"/>
        <w:bottom w:val="none" w:sz="0" w:space="0" w:color="auto"/>
        <w:right w:val="none" w:sz="0" w:space="0" w:color="auto"/>
      </w:divBdr>
    </w:div>
    <w:div w:id="1183201307">
      <w:bodyDiv w:val="1"/>
      <w:marLeft w:val="0"/>
      <w:marRight w:val="0"/>
      <w:marTop w:val="0"/>
      <w:marBottom w:val="0"/>
      <w:divBdr>
        <w:top w:val="none" w:sz="0" w:space="0" w:color="auto"/>
        <w:left w:val="none" w:sz="0" w:space="0" w:color="auto"/>
        <w:bottom w:val="none" w:sz="0" w:space="0" w:color="auto"/>
        <w:right w:val="none" w:sz="0" w:space="0" w:color="auto"/>
      </w:divBdr>
    </w:div>
    <w:div w:id="1192762609">
      <w:bodyDiv w:val="1"/>
      <w:marLeft w:val="0"/>
      <w:marRight w:val="0"/>
      <w:marTop w:val="0"/>
      <w:marBottom w:val="0"/>
      <w:divBdr>
        <w:top w:val="none" w:sz="0" w:space="0" w:color="auto"/>
        <w:left w:val="none" w:sz="0" w:space="0" w:color="auto"/>
        <w:bottom w:val="none" w:sz="0" w:space="0" w:color="auto"/>
        <w:right w:val="none" w:sz="0" w:space="0" w:color="auto"/>
      </w:divBdr>
    </w:div>
    <w:div w:id="1231890795">
      <w:bodyDiv w:val="1"/>
      <w:marLeft w:val="0"/>
      <w:marRight w:val="0"/>
      <w:marTop w:val="0"/>
      <w:marBottom w:val="0"/>
      <w:divBdr>
        <w:top w:val="none" w:sz="0" w:space="0" w:color="auto"/>
        <w:left w:val="none" w:sz="0" w:space="0" w:color="auto"/>
        <w:bottom w:val="none" w:sz="0" w:space="0" w:color="auto"/>
        <w:right w:val="none" w:sz="0" w:space="0" w:color="auto"/>
      </w:divBdr>
    </w:div>
    <w:div w:id="1248424345">
      <w:bodyDiv w:val="1"/>
      <w:marLeft w:val="0"/>
      <w:marRight w:val="0"/>
      <w:marTop w:val="0"/>
      <w:marBottom w:val="0"/>
      <w:divBdr>
        <w:top w:val="none" w:sz="0" w:space="0" w:color="auto"/>
        <w:left w:val="none" w:sz="0" w:space="0" w:color="auto"/>
        <w:bottom w:val="none" w:sz="0" w:space="0" w:color="auto"/>
        <w:right w:val="none" w:sz="0" w:space="0" w:color="auto"/>
      </w:divBdr>
    </w:div>
    <w:div w:id="1250233536">
      <w:bodyDiv w:val="1"/>
      <w:marLeft w:val="0"/>
      <w:marRight w:val="0"/>
      <w:marTop w:val="0"/>
      <w:marBottom w:val="0"/>
      <w:divBdr>
        <w:top w:val="none" w:sz="0" w:space="0" w:color="auto"/>
        <w:left w:val="none" w:sz="0" w:space="0" w:color="auto"/>
        <w:bottom w:val="none" w:sz="0" w:space="0" w:color="auto"/>
        <w:right w:val="none" w:sz="0" w:space="0" w:color="auto"/>
      </w:divBdr>
    </w:div>
    <w:div w:id="1262223445">
      <w:bodyDiv w:val="1"/>
      <w:marLeft w:val="0"/>
      <w:marRight w:val="0"/>
      <w:marTop w:val="0"/>
      <w:marBottom w:val="0"/>
      <w:divBdr>
        <w:top w:val="none" w:sz="0" w:space="0" w:color="auto"/>
        <w:left w:val="none" w:sz="0" w:space="0" w:color="auto"/>
        <w:bottom w:val="none" w:sz="0" w:space="0" w:color="auto"/>
        <w:right w:val="none" w:sz="0" w:space="0" w:color="auto"/>
      </w:divBdr>
    </w:div>
    <w:div w:id="1282035638">
      <w:bodyDiv w:val="1"/>
      <w:marLeft w:val="0"/>
      <w:marRight w:val="0"/>
      <w:marTop w:val="0"/>
      <w:marBottom w:val="0"/>
      <w:divBdr>
        <w:top w:val="none" w:sz="0" w:space="0" w:color="auto"/>
        <w:left w:val="none" w:sz="0" w:space="0" w:color="auto"/>
        <w:bottom w:val="none" w:sz="0" w:space="0" w:color="auto"/>
        <w:right w:val="none" w:sz="0" w:space="0" w:color="auto"/>
      </w:divBdr>
    </w:div>
    <w:div w:id="1317413628">
      <w:bodyDiv w:val="1"/>
      <w:marLeft w:val="0"/>
      <w:marRight w:val="0"/>
      <w:marTop w:val="0"/>
      <w:marBottom w:val="0"/>
      <w:divBdr>
        <w:top w:val="none" w:sz="0" w:space="0" w:color="auto"/>
        <w:left w:val="none" w:sz="0" w:space="0" w:color="auto"/>
        <w:bottom w:val="none" w:sz="0" w:space="0" w:color="auto"/>
        <w:right w:val="none" w:sz="0" w:space="0" w:color="auto"/>
      </w:divBdr>
    </w:div>
    <w:div w:id="1317611782">
      <w:bodyDiv w:val="1"/>
      <w:marLeft w:val="0"/>
      <w:marRight w:val="0"/>
      <w:marTop w:val="0"/>
      <w:marBottom w:val="0"/>
      <w:divBdr>
        <w:top w:val="none" w:sz="0" w:space="0" w:color="auto"/>
        <w:left w:val="none" w:sz="0" w:space="0" w:color="auto"/>
        <w:bottom w:val="none" w:sz="0" w:space="0" w:color="auto"/>
        <w:right w:val="none" w:sz="0" w:space="0" w:color="auto"/>
      </w:divBdr>
    </w:div>
    <w:div w:id="1340084102">
      <w:bodyDiv w:val="1"/>
      <w:marLeft w:val="0"/>
      <w:marRight w:val="0"/>
      <w:marTop w:val="0"/>
      <w:marBottom w:val="0"/>
      <w:divBdr>
        <w:top w:val="none" w:sz="0" w:space="0" w:color="auto"/>
        <w:left w:val="none" w:sz="0" w:space="0" w:color="auto"/>
        <w:bottom w:val="none" w:sz="0" w:space="0" w:color="auto"/>
        <w:right w:val="none" w:sz="0" w:space="0" w:color="auto"/>
      </w:divBdr>
    </w:div>
    <w:div w:id="1340503755">
      <w:bodyDiv w:val="1"/>
      <w:marLeft w:val="0"/>
      <w:marRight w:val="0"/>
      <w:marTop w:val="0"/>
      <w:marBottom w:val="0"/>
      <w:divBdr>
        <w:top w:val="none" w:sz="0" w:space="0" w:color="auto"/>
        <w:left w:val="none" w:sz="0" w:space="0" w:color="auto"/>
        <w:bottom w:val="none" w:sz="0" w:space="0" w:color="auto"/>
        <w:right w:val="none" w:sz="0" w:space="0" w:color="auto"/>
      </w:divBdr>
    </w:div>
    <w:div w:id="1384475776">
      <w:bodyDiv w:val="1"/>
      <w:marLeft w:val="0"/>
      <w:marRight w:val="0"/>
      <w:marTop w:val="0"/>
      <w:marBottom w:val="0"/>
      <w:divBdr>
        <w:top w:val="none" w:sz="0" w:space="0" w:color="auto"/>
        <w:left w:val="none" w:sz="0" w:space="0" w:color="auto"/>
        <w:bottom w:val="none" w:sz="0" w:space="0" w:color="auto"/>
        <w:right w:val="none" w:sz="0" w:space="0" w:color="auto"/>
      </w:divBdr>
    </w:div>
    <w:div w:id="1429426934">
      <w:bodyDiv w:val="1"/>
      <w:marLeft w:val="0"/>
      <w:marRight w:val="0"/>
      <w:marTop w:val="0"/>
      <w:marBottom w:val="0"/>
      <w:divBdr>
        <w:top w:val="none" w:sz="0" w:space="0" w:color="auto"/>
        <w:left w:val="none" w:sz="0" w:space="0" w:color="auto"/>
        <w:bottom w:val="none" w:sz="0" w:space="0" w:color="auto"/>
        <w:right w:val="none" w:sz="0" w:space="0" w:color="auto"/>
      </w:divBdr>
    </w:div>
    <w:div w:id="1436945571">
      <w:bodyDiv w:val="1"/>
      <w:marLeft w:val="0"/>
      <w:marRight w:val="0"/>
      <w:marTop w:val="0"/>
      <w:marBottom w:val="0"/>
      <w:divBdr>
        <w:top w:val="none" w:sz="0" w:space="0" w:color="auto"/>
        <w:left w:val="none" w:sz="0" w:space="0" w:color="auto"/>
        <w:bottom w:val="none" w:sz="0" w:space="0" w:color="auto"/>
        <w:right w:val="none" w:sz="0" w:space="0" w:color="auto"/>
      </w:divBdr>
    </w:div>
    <w:div w:id="1440641719">
      <w:bodyDiv w:val="1"/>
      <w:marLeft w:val="0"/>
      <w:marRight w:val="0"/>
      <w:marTop w:val="0"/>
      <w:marBottom w:val="0"/>
      <w:divBdr>
        <w:top w:val="none" w:sz="0" w:space="0" w:color="auto"/>
        <w:left w:val="none" w:sz="0" w:space="0" w:color="auto"/>
        <w:bottom w:val="none" w:sz="0" w:space="0" w:color="auto"/>
        <w:right w:val="none" w:sz="0" w:space="0" w:color="auto"/>
      </w:divBdr>
    </w:div>
    <w:div w:id="1446002635">
      <w:bodyDiv w:val="1"/>
      <w:marLeft w:val="0"/>
      <w:marRight w:val="0"/>
      <w:marTop w:val="0"/>
      <w:marBottom w:val="0"/>
      <w:divBdr>
        <w:top w:val="none" w:sz="0" w:space="0" w:color="auto"/>
        <w:left w:val="none" w:sz="0" w:space="0" w:color="auto"/>
        <w:bottom w:val="none" w:sz="0" w:space="0" w:color="auto"/>
        <w:right w:val="none" w:sz="0" w:space="0" w:color="auto"/>
      </w:divBdr>
    </w:div>
    <w:div w:id="1460610181">
      <w:bodyDiv w:val="1"/>
      <w:marLeft w:val="0"/>
      <w:marRight w:val="0"/>
      <w:marTop w:val="0"/>
      <w:marBottom w:val="0"/>
      <w:divBdr>
        <w:top w:val="none" w:sz="0" w:space="0" w:color="auto"/>
        <w:left w:val="none" w:sz="0" w:space="0" w:color="auto"/>
        <w:bottom w:val="none" w:sz="0" w:space="0" w:color="auto"/>
        <w:right w:val="none" w:sz="0" w:space="0" w:color="auto"/>
      </w:divBdr>
    </w:div>
    <w:div w:id="1512912493">
      <w:bodyDiv w:val="1"/>
      <w:marLeft w:val="0"/>
      <w:marRight w:val="0"/>
      <w:marTop w:val="0"/>
      <w:marBottom w:val="0"/>
      <w:divBdr>
        <w:top w:val="none" w:sz="0" w:space="0" w:color="auto"/>
        <w:left w:val="none" w:sz="0" w:space="0" w:color="auto"/>
        <w:bottom w:val="none" w:sz="0" w:space="0" w:color="auto"/>
        <w:right w:val="none" w:sz="0" w:space="0" w:color="auto"/>
      </w:divBdr>
    </w:div>
    <w:div w:id="1520045614">
      <w:bodyDiv w:val="1"/>
      <w:marLeft w:val="0"/>
      <w:marRight w:val="0"/>
      <w:marTop w:val="0"/>
      <w:marBottom w:val="0"/>
      <w:divBdr>
        <w:top w:val="none" w:sz="0" w:space="0" w:color="auto"/>
        <w:left w:val="none" w:sz="0" w:space="0" w:color="auto"/>
        <w:bottom w:val="none" w:sz="0" w:space="0" w:color="auto"/>
        <w:right w:val="none" w:sz="0" w:space="0" w:color="auto"/>
      </w:divBdr>
    </w:div>
    <w:div w:id="1524902605">
      <w:bodyDiv w:val="1"/>
      <w:marLeft w:val="0"/>
      <w:marRight w:val="0"/>
      <w:marTop w:val="0"/>
      <w:marBottom w:val="0"/>
      <w:divBdr>
        <w:top w:val="none" w:sz="0" w:space="0" w:color="auto"/>
        <w:left w:val="none" w:sz="0" w:space="0" w:color="auto"/>
        <w:bottom w:val="none" w:sz="0" w:space="0" w:color="auto"/>
        <w:right w:val="none" w:sz="0" w:space="0" w:color="auto"/>
      </w:divBdr>
    </w:div>
    <w:div w:id="1525054218">
      <w:bodyDiv w:val="1"/>
      <w:marLeft w:val="0"/>
      <w:marRight w:val="0"/>
      <w:marTop w:val="0"/>
      <w:marBottom w:val="0"/>
      <w:divBdr>
        <w:top w:val="none" w:sz="0" w:space="0" w:color="auto"/>
        <w:left w:val="none" w:sz="0" w:space="0" w:color="auto"/>
        <w:bottom w:val="none" w:sz="0" w:space="0" w:color="auto"/>
        <w:right w:val="none" w:sz="0" w:space="0" w:color="auto"/>
      </w:divBdr>
    </w:div>
    <w:div w:id="1526821260">
      <w:bodyDiv w:val="1"/>
      <w:marLeft w:val="0"/>
      <w:marRight w:val="0"/>
      <w:marTop w:val="0"/>
      <w:marBottom w:val="0"/>
      <w:divBdr>
        <w:top w:val="none" w:sz="0" w:space="0" w:color="auto"/>
        <w:left w:val="none" w:sz="0" w:space="0" w:color="auto"/>
        <w:bottom w:val="none" w:sz="0" w:space="0" w:color="auto"/>
        <w:right w:val="none" w:sz="0" w:space="0" w:color="auto"/>
      </w:divBdr>
    </w:div>
    <w:div w:id="1530601199">
      <w:bodyDiv w:val="1"/>
      <w:marLeft w:val="0"/>
      <w:marRight w:val="0"/>
      <w:marTop w:val="0"/>
      <w:marBottom w:val="0"/>
      <w:divBdr>
        <w:top w:val="none" w:sz="0" w:space="0" w:color="auto"/>
        <w:left w:val="none" w:sz="0" w:space="0" w:color="auto"/>
        <w:bottom w:val="none" w:sz="0" w:space="0" w:color="auto"/>
        <w:right w:val="none" w:sz="0" w:space="0" w:color="auto"/>
      </w:divBdr>
    </w:div>
    <w:div w:id="1564675225">
      <w:bodyDiv w:val="1"/>
      <w:marLeft w:val="0"/>
      <w:marRight w:val="0"/>
      <w:marTop w:val="0"/>
      <w:marBottom w:val="0"/>
      <w:divBdr>
        <w:top w:val="none" w:sz="0" w:space="0" w:color="auto"/>
        <w:left w:val="none" w:sz="0" w:space="0" w:color="auto"/>
        <w:bottom w:val="none" w:sz="0" w:space="0" w:color="auto"/>
        <w:right w:val="none" w:sz="0" w:space="0" w:color="auto"/>
      </w:divBdr>
    </w:div>
    <w:div w:id="1569262472">
      <w:bodyDiv w:val="1"/>
      <w:marLeft w:val="0"/>
      <w:marRight w:val="0"/>
      <w:marTop w:val="0"/>
      <w:marBottom w:val="0"/>
      <w:divBdr>
        <w:top w:val="none" w:sz="0" w:space="0" w:color="auto"/>
        <w:left w:val="none" w:sz="0" w:space="0" w:color="auto"/>
        <w:bottom w:val="none" w:sz="0" w:space="0" w:color="auto"/>
        <w:right w:val="none" w:sz="0" w:space="0" w:color="auto"/>
      </w:divBdr>
    </w:div>
    <w:div w:id="1577549747">
      <w:bodyDiv w:val="1"/>
      <w:marLeft w:val="0"/>
      <w:marRight w:val="0"/>
      <w:marTop w:val="0"/>
      <w:marBottom w:val="0"/>
      <w:divBdr>
        <w:top w:val="none" w:sz="0" w:space="0" w:color="auto"/>
        <w:left w:val="none" w:sz="0" w:space="0" w:color="auto"/>
        <w:bottom w:val="none" w:sz="0" w:space="0" w:color="auto"/>
        <w:right w:val="none" w:sz="0" w:space="0" w:color="auto"/>
      </w:divBdr>
    </w:div>
    <w:div w:id="1591546658">
      <w:bodyDiv w:val="1"/>
      <w:marLeft w:val="0"/>
      <w:marRight w:val="0"/>
      <w:marTop w:val="0"/>
      <w:marBottom w:val="0"/>
      <w:divBdr>
        <w:top w:val="none" w:sz="0" w:space="0" w:color="auto"/>
        <w:left w:val="none" w:sz="0" w:space="0" w:color="auto"/>
        <w:bottom w:val="none" w:sz="0" w:space="0" w:color="auto"/>
        <w:right w:val="none" w:sz="0" w:space="0" w:color="auto"/>
      </w:divBdr>
    </w:div>
    <w:div w:id="1651404222">
      <w:bodyDiv w:val="1"/>
      <w:marLeft w:val="0"/>
      <w:marRight w:val="0"/>
      <w:marTop w:val="0"/>
      <w:marBottom w:val="0"/>
      <w:divBdr>
        <w:top w:val="none" w:sz="0" w:space="0" w:color="auto"/>
        <w:left w:val="none" w:sz="0" w:space="0" w:color="auto"/>
        <w:bottom w:val="none" w:sz="0" w:space="0" w:color="auto"/>
        <w:right w:val="none" w:sz="0" w:space="0" w:color="auto"/>
      </w:divBdr>
    </w:div>
    <w:div w:id="1659113654">
      <w:bodyDiv w:val="1"/>
      <w:marLeft w:val="0"/>
      <w:marRight w:val="0"/>
      <w:marTop w:val="0"/>
      <w:marBottom w:val="0"/>
      <w:divBdr>
        <w:top w:val="none" w:sz="0" w:space="0" w:color="auto"/>
        <w:left w:val="none" w:sz="0" w:space="0" w:color="auto"/>
        <w:bottom w:val="none" w:sz="0" w:space="0" w:color="auto"/>
        <w:right w:val="none" w:sz="0" w:space="0" w:color="auto"/>
      </w:divBdr>
    </w:div>
    <w:div w:id="1669284333">
      <w:bodyDiv w:val="1"/>
      <w:marLeft w:val="0"/>
      <w:marRight w:val="0"/>
      <w:marTop w:val="0"/>
      <w:marBottom w:val="0"/>
      <w:divBdr>
        <w:top w:val="none" w:sz="0" w:space="0" w:color="auto"/>
        <w:left w:val="none" w:sz="0" w:space="0" w:color="auto"/>
        <w:bottom w:val="none" w:sz="0" w:space="0" w:color="auto"/>
        <w:right w:val="none" w:sz="0" w:space="0" w:color="auto"/>
      </w:divBdr>
    </w:div>
    <w:div w:id="1687561464">
      <w:bodyDiv w:val="1"/>
      <w:marLeft w:val="0"/>
      <w:marRight w:val="0"/>
      <w:marTop w:val="0"/>
      <w:marBottom w:val="0"/>
      <w:divBdr>
        <w:top w:val="none" w:sz="0" w:space="0" w:color="auto"/>
        <w:left w:val="none" w:sz="0" w:space="0" w:color="auto"/>
        <w:bottom w:val="none" w:sz="0" w:space="0" w:color="auto"/>
        <w:right w:val="none" w:sz="0" w:space="0" w:color="auto"/>
      </w:divBdr>
    </w:div>
    <w:div w:id="1690984180">
      <w:bodyDiv w:val="1"/>
      <w:marLeft w:val="0"/>
      <w:marRight w:val="0"/>
      <w:marTop w:val="0"/>
      <w:marBottom w:val="0"/>
      <w:divBdr>
        <w:top w:val="none" w:sz="0" w:space="0" w:color="auto"/>
        <w:left w:val="none" w:sz="0" w:space="0" w:color="auto"/>
        <w:bottom w:val="none" w:sz="0" w:space="0" w:color="auto"/>
        <w:right w:val="none" w:sz="0" w:space="0" w:color="auto"/>
      </w:divBdr>
    </w:div>
    <w:div w:id="1742174100">
      <w:bodyDiv w:val="1"/>
      <w:marLeft w:val="0"/>
      <w:marRight w:val="0"/>
      <w:marTop w:val="0"/>
      <w:marBottom w:val="0"/>
      <w:divBdr>
        <w:top w:val="none" w:sz="0" w:space="0" w:color="auto"/>
        <w:left w:val="none" w:sz="0" w:space="0" w:color="auto"/>
        <w:bottom w:val="none" w:sz="0" w:space="0" w:color="auto"/>
        <w:right w:val="none" w:sz="0" w:space="0" w:color="auto"/>
      </w:divBdr>
    </w:div>
    <w:div w:id="1771928378">
      <w:bodyDiv w:val="1"/>
      <w:marLeft w:val="0"/>
      <w:marRight w:val="0"/>
      <w:marTop w:val="0"/>
      <w:marBottom w:val="0"/>
      <w:divBdr>
        <w:top w:val="none" w:sz="0" w:space="0" w:color="auto"/>
        <w:left w:val="none" w:sz="0" w:space="0" w:color="auto"/>
        <w:bottom w:val="none" w:sz="0" w:space="0" w:color="auto"/>
        <w:right w:val="none" w:sz="0" w:space="0" w:color="auto"/>
      </w:divBdr>
    </w:div>
    <w:div w:id="1799907023">
      <w:bodyDiv w:val="1"/>
      <w:marLeft w:val="0"/>
      <w:marRight w:val="0"/>
      <w:marTop w:val="0"/>
      <w:marBottom w:val="0"/>
      <w:divBdr>
        <w:top w:val="none" w:sz="0" w:space="0" w:color="auto"/>
        <w:left w:val="none" w:sz="0" w:space="0" w:color="auto"/>
        <w:bottom w:val="none" w:sz="0" w:space="0" w:color="auto"/>
        <w:right w:val="none" w:sz="0" w:space="0" w:color="auto"/>
      </w:divBdr>
    </w:div>
    <w:div w:id="1824619081">
      <w:bodyDiv w:val="1"/>
      <w:marLeft w:val="0"/>
      <w:marRight w:val="0"/>
      <w:marTop w:val="0"/>
      <w:marBottom w:val="0"/>
      <w:divBdr>
        <w:top w:val="none" w:sz="0" w:space="0" w:color="auto"/>
        <w:left w:val="none" w:sz="0" w:space="0" w:color="auto"/>
        <w:bottom w:val="none" w:sz="0" w:space="0" w:color="auto"/>
        <w:right w:val="none" w:sz="0" w:space="0" w:color="auto"/>
      </w:divBdr>
      <w:divsChild>
        <w:div w:id="795678611">
          <w:marLeft w:val="0"/>
          <w:marRight w:val="0"/>
          <w:marTop w:val="0"/>
          <w:marBottom w:val="0"/>
          <w:divBdr>
            <w:top w:val="none" w:sz="0" w:space="0" w:color="auto"/>
            <w:left w:val="none" w:sz="0" w:space="0" w:color="auto"/>
            <w:bottom w:val="none" w:sz="0" w:space="0" w:color="auto"/>
            <w:right w:val="none" w:sz="0" w:space="0" w:color="auto"/>
          </w:divBdr>
          <w:divsChild>
            <w:div w:id="477502767">
              <w:marLeft w:val="0"/>
              <w:marRight w:val="0"/>
              <w:marTop w:val="0"/>
              <w:marBottom w:val="0"/>
              <w:divBdr>
                <w:top w:val="none" w:sz="0" w:space="0" w:color="auto"/>
                <w:left w:val="none" w:sz="0" w:space="0" w:color="auto"/>
                <w:bottom w:val="none" w:sz="0" w:space="0" w:color="auto"/>
                <w:right w:val="none" w:sz="0" w:space="0" w:color="auto"/>
              </w:divBdr>
              <w:divsChild>
                <w:div w:id="18808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939459">
      <w:bodyDiv w:val="1"/>
      <w:marLeft w:val="0"/>
      <w:marRight w:val="0"/>
      <w:marTop w:val="0"/>
      <w:marBottom w:val="0"/>
      <w:divBdr>
        <w:top w:val="none" w:sz="0" w:space="0" w:color="auto"/>
        <w:left w:val="none" w:sz="0" w:space="0" w:color="auto"/>
        <w:bottom w:val="none" w:sz="0" w:space="0" w:color="auto"/>
        <w:right w:val="none" w:sz="0" w:space="0" w:color="auto"/>
      </w:divBdr>
    </w:div>
    <w:div w:id="1863593154">
      <w:bodyDiv w:val="1"/>
      <w:marLeft w:val="0"/>
      <w:marRight w:val="0"/>
      <w:marTop w:val="0"/>
      <w:marBottom w:val="0"/>
      <w:divBdr>
        <w:top w:val="none" w:sz="0" w:space="0" w:color="auto"/>
        <w:left w:val="none" w:sz="0" w:space="0" w:color="auto"/>
        <w:bottom w:val="none" w:sz="0" w:space="0" w:color="auto"/>
        <w:right w:val="none" w:sz="0" w:space="0" w:color="auto"/>
      </w:divBdr>
    </w:div>
    <w:div w:id="1877347175">
      <w:bodyDiv w:val="1"/>
      <w:marLeft w:val="0"/>
      <w:marRight w:val="0"/>
      <w:marTop w:val="0"/>
      <w:marBottom w:val="0"/>
      <w:divBdr>
        <w:top w:val="none" w:sz="0" w:space="0" w:color="auto"/>
        <w:left w:val="none" w:sz="0" w:space="0" w:color="auto"/>
        <w:bottom w:val="none" w:sz="0" w:space="0" w:color="auto"/>
        <w:right w:val="none" w:sz="0" w:space="0" w:color="auto"/>
      </w:divBdr>
    </w:div>
    <w:div w:id="1895970324">
      <w:bodyDiv w:val="1"/>
      <w:marLeft w:val="0"/>
      <w:marRight w:val="0"/>
      <w:marTop w:val="0"/>
      <w:marBottom w:val="0"/>
      <w:divBdr>
        <w:top w:val="none" w:sz="0" w:space="0" w:color="auto"/>
        <w:left w:val="none" w:sz="0" w:space="0" w:color="auto"/>
        <w:bottom w:val="none" w:sz="0" w:space="0" w:color="auto"/>
        <w:right w:val="none" w:sz="0" w:space="0" w:color="auto"/>
      </w:divBdr>
    </w:div>
    <w:div w:id="1896505496">
      <w:bodyDiv w:val="1"/>
      <w:marLeft w:val="0"/>
      <w:marRight w:val="0"/>
      <w:marTop w:val="0"/>
      <w:marBottom w:val="0"/>
      <w:divBdr>
        <w:top w:val="none" w:sz="0" w:space="0" w:color="auto"/>
        <w:left w:val="none" w:sz="0" w:space="0" w:color="auto"/>
        <w:bottom w:val="none" w:sz="0" w:space="0" w:color="auto"/>
        <w:right w:val="none" w:sz="0" w:space="0" w:color="auto"/>
      </w:divBdr>
      <w:divsChild>
        <w:div w:id="2114860255">
          <w:marLeft w:val="0"/>
          <w:marRight w:val="0"/>
          <w:marTop w:val="0"/>
          <w:marBottom w:val="0"/>
          <w:divBdr>
            <w:top w:val="none" w:sz="0" w:space="0" w:color="auto"/>
            <w:left w:val="none" w:sz="0" w:space="0" w:color="auto"/>
            <w:bottom w:val="none" w:sz="0" w:space="0" w:color="auto"/>
            <w:right w:val="none" w:sz="0" w:space="0" w:color="auto"/>
          </w:divBdr>
          <w:divsChild>
            <w:div w:id="331614268">
              <w:marLeft w:val="0"/>
              <w:marRight w:val="0"/>
              <w:marTop w:val="0"/>
              <w:marBottom w:val="0"/>
              <w:divBdr>
                <w:top w:val="none" w:sz="0" w:space="0" w:color="auto"/>
                <w:left w:val="none" w:sz="0" w:space="0" w:color="auto"/>
                <w:bottom w:val="none" w:sz="0" w:space="0" w:color="auto"/>
                <w:right w:val="none" w:sz="0" w:space="0" w:color="auto"/>
              </w:divBdr>
              <w:divsChild>
                <w:div w:id="201853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99888">
      <w:bodyDiv w:val="1"/>
      <w:marLeft w:val="0"/>
      <w:marRight w:val="0"/>
      <w:marTop w:val="0"/>
      <w:marBottom w:val="0"/>
      <w:divBdr>
        <w:top w:val="none" w:sz="0" w:space="0" w:color="auto"/>
        <w:left w:val="none" w:sz="0" w:space="0" w:color="auto"/>
        <w:bottom w:val="none" w:sz="0" w:space="0" w:color="auto"/>
        <w:right w:val="none" w:sz="0" w:space="0" w:color="auto"/>
      </w:divBdr>
    </w:div>
    <w:div w:id="1932010465">
      <w:bodyDiv w:val="1"/>
      <w:marLeft w:val="0"/>
      <w:marRight w:val="0"/>
      <w:marTop w:val="0"/>
      <w:marBottom w:val="0"/>
      <w:divBdr>
        <w:top w:val="none" w:sz="0" w:space="0" w:color="auto"/>
        <w:left w:val="none" w:sz="0" w:space="0" w:color="auto"/>
        <w:bottom w:val="none" w:sz="0" w:space="0" w:color="auto"/>
        <w:right w:val="none" w:sz="0" w:space="0" w:color="auto"/>
      </w:divBdr>
    </w:div>
    <w:div w:id="1936286029">
      <w:bodyDiv w:val="1"/>
      <w:marLeft w:val="0"/>
      <w:marRight w:val="0"/>
      <w:marTop w:val="0"/>
      <w:marBottom w:val="0"/>
      <w:divBdr>
        <w:top w:val="none" w:sz="0" w:space="0" w:color="auto"/>
        <w:left w:val="none" w:sz="0" w:space="0" w:color="auto"/>
        <w:bottom w:val="none" w:sz="0" w:space="0" w:color="auto"/>
        <w:right w:val="none" w:sz="0" w:space="0" w:color="auto"/>
      </w:divBdr>
    </w:div>
    <w:div w:id="1959952251">
      <w:bodyDiv w:val="1"/>
      <w:marLeft w:val="0"/>
      <w:marRight w:val="0"/>
      <w:marTop w:val="0"/>
      <w:marBottom w:val="0"/>
      <w:divBdr>
        <w:top w:val="none" w:sz="0" w:space="0" w:color="auto"/>
        <w:left w:val="none" w:sz="0" w:space="0" w:color="auto"/>
        <w:bottom w:val="none" w:sz="0" w:space="0" w:color="auto"/>
        <w:right w:val="none" w:sz="0" w:space="0" w:color="auto"/>
      </w:divBdr>
    </w:div>
    <w:div w:id="2015181912">
      <w:bodyDiv w:val="1"/>
      <w:marLeft w:val="0"/>
      <w:marRight w:val="0"/>
      <w:marTop w:val="0"/>
      <w:marBottom w:val="0"/>
      <w:divBdr>
        <w:top w:val="none" w:sz="0" w:space="0" w:color="auto"/>
        <w:left w:val="none" w:sz="0" w:space="0" w:color="auto"/>
        <w:bottom w:val="none" w:sz="0" w:space="0" w:color="auto"/>
        <w:right w:val="none" w:sz="0" w:space="0" w:color="auto"/>
      </w:divBdr>
    </w:div>
    <w:div w:id="2049523881">
      <w:bodyDiv w:val="1"/>
      <w:marLeft w:val="0"/>
      <w:marRight w:val="0"/>
      <w:marTop w:val="0"/>
      <w:marBottom w:val="0"/>
      <w:divBdr>
        <w:top w:val="none" w:sz="0" w:space="0" w:color="auto"/>
        <w:left w:val="none" w:sz="0" w:space="0" w:color="auto"/>
        <w:bottom w:val="none" w:sz="0" w:space="0" w:color="auto"/>
        <w:right w:val="none" w:sz="0" w:space="0" w:color="auto"/>
      </w:divBdr>
    </w:div>
    <w:div w:id="2050259302">
      <w:bodyDiv w:val="1"/>
      <w:marLeft w:val="0"/>
      <w:marRight w:val="0"/>
      <w:marTop w:val="0"/>
      <w:marBottom w:val="0"/>
      <w:divBdr>
        <w:top w:val="none" w:sz="0" w:space="0" w:color="auto"/>
        <w:left w:val="none" w:sz="0" w:space="0" w:color="auto"/>
        <w:bottom w:val="none" w:sz="0" w:space="0" w:color="auto"/>
        <w:right w:val="none" w:sz="0" w:space="0" w:color="auto"/>
      </w:divBdr>
    </w:div>
    <w:div w:id="2054651552">
      <w:bodyDiv w:val="1"/>
      <w:marLeft w:val="0"/>
      <w:marRight w:val="0"/>
      <w:marTop w:val="0"/>
      <w:marBottom w:val="0"/>
      <w:divBdr>
        <w:top w:val="none" w:sz="0" w:space="0" w:color="auto"/>
        <w:left w:val="none" w:sz="0" w:space="0" w:color="auto"/>
        <w:bottom w:val="none" w:sz="0" w:space="0" w:color="auto"/>
        <w:right w:val="none" w:sz="0" w:space="0" w:color="auto"/>
      </w:divBdr>
    </w:div>
    <w:div w:id="2061637136">
      <w:bodyDiv w:val="1"/>
      <w:marLeft w:val="0"/>
      <w:marRight w:val="0"/>
      <w:marTop w:val="0"/>
      <w:marBottom w:val="0"/>
      <w:divBdr>
        <w:top w:val="none" w:sz="0" w:space="0" w:color="auto"/>
        <w:left w:val="none" w:sz="0" w:space="0" w:color="auto"/>
        <w:bottom w:val="none" w:sz="0" w:space="0" w:color="auto"/>
        <w:right w:val="none" w:sz="0" w:space="0" w:color="auto"/>
      </w:divBdr>
    </w:div>
    <w:div w:id="2067533530">
      <w:bodyDiv w:val="1"/>
      <w:marLeft w:val="0"/>
      <w:marRight w:val="0"/>
      <w:marTop w:val="0"/>
      <w:marBottom w:val="0"/>
      <w:divBdr>
        <w:top w:val="none" w:sz="0" w:space="0" w:color="auto"/>
        <w:left w:val="none" w:sz="0" w:space="0" w:color="auto"/>
        <w:bottom w:val="none" w:sz="0" w:space="0" w:color="auto"/>
        <w:right w:val="none" w:sz="0" w:space="0" w:color="auto"/>
      </w:divBdr>
    </w:div>
    <w:div w:id="2090149081">
      <w:bodyDiv w:val="1"/>
      <w:marLeft w:val="0"/>
      <w:marRight w:val="0"/>
      <w:marTop w:val="0"/>
      <w:marBottom w:val="0"/>
      <w:divBdr>
        <w:top w:val="none" w:sz="0" w:space="0" w:color="auto"/>
        <w:left w:val="none" w:sz="0" w:space="0" w:color="auto"/>
        <w:bottom w:val="none" w:sz="0" w:space="0" w:color="auto"/>
        <w:right w:val="none" w:sz="0" w:space="0" w:color="auto"/>
      </w:divBdr>
    </w:div>
    <w:div w:id="2093968846">
      <w:bodyDiv w:val="1"/>
      <w:marLeft w:val="0"/>
      <w:marRight w:val="0"/>
      <w:marTop w:val="0"/>
      <w:marBottom w:val="0"/>
      <w:divBdr>
        <w:top w:val="none" w:sz="0" w:space="0" w:color="auto"/>
        <w:left w:val="none" w:sz="0" w:space="0" w:color="auto"/>
        <w:bottom w:val="none" w:sz="0" w:space="0" w:color="auto"/>
        <w:right w:val="none" w:sz="0" w:space="0" w:color="auto"/>
      </w:divBdr>
    </w:div>
    <w:div w:id="2104065836">
      <w:bodyDiv w:val="1"/>
      <w:marLeft w:val="0"/>
      <w:marRight w:val="0"/>
      <w:marTop w:val="0"/>
      <w:marBottom w:val="0"/>
      <w:divBdr>
        <w:top w:val="none" w:sz="0" w:space="0" w:color="auto"/>
        <w:left w:val="none" w:sz="0" w:space="0" w:color="auto"/>
        <w:bottom w:val="none" w:sz="0" w:space="0" w:color="auto"/>
        <w:right w:val="none" w:sz="0" w:space="0" w:color="auto"/>
      </w:divBdr>
    </w:div>
    <w:div w:id="2104647736">
      <w:bodyDiv w:val="1"/>
      <w:marLeft w:val="0"/>
      <w:marRight w:val="0"/>
      <w:marTop w:val="0"/>
      <w:marBottom w:val="0"/>
      <w:divBdr>
        <w:top w:val="none" w:sz="0" w:space="0" w:color="auto"/>
        <w:left w:val="none" w:sz="0" w:space="0" w:color="auto"/>
        <w:bottom w:val="none" w:sz="0" w:space="0" w:color="auto"/>
        <w:right w:val="none" w:sz="0" w:space="0" w:color="auto"/>
      </w:divBdr>
    </w:div>
    <w:div w:id="2113896336">
      <w:bodyDiv w:val="1"/>
      <w:marLeft w:val="0"/>
      <w:marRight w:val="0"/>
      <w:marTop w:val="0"/>
      <w:marBottom w:val="0"/>
      <w:divBdr>
        <w:top w:val="none" w:sz="0" w:space="0" w:color="auto"/>
        <w:left w:val="none" w:sz="0" w:space="0" w:color="auto"/>
        <w:bottom w:val="none" w:sz="0" w:space="0" w:color="auto"/>
        <w:right w:val="none" w:sz="0" w:space="0" w:color="auto"/>
      </w:divBdr>
    </w:div>
    <w:div w:id="2115707621">
      <w:bodyDiv w:val="1"/>
      <w:marLeft w:val="0"/>
      <w:marRight w:val="0"/>
      <w:marTop w:val="0"/>
      <w:marBottom w:val="0"/>
      <w:divBdr>
        <w:top w:val="none" w:sz="0" w:space="0" w:color="auto"/>
        <w:left w:val="none" w:sz="0" w:space="0" w:color="auto"/>
        <w:bottom w:val="none" w:sz="0" w:space="0" w:color="auto"/>
        <w:right w:val="none" w:sz="0" w:space="0" w:color="auto"/>
      </w:divBdr>
    </w:div>
    <w:div w:id="2125683322">
      <w:bodyDiv w:val="1"/>
      <w:marLeft w:val="0"/>
      <w:marRight w:val="0"/>
      <w:marTop w:val="0"/>
      <w:marBottom w:val="0"/>
      <w:divBdr>
        <w:top w:val="none" w:sz="0" w:space="0" w:color="auto"/>
        <w:left w:val="none" w:sz="0" w:space="0" w:color="auto"/>
        <w:bottom w:val="none" w:sz="0" w:space="0" w:color="auto"/>
        <w:right w:val="none" w:sz="0" w:space="0" w:color="auto"/>
      </w:divBdr>
    </w:div>
    <w:div w:id="213073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09310-1CF2-43CF-A5AF-C91FCF5F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4358</Words>
  <Characters>24843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jstover</dc:creator>
  <cp:lastModifiedBy>Eline Korenromp</cp:lastModifiedBy>
  <cp:revision>7</cp:revision>
  <cp:lastPrinted>2016-03-16T15:19:00Z</cp:lastPrinted>
  <dcterms:created xsi:type="dcterms:W3CDTF">2016-05-04T13:51:00Z</dcterms:created>
  <dcterms:modified xsi:type="dcterms:W3CDTF">2016-05-05T08:29:00Z</dcterms:modified>
</cp:coreProperties>
</file>