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41" w:rightFromText="141" w:vertAnchor="page" w:horzAnchor="page" w:tblpX="684" w:tblpY="3241"/>
        <w:tblW w:w="10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/>
      </w:tblPr>
      <w:tblGrid>
        <w:gridCol w:w="1242"/>
        <w:gridCol w:w="1380"/>
        <w:gridCol w:w="1378"/>
        <w:gridCol w:w="1378"/>
        <w:gridCol w:w="1539"/>
        <w:gridCol w:w="1217"/>
        <w:gridCol w:w="1378"/>
        <w:gridCol w:w="1379"/>
        <w:gridCol w:w="6"/>
      </w:tblGrid>
      <w:tr w:rsidR="00025D28" w:rsidRPr="006118EC" w:rsidTr="00B22A12">
        <w:trPr>
          <w:gridAfter w:val="1"/>
          <w:wAfter w:w="6" w:type="dxa"/>
          <w:trHeight w:val="236"/>
        </w:trPr>
        <w:tc>
          <w:tcPr>
            <w:tcW w:w="12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Default="00025D28" w:rsidP="00B22A12">
            <w:pPr>
              <w:spacing w:line="480" w:lineRule="auto"/>
              <w:ind w:left="-108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Leukocytes</w:t>
            </w:r>
          </w:p>
          <w:p w:rsidR="00025D28" w:rsidRPr="006118EC" w:rsidRDefault="00025D28" w:rsidP="00B22A12">
            <w:pPr>
              <w:spacing w:line="480" w:lineRule="auto"/>
              <w:ind w:left="-108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X10</w:t>
            </w:r>
            <w:r>
              <w:rPr>
                <w:rFonts w:asciiTheme="majorHAnsi" w:hAnsiTheme="majorHAnsi"/>
                <w:sz w:val="18"/>
                <w:szCs w:val="18"/>
                <w:vertAlign w:val="superscript"/>
              </w:rPr>
              <w:t>9</w:t>
            </w:r>
            <w:r>
              <w:rPr>
                <w:rFonts w:asciiTheme="majorHAnsi" w:hAnsiTheme="majorHAnsi"/>
                <w:sz w:val="18"/>
                <w:szCs w:val="18"/>
              </w:rPr>
              <w:t>/L</w:t>
            </w:r>
          </w:p>
        </w:tc>
        <w:tc>
          <w:tcPr>
            <w:tcW w:w="137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Neutrophils</w:t>
            </w:r>
          </w:p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X10</w:t>
            </w:r>
            <w:r>
              <w:rPr>
                <w:rFonts w:asciiTheme="majorHAnsi" w:hAnsiTheme="majorHAnsi"/>
                <w:sz w:val="18"/>
                <w:szCs w:val="18"/>
                <w:vertAlign w:val="superscript"/>
              </w:rPr>
              <w:t>9</w:t>
            </w:r>
            <w:r>
              <w:rPr>
                <w:rFonts w:asciiTheme="majorHAnsi" w:hAnsiTheme="majorHAnsi"/>
                <w:sz w:val="18"/>
                <w:szCs w:val="18"/>
              </w:rPr>
              <w:t>/L</w:t>
            </w:r>
          </w:p>
        </w:tc>
        <w:tc>
          <w:tcPr>
            <w:tcW w:w="137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Lymphocytes</w:t>
            </w:r>
          </w:p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X10</w:t>
            </w:r>
            <w:r>
              <w:rPr>
                <w:rFonts w:asciiTheme="majorHAnsi" w:hAnsiTheme="majorHAnsi"/>
                <w:sz w:val="18"/>
                <w:szCs w:val="18"/>
                <w:vertAlign w:val="superscript"/>
              </w:rPr>
              <w:t>9</w:t>
            </w:r>
            <w:r>
              <w:rPr>
                <w:rFonts w:asciiTheme="majorHAnsi" w:hAnsiTheme="majorHAnsi"/>
                <w:sz w:val="18"/>
                <w:szCs w:val="18"/>
              </w:rPr>
              <w:t>/L</w:t>
            </w:r>
          </w:p>
        </w:tc>
        <w:tc>
          <w:tcPr>
            <w:tcW w:w="153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Monocytes</w:t>
            </w:r>
          </w:p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X10</w:t>
            </w:r>
            <w:r>
              <w:rPr>
                <w:rFonts w:asciiTheme="majorHAnsi" w:hAnsiTheme="majorHAnsi"/>
                <w:sz w:val="18"/>
                <w:szCs w:val="18"/>
                <w:vertAlign w:val="superscript"/>
              </w:rPr>
              <w:t>9</w:t>
            </w:r>
            <w:r>
              <w:rPr>
                <w:rFonts w:asciiTheme="majorHAnsi" w:hAnsiTheme="majorHAnsi"/>
                <w:sz w:val="18"/>
                <w:szCs w:val="18"/>
              </w:rPr>
              <w:t>/L</w:t>
            </w:r>
          </w:p>
        </w:tc>
        <w:tc>
          <w:tcPr>
            <w:tcW w:w="121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NLCR</w:t>
            </w:r>
          </w:p>
        </w:tc>
        <w:tc>
          <w:tcPr>
            <w:tcW w:w="137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MLCR</w:t>
            </w:r>
          </w:p>
        </w:tc>
        <w:tc>
          <w:tcPr>
            <w:tcW w:w="137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ind w:left="175" w:hanging="175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NMCR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Baseline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6.3 (6.2-6.8)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3.9 (3.7-4.2)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1.8 (1.8-2.0)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 (0.45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-0.6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2.1 (2.0-2.3)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8.1 (6.0-10.3)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5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6.4 (6.1-6.8)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3.6 (3.1-4.0)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2.2 (2.1-2.3)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0.57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-0.6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1.6 (1.4-2.0)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6.6 (5.5-7.5)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6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6.6 (6.4-7.2)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3.8 (3.6-4.0)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2.1 (1.9-2.5)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-0.6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1.7 (1.5-1.9)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(0.3-0.3)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6.9 (6.3-7.1)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7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6.1 (5.9-7.1)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3.5 (3.2-4.5)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1.9 (1.8-2.1)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0.57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2-0.59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2.0 (1.7-2.4)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7.4 (6.4-8.9)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8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6.6 (6.4-6.8)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3.5 (3.4-3.8)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2.1 (2.0-2.2)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0.56 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-0.6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1.6 (1.4-1.8)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6.6 (6.0-7.0)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9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6.0 (5.1-7.2)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3.5 (2.9-4.4)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1.9 (1.7-2.1)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 (0.46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2.0 (1.8-2.2)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8.0 (6.8-9.1)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10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6.4 (5.8-7.3)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3.7 (3.3-4.2)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2.2 (1.9-2.4)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0.57 (0.49-0.66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1.7 (1.6-1.9)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(0.3-0.3)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6.5 (6.4-6.7)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11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6.0 (5.8-6.2)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3.3 (2.9-3.6)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2.1 (2.0-2.2)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0.47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(0.4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1.6 (1.3-1.9)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7.4 (6.6-7.7)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12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5.6 (5.6-5.9)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3.2 (3.0-3.6)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1.8 (1.7-1.9)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0.47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(0.4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1.9 (1.7-2.0)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7.2 (6.6-8.2)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13^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5.8 (5.5-6.0)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3.2 (3.0-3.3)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1.9 (1.8-1.9)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 (0.39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1.6 (1.5-1.8)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 (0.2-0.2)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6.7 (6.6-7.0)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14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6.2 (5.5-6.4)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3.7 (3.1-3.9)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1.8 (1.7-1.8)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0.39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(0.3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5-0.46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2.0 (1.7-2.2)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8.3 (6.3-10.5)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15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5.7 (5.0-6.3)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3.3 (3.0-3.5)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1.6 (1.5-1.8)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(0.4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0-0.45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2.0 (1.6-2.3)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7.9 (6.5-9.4)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Day 16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6.8 (6.3-6.9)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3.8 (3.2-4.2)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2.0 (1.9-2.1)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(0.5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-0.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  <w:t>1.8 (1.4-2.2)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(0.2-0.3)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  <w:t>6.5 (6.0-7.6)</w:t>
            </w:r>
          </w:p>
        </w:tc>
      </w:tr>
      <w:tr w:rsidR="00025D28" w:rsidRPr="006118EC" w:rsidTr="00B22A12">
        <w:trPr>
          <w:gridAfter w:val="1"/>
          <w:wAfter w:w="6" w:type="dxa"/>
          <w:trHeight w:val="257"/>
        </w:trPr>
        <w:tc>
          <w:tcPr>
            <w:tcW w:w="1242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End</w:t>
            </w:r>
          </w:p>
        </w:tc>
        <w:tc>
          <w:tcPr>
            <w:tcW w:w="1380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7.2 (6.7-7.7)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3.9 (3.6-4.4)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2.2 (1.9-2.4)</w:t>
            </w:r>
          </w:p>
        </w:tc>
        <w:tc>
          <w:tcPr>
            <w:tcW w:w="153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0.58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 xml:space="preserve"> (0.4</w:t>
            </w:r>
            <w: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3-0.77</w:t>
            </w: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17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  <w:t>2.1 (1.8-2.3)</w:t>
            </w:r>
          </w:p>
        </w:tc>
        <w:tc>
          <w:tcPr>
            <w:tcW w:w="1378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0.3 (0.3-0.3)</w:t>
            </w:r>
          </w:p>
        </w:tc>
        <w:tc>
          <w:tcPr>
            <w:tcW w:w="1379" w:type="dxa"/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  <w:t>7.0 (5.6-8.5)</w:t>
            </w:r>
          </w:p>
        </w:tc>
      </w:tr>
      <w:tr w:rsidR="00025D28" w:rsidRPr="006118EC" w:rsidTr="00B22A12">
        <w:trPr>
          <w:gridAfter w:val="1"/>
          <w:wAfter w:w="6" w:type="dxa"/>
          <w:trHeight w:val="321"/>
        </w:trPr>
        <w:tc>
          <w:tcPr>
            <w:tcW w:w="1242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p-value</w:t>
            </w:r>
          </w:p>
        </w:tc>
        <w:tc>
          <w:tcPr>
            <w:tcW w:w="1380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0.21</w:t>
            </w:r>
          </w:p>
        </w:tc>
        <w:tc>
          <w:tcPr>
            <w:tcW w:w="1378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0.66</w:t>
            </w:r>
          </w:p>
        </w:tc>
        <w:tc>
          <w:tcPr>
            <w:tcW w:w="1378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0.10</w:t>
            </w:r>
          </w:p>
        </w:tc>
        <w:tc>
          <w:tcPr>
            <w:tcW w:w="1539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nl-NL"/>
              </w:rPr>
              <w:t>0.08</w:t>
            </w:r>
          </w:p>
        </w:tc>
        <w:tc>
          <w:tcPr>
            <w:tcW w:w="1217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0.28</w:t>
            </w:r>
          </w:p>
        </w:tc>
        <w:tc>
          <w:tcPr>
            <w:tcW w:w="1378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79" w:type="dxa"/>
            <w:tcBorders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6118EC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025D28" w:rsidRPr="006118EC" w:rsidTr="00B22A12">
        <w:trPr>
          <w:trHeight w:val="504"/>
        </w:trPr>
        <w:tc>
          <w:tcPr>
            <w:tcW w:w="10897" w:type="dxa"/>
            <w:gridSpan w:val="9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25D28" w:rsidRPr="006118EC" w:rsidRDefault="00025D28" w:rsidP="00B22A12">
            <w:pPr>
              <w:spacing w:line="480" w:lineRule="auto"/>
              <w:jc w:val="both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6118EC">
              <w:rPr>
                <w:rFonts w:asciiTheme="majorHAnsi" w:hAnsiTheme="majorHAnsi"/>
                <w:sz w:val="20"/>
                <w:szCs w:val="20"/>
              </w:rPr>
              <w:t>Data are shown as median (interquartile range). P-values in this table were derived from Friedman tests. ^Non-parasitemic subjects received a full 3-day course of atovaquone / proguanil, starting on day 13.</w:t>
            </w:r>
          </w:p>
        </w:tc>
      </w:tr>
    </w:tbl>
    <w:p w:rsidR="00025D28" w:rsidRDefault="007F034B" w:rsidP="00025D28">
      <w:pPr>
        <w:spacing w:line="48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Additional</w:t>
      </w:r>
      <w:r w:rsidR="00025D28" w:rsidRPr="006118EC">
        <w:rPr>
          <w:rFonts w:asciiTheme="majorHAnsi" w:hAnsiTheme="majorHAnsi"/>
          <w:b/>
          <w:sz w:val="22"/>
          <w:szCs w:val="22"/>
        </w:rPr>
        <w:t xml:space="preserve"> table </w:t>
      </w:r>
      <w:r>
        <w:rPr>
          <w:rFonts w:asciiTheme="majorHAnsi" w:hAnsiTheme="majorHAnsi"/>
          <w:b/>
          <w:sz w:val="22"/>
          <w:szCs w:val="22"/>
        </w:rPr>
        <w:t>S</w:t>
      </w:r>
      <w:r w:rsidR="00025D28" w:rsidRPr="006118EC">
        <w:rPr>
          <w:rFonts w:asciiTheme="majorHAnsi" w:hAnsiTheme="majorHAnsi"/>
          <w:b/>
          <w:sz w:val="22"/>
          <w:szCs w:val="22"/>
        </w:rPr>
        <w:t xml:space="preserve">1: </w:t>
      </w:r>
      <w:r w:rsidR="00025D28" w:rsidRPr="006118EC">
        <w:rPr>
          <w:rFonts w:asciiTheme="majorHAnsi" w:hAnsiTheme="majorHAnsi"/>
          <w:sz w:val="22"/>
          <w:szCs w:val="22"/>
        </w:rPr>
        <w:t xml:space="preserve">Differential leukocyte counts and their ratios in the </w:t>
      </w:r>
      <w:r w:rsidR="00025D28">
        <w:rPr>
          <w:rFonts w:asciiTheme="majorHAnsi" w:hAnsiTheme="majorHAnsi"/>
          <w:sz w:val="22"/>
          <w:szCs w:val="22"/>
        </w:rPr>
        <w:t xml:space="preserve">4 </w:t>
      </w:r>
      <w:r w:rsidR="00025D28" w:rsidRPr="006118EC">
        <w:rPr>
          <w:rFonts w:asciiTheme="majorHAnsi" w:hAnsiTheme="majorHAnsi"/>
          <w:sz w:val="22"/>
          <w:szCs w:val="22"/>
        </w:rPr>
        <w:t>non-parasitemic subjects</w:t>
      </w:r>
      <w:r w:rsidR="00025D28">
        <w:rPr>
          <w:rFonts w:asciiTheme="majorHAnsi" w:hAnsiTheme="majorHAnsi"/>
          <w:sz w:val="22"/>
          <w:szCs w:val="22"/>
        </w:rPr>
        <w:t xml:space="preserve"> in CHMI-b</w:t>
      </w:r>
      <w:r w:rsidR="00025D28" w:rsidRPr="006118EC">
        <w:rPr>
          <w:rFonts w:asciiTheme="majorHAnsi" w:hAnsiTheme="majorHAnsi"/>
          <w:sz w:val="22"/>
          <w:szCs w:val="22"/>
        </w:rPr>
        <w:t>.</w:t>
      </w:r>
    </w:p>
    <w:p w:rsidR="00FD21D1" w:rsidRDefault="00FD21D1">
      <w:bookmarkStart w:id="0" w:name="_GoBack"/>
      <w:bookmarkEnd w:id="0"/>
    </w:p>
    <w:sectPr w:rsidR="00FD21D1" w:rsidSect="00831E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>
    <w:useFELayout/>
  </w:compat>
  <w:rsids>
    <w:rsidRoot w:val="00025D28"/>
    <w:rsid w:val="00025D28"/>
    <w:rsid w:val="00066E9D"/>
    <w:rsid w:val="007F034B"/>
    <w:rsid w:val="00831E12"/>
    <w:rsid w:val="00FD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28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D28"/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025D28"/>
    <w:rPr>
      <w:rFonts w:eastAsiaTheme="minorHAnsi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D28"/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Marlies</dc:creator>
  <cp:keywords/>
  <dc:description/>
  <cp:lastModifiedBy>0012764</cp:lastModifiedBy>
  <cp:revision>2</cp:revision>
  <dcterms:created xsi:type="dcterms:W3CDTF">2017-07-01T12:30:00Z</dcterms:created>
  <dcterms:modified xsi:type="dcterms:W3CDTF">2017-11-06T13:23:00Z</dcterms:modified>
</cp:coreProperties>
</file>