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12" w:rsidRDefault="009D4DF2" w:rsidP="00337B93">
      <w:pPr>
        <w:pStyle w:val="Title"/>
        <w:jc w:val="center"/>
        <w:rPr>
          <w:rFonts w:eastAsiaTheme="minorHAnsi"/>
        </w:rPr>
      </w:pPr>
      <w:r>
        <w:rPr>
          <w:rFonts w:eastAsiaTheme="minorHAnsi"/>
        </w:rPr>
        <w:t>Additional</w:t>
      </w:r>
      <w:r w:rsidR="00337B93">
        <w:rPr>
          <w:rFonts w:eastAsiaTheme="minorHAnsi"/>
        </w:rPr>
        <w:t xml:space="preserve"> Information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7529265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924ED8" w:rsidRDefault="00924ED8">
          <w:pPr>
            <w:pStyle w:val="TOCHeading"/>
          </w:pPr>
        </w:p>
        <w:p w:rsidR="00337B93" w:rsidRDefault="001914A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GB"/>
            </w:rPr>
          </w:pPr>
          <w:r w:rsidRPr="001914AB">
            <w:fldChar w:fldCharType="begin"/>
          </w:r>
          <w:r w:rsidR="00924ED8">
            <w:instrText xml:space="preserve"> TOC \o "1-3" \h \z \u </w:instrText>
          </w:r>
          <w:r w:rsidRPr="001914AB">
            <w:fldChar w:fldCharType="separate"/>
          </w:r>
          <w:hyperlink w:anchor="_Toc496604666" w:history="1">
            <w:r w:rsidR="00337B93" w:rsidRPr="00CF7DFC">
              <w:rPr>
                <w:rStyle w:val="Hyperlink"/>
                <w:noProof/>
              </w:rPr>
              <w:t>List of abbreviations</w:t>
            </w:r>
            <w:r w:rsidR="00337B9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7B93">
              <w:rPr>
                <w:noProof/>
                <w:webHidden/>
              </w:rPr>
              <w:instrText xml:space="preserve"> PAGEREF _Toc496604666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7B9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7B93" w:rsidRDefault="001914A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GB"/>
            </w:rPr>
          </w:pPr>
          <w:hyperlink w:anchor="_Toc496604667" w:history="1">
            <w:r w:rsidR="00337B93" w:rsidRPr="00CF7DFC">
              <w:rPr>
                <w:rStyle w:val="Hyperlink"/>
                <w:noProof/>
              </w:rPr>
              <w:t>Measurement of drug concentrations</w:t>
            </w:r>
            <w:r w:rsidR="00337B9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7B93">
              <w:rPr>
                <w:noProof/>
                <w:webHidden/>
              </w:rPr>
              <w:instrText xml:space="preserve"> PAGEREF _Toc496604667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7B9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7B93" w:rsidRDefault="001914A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GB"/>
            </w:rPr>
          </w:pPr>
          <w:hyperlink w:anchor="_Toc496604668" w:history="1">
            <w:r w:rsidR="00337B93" w:rsidRPr="00CF7DFC">
              <w:rPr>
                <w:rStyle w:val="Hyperlink"/>
                <w:noProof/>
              </w:rPr>
              <w:t>In-vitro sensitivity assay</w:t>
            </w:r>
            <w:r w:rsidR="00337B9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7B93">
              <w:rPr>
                <w:noProof/>
                <w:webHidden/>
              </w:rPr>
              <w:instrText xml:space="preserve"> PAGEREF _Toc496604668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7B9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7B93" w:rsidRDefault="001914A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GB"/>
            </w:rPr>
          </w:pPr>
          <w:hyperlink w:anchor="_Toc496604669" w:history="1">
            <w:r w:rsidR="00337B93" w:rsidRPr="00CF7DFC">
              <w:rPr>
                <w:rStyle w:val="Hyperlink"/>
                <w:noProof/>
              </w:rPr>
              <w:t>Detailed parasitaemia results of both patients</w:t>
            </w:r>
            <w:r w:rsidR="00337B9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7B93">
              <w:rPr>
                <w:noProof/>
                <w:webHidden/>
              </w:rPr>
              <w:instrText xml:space="preserve"> PAGEREF _Toc496604669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7B9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7B93" w:rsidRDefault="001914AB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GB"/>
            </w:rPr>
          </w:pPr>
          <w:hyperlink w:anchor="_Toc496604670" w:history="1">
            <w:r w:rsidR="00337B93" w:rsidRPr="00CF7DFC">
              <w:rPr>
                <w:rStyle w:val="Hyperlink"/>
                <w:noProof/>
                <w:lang w:val="en-US"/>
              </w:rPr>
              <w:t>References for supplementary</w:t>
            </w:r>
            <w:r w:rsidR="00337B9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37B93">
              <w:rPr>
                <w:noProof/>
                <w:webHidden/>
              </w:rPr>
              <w:instrText xml:space="preserve"> PAGEREF _Toc496604670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37B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24ED8" w:rsidRDefault="001914AB">
          <w:r>
            <w:rPr>
              <w:b/>
              <w:bCs/>
              <w:noProof/>
            </w:rPr>
            <w:fldChar w:fldCharType="end"/>
          </w:r>
        </w:p>
      </w:sdtContent>
    </w:sdt>
    <w:p w:rsidR="00924ED8" w:rsidRDefault="00924ED8" w:rsidP="001037A1">
      <w:pPr>
        <w:pStyle w:val="Heading2"/>
      </w:pPr>
    </w:p>
    <w:p w:rsidR="00C36FAC" w:rsidRDefault="00C36FAC">
      <w:pPr>
        <w:rPr>
          <w:rFonts w:eastAsiaTheme="majorEastAsia" w:cstheme="majorBidi"/>
          <w:b/>
          <w:sz w:val="26"/>
          <w:szCs w:val="26"/>
        </w:rPr>
      </w:pPr>
      <w:r>
        <w:br w:type="page"/>
      </w:r>
    </w:p>
    <w:p w:rsidR="001037A1" w:rsidRPr="001037A1" w:rsidRDefault="001037A1" w:rsidP="001037A1">
      <w:pPr>
        <w:pStyle w:val="Heading2"/>
        <w:rPr>
          <w:strike/>
        </w:rPr>
      </w:pPr>
      <w:bookmarkStart w:id="0" w:name="_Toc496604666"/>
      <w:r w:rsidRPr="001037A1">
        <w:lastRenderedPageBreak/>
        <w:t>List of abbreviations</w:t>
      </w:r>
      <w:bookmarkEnd w:id="0"/>
    </w:p>
    <w:p w:rsidR="001037A1" w:rsidRPr="001037A1" w:rsidRDefault="001037A1" w:rsidP="001037A1">
      <w:pPr>
        <w:spacing w:after="0" w:line="400" w:lineRule="exact"/>
        <w:rPr>
          <w:strike/>
        </w:rPr>
      </w:pPr>
      <w:r w:rsidRPr="001037A1">
        <w:t>ACT</w:t>
      </w:r>
      <w:r w:rsidRPr="001037A1">
        <w:tab/>
      </w:r>
      <w:r w:rsidRPr="001037A1">
        <w:tab/>
        <w:t>Artemisinin-based combination therapy</w:t>
      </w:r>
    </w:p>
    <w:p w:rsidR="001037A1" w:rsidRPr="001037A1" w:rsidRDefault="001037A1" w:rsidP="001037A1">
      <w:pPr>
        <w:spacing w:after="0" w:line="400" w:lineRule="exact"/>
        <w:rPr>
          <w:strike/>
        </w:rPr>
      </w:pPr>
      <w:r w:rsidRPr="001037A1">
        <w:t>ALP</w:t>
      </w:r>
      <w:r w:rsidRPr="001037A1">
        <w:tab/>
      </w:r>
      <w:r w:rsidRPr="001037A1">
        <w:tab/>
        <w:t>Alkaline Phosphatase</w:t>
      </w:r>
    </w:p>
    <w:p w:rsidR="001037A1" w:rsidRPr="001037A1" w:rsidRDefault="001037A1" w:rsidP="001037A1">
      <w:pPr>
        <w:spacing w:after="0" w:line="400" w:lineRule="exact"/>
        <w:rPr>
          <w:strike/>
        </w:rPr>
      </w:pPr>
      <w:r w:rsidRPr="001037A1">
        <w:t>ALT</w:t>
      </w:r>
      <w:r w:rsidRPr="001037A1">
        <w:tab/>
      </w:r>
      <w:r w:rsidRPr="001037A1">
        <w:tab/>
        <w:t xml:space="preserve">Alanine </w:t>
      </w:r>
      <w:r w:rsidR="00A92912">
        <w:t>aminotransferase</w:t>
      </w:r>
    </w:p>
    <w:p w:rsidR="001037A1" w:rsidRPr="001037A1" w:rsidRDefault="001037A1" w:rsidP="001037A1">
      <w:pPr>
        <w:spacing w:after="0" w:line="400" w:lineRule="exact"/>
        <w:rPr>
          <w:strike/>
        </w:rPr>
      </w:pPr>
      <w:r w:rsidRPr="001037A1">
        <w:t xml:space="preserve">AST </w:t>
      </w:r>
      <w:r w:rsidRPr="001037A1">
        <w:tab/>
      </w:r>
      <w:r w:rsidRPr="001037A1">
        <w:tab/>
        <w:t xml:space="preserve">Aspartate </w:t>
      </w:r>
      <w:r w:rsidR="00A92912">
        <w:t>aminotransferase</w:t>
      </w:r>
    </w:p>
    <w:p w:rsidR="001037A1" w:rsidRPr="001037A1" w:rsidRDefault="001037A1" w:rsidP="001037A1">
      <w:pPr>
        <w:spacing w:after="0" w:line="400" w:lineRule="exact"/>
        <w:rPr>
          <w:strike/>
        </w:rPr>
      </w:pPr>
      <w:r w:rsidRPr="001037A1">
        <w:t>BUN</w:t>
      </w:r>
      <w:r w:rsidRPr="001037A1">
        <w:tab/>
      </w:r>
      <w:r w:rsidRPr="001037A1">
        <w:tab/>
        <w:t>Blood Urea Nitrogen</w:t>
      </w:r>
    </w:p>
    <w:p w:rsidR="001037A1" w:rsidRPr="001037A1" w:rsidRDefault="001037A1" w:rsidP="001037A1">
      <w:pPr>
        <w:spacing w:after="0" w:line="400" w:lineRule="exact"/>
        <w:rPr>
          <w:strike/>
          <w:lang w:val="fr-FR"/>
        </w:rPr>
      </w:pPr>
      <w:proofErr w:type="spellStart"/>
      <w:r w:rsidRPr="001037A1">
        <w:rPr>
          <w:lang w:val="fr-FR"/>
        </w:rPr>
        <w:t>Hct</w:t>
      </w:r>
      <w:proofErr w:type="spellEnd"/>
      <w:r w:rsidRPr="001037A1">
        <w:rPr>
          <w:lang w:val="fr-FR"/>
        </w:rPr>
        <w:tab/>
      </w:r>
      <w:r w:rsidRPr="001037A1">
        <w:rPr>
          <w:lang w:val="fr-FR"/>
        </w:rPr>
        <w:tab/>
        <w:t>Haematocrit</w:t>
      </w:r>
    </w:p>
    <w:p w:rsidR="001037A1" w:rsidRPr="001037A1" w:rsidRDefault="001037A1" w:rsidP="001037A1">
      <w:pPr>
        <w:spacing w:after="0" w:line="400" w:lineRule="exact"/>
        <w:rPr>
          <w:strike/>
          <w:lang w:val="fr-FR"/>
        </w:rPr>
      </w:pPr>
      <w:r w:rsidRPr="001037A1">
        <w:rPr>
          <w:lang w:val="fr-FR"/>
        </w:rPr>
        <w:t>µL</w:t>
      </w:r>
      <w:r w:rsidRPr="001037A1">
        <w:rPr>
          <w:lang w:val="fr-FR"/>
        </w:rPr>
        <w:tab/>
      </w:r>
      <w:r w:rsidRPr="001037A1">
        <w:rPr>
          <w:lang w:val="fr-FR"/>
        </w:rPr>
        <w:tab/>
        <w:t>Microlitre</w:t>
      </w:r>
    </w:p>
    <w:p w:rsidR="001037A1" w:rsidRPr="001037A1" w:rsidRDefault="001037A1" w:rsidP="001037A1">
      <w:pPr>
        <w:spacing w:after="0" w:line="400" w:lineRule="exact"/>
        <w:rPr>
          <w:strike/>
          <w:lang w:val="fr-FR"/>
        </w:rPr>
      </w:pPr>
      <w:r w:rsidRPr="001037A1">
        <w:rPr>
          <w:lang w:val="fr-FR"/>
        </w:rPr>
        <w:t>mmol/L</w:t>
      </w:r>
      <w:r w:rsidRPr="001037A1">
        <w:rPr>
          <w:lang w:val="fr-FR"/>
        </w:rPr>
        <w:tab/>
      </w:r>
      <w:r w:rsidRPr="001037A1">
        <w:rPr>
          <w:lang w:val="fr-FR"/>
        </w:rPr>
        <w:tab/>
        <w:t>Millimole per litre</w:t>
      </w:r>
    </w:p>
    <w:p w:rsidR="001037A1" w:rsidRPr="001037A1" w:rsidRDefault="001037A1" w:rsidP="001037A1">
      <w:pPr>
        <w:spacing w:after="0" w:line="400" w:lineRule="exact"/>
        <w:rPr>
          <w:strike/>
          <w:lang w:val="fr-FR"/>
        </w:rPr>
      </w:pPr>
      <w:r w:rsidRPr="001037A1">
        <w:rPr>
          <w:lang w:val="fr-FR"/>
        </w:rPr>
        <w:t>PFT</w:t>
      </w:r>
      <w:r w:rsidRPr="001037A1">
        <w:rPr>
          <w:lang w:val="fr-FR"/>
        </w:rPr>
        <w:tab/>
      </w:r>
      <w:r w:rsidRPr="001037A1">
        <w:rPr>
          <w:lang w:val="fr-FR"/>
        </w:rPr>
        <w:tab/>
      </w:r>
      <w:r w:rsidRPr="001037A1">
        <w:rPr>
          <w:i/>
          <w:lang w:val="fr-FR"/>
        </w:rPr>
        <w:t>Plasmodium falciparum</w:t>
      </w:r>
      <w:r w:rsidRPr="001037A1">
        <w:rPr>
          <w:lang w:val="fr-FR"/>
        </w:rPr>
        <w:t xml:space="preserve"> </w:t>
      </w:r>
      <w:r w:rsidR="00A92912">
        <w:rPr>
          <w:lang w:val="fr-FR"/>
        </w:rPr>
        <w:t>t</w:t>
      </w:r>
      <w:r w:rsidRPr="001037A1">
        <w:rPr>
          <w:lang w:val="fr-FR"/>
        </w:rPr>
        <w:t>rophozoite</w:t>
      </w:r>
    </w:p>
    <w:p w:rsidR="001037A1" w:rsidRPr="001037A1" w:rsidRDefault="001037A1" w:rsidP="001037A1">
      <w:pPr>
        <w:spacing w:after="0" w:line="400" w:lineRule="exact"/>
        <w:rPr>
          <w:strike/>
          <w:lang w:val="fr-FR"/>
        </w:rPr>
      </w:pPr>
      <w:proofErr w:type="spellStart"/>
      <w:r w:rsidRPr="001037A1">
        <w:rPr>
          <w:lang w:val="fr-FR"/>
        </w:rPr>
        <w:t>PFS</w:t>
      </w:r>
      <w:proofErr w:type="spellEnd"/>
      <w:r w:rsidRPr="001037A1">
        <w:rPr>
          <w:lang w:val="fr-FR"/>
        </w:rPr>
        <w:tab/>
      </w:r>
      <w:r w:rsidRPr="001037A1">
        <w:rPr>
          <w:lang w:val="fr-FR"/>
        </w:rPr>
        <w:tab/>
      </w:r>
      <w:r w:rsidRPr="001037A1">
        <w:rPr>
          <w:i/>
          <w:lang w:val="fr-FR"/>
        </w:rPr>
        <w:t>Plasmodium falciparum</w:t>
      </w:r>
      <w:r w:rsidRPr="001037A1">
        <w:rPr>
          <w:lang w:val="fr-FR"/>
        </w:rPr>
        <w:t xml:space="preserve"> </w:t>
      </w:r>
      <w:r w:rsidR="00A92912">
        <w:rPr>
          <w:lang w:val="fr-FR"/>
        </w:rPr>
        <w:t>s</w:t>
      </w:r>
      <w:r w:rsidRPr="001037A1">
        <w:rPr>
          <w:lang w:val="fr-FR"/>
        </w:rPr>
        <w:t>chizont</w:t>
      </w:r>
    </w:p>
    <w:p w:rsidR="001037A1" w:rsidRPr="001037A1" w:rsidRDefault="001037A1" w:rsidP="001037A1">
      <w:pPr>
        <w:spacing w:after="0" w:line="400" w:lineRule="exact"/>
        <w:rPr>
          <w:strike/>
        </w:rPr>
      </w:pPr>
      <w:r w:rsidRPr="001037A1">
        <w:t>PFG</w:t>
      </w:r>
      <w:r w:rsidRPr="001037A1">
        <w:tab/>
      </w:r>
      <w:r w:rsidRPr="001037A1">
        <w:tab/>
      </w:r>
      <w:r w:rsidRPr="001037A1">
        <w:rPr>
          <w:i/>
        </w:rPr>
        <w:t>Plasmodium falciparum</w:t>
      </w:r>
      <w:r w:rsidRPr="001037A1">
        <w:t xml:space="preserve"> </w:t>
      </w:r>
      <w:r w:rsidR="00A92912">
        <w:t>g</w:t>
      </w:r>
      <w:r w:rsidRPr="001037A1">
        <w:t>ametocyte</w:t>
      </w:r>
    </w:p>
    <w:p w:rsidR="001037A1" w:rsidRDefault="001037A1" w:rsidP="001037A1">
      <w:pPr>
        <w:spacing w:before="60" w:after="60"/>
      </w:pPr>
      <w:r w:rsidRPr="001037A1">
        <w:t>PRR</w:t>
      </w:r>
      <w:r w:rsidRPr="001037A1">
        <w:tab/>
      </w:r>
      <w:r w:rsidRPr="001037A1">
        <w:tab/>
        <w:t>Parasite Reduction Ratio</w:t>
      </w:r>
    </w:p>
    <w:p w:rsidR="00332DF5" w:rsidRPr="00332DF5" w:rsidRDefault="00332DF5" w:rsidP="001037A1">
      <w:pPr>
        <w:spacing w:before="60" w:after="60"/>
      </w:pPr>
      <w:r w:rsidRPr="00332DF5">
        <w:t>WWARN</w:t>
      </w:r>
      <w:r w:rsidRPr="00332DF5">
        <w:tab/>
        <w:t>World Wide Antimalarial Resistance Network</w:t>
      </w:r>
    </w:p>
    <w:p w:rsidR="001037A1" w:rsidRPr="001037A1" w:rsidRDefault="001037A1" w:rsidP="001037A1">
      <w:pPr>
        <w:spacing w:before="60" w:after="60"/>
        <w:rPr>
          <w:strike/>
        </w:rPr>
      </w:pPr>
      <w:r w:rsidRPr="001037A1">
        <w:t>WBC</w:t>
      </w:r>
      <w:r w:rsidRPr="001037A1">
        <w:tab/>
      </w:r>
      <w:r w:rsidRPr="001037A1">
        <w:tab/>
        <w:t xml:space="preserve">White </w:t>
      </w:r>
      <w:r w:rsidR="00FD525F">
        <w:t>b</w:t>
      </w:r>
      <w:r w:rsidRPr="001037A1">
        <w:t xml:space="preserve">lood </w:t>
      </w:r>
      <w:r w:rsidR="00FD525F">
        <w:t>c</w:t>
      </w:r>
      <w:r w:rsidRPr="001037A1">
        <w:t>ell</w:t>
      </w:r>
    </w:p>
    <w:p w:rsidR="001037A1" w:rsidRDefault="001037A1" w:rsidP="001037A1">
      <w:pPr>
        <w:pStyle w:val="Heading2"/>
      </w:pPr>
    </w:p>
    <w:p w:rsidR="001037A1" w:rsidRDefault="001037A1" w:rsidP="001037A1">
      <w:pPr>
        <w:pStyle w:val="Heading2"/>
      </w:pPr>
      <w:bookmarkStart w:id="1" w:name="_Toc496604667"/>
      <w:r>
        <w:t xml:space="preserve">Measurement of drug </w:t>
      </w:r>
      <w:r w:rsidR="00A92912">
        <w:t>concentrations</w:t>
      </w:r>
      <w:bookmarkEnd w:id="1"/>
    </w:p>
    <w:p w:rsidR="001037A1" w:rsidRDefault="001037A1" w:rsidP="001037A1">
      <w:pPr>
        <w:spacing w:after="0" w:line="400" w:lineRule="exact"/>
        <w:ind w:firstLine="720"/>
        <w:jc w:val="both"/>
      </w:pPr>
      <w:r>
        <w:t>Plasma drug concentrations were determined using an LC-MS/MS based assay,</w:t>
      </w:r>
      <w:r w:rsidRPr="00BD5CFE">
        <w:rPr>
          <w:rFonts w:cs="Times New Roman"/>
          <w:szCs w:val="28"/>
          <w:lang w:bidi="th-TH"/>
        </w:rPr>
        <w:t xml:space="preserve"> </w:t>
      </w:r>
      <w:r w:rsidRPr="00BD5CFE">
        <w:t xml:space="preserve">validated according to U.S. FDA guidelines </w:t>
      </w:r>
      <w:r w:rsidR="001914AB">
        <w:fldChar w:fldCharType="begin"/>
      </w:r>
      <w:r>
        <w:instrText xml:space="preserve"> ADDIN EN.CITE &lt;EndNote&gt;&lt;Cite&gt;&lt;Author&gt;Hanpithakpong&lt;/Author&gt;&lt;Year&gt;2008&lt;/Year&gt;&lt;RecNum&gt;2437&lt;/RecNum&gt;&lt;DisplayText&gt;[1]&lt;/DisplayText&gt;&lt;record&gt;&lt;rec-number&gt;2437&lt;/rec-number&gt;&lt;foreign-keys&gt;&lt;key app="EN" db-id="fw2d9vvw2apep3e09fopstetxtaxwta22d0v" timestamp="1508726348"&gt;2437&lt;/key&gt;&lt;/foreign-keys&gt;&lt;ref-type name="Journal Article"&gt;17&lt;/ref-type&gt;&lt;contributors&gt;&lt;authors&gt;&lt;author&gt;Hanpithakpong, W&lt;/author&gt;&lt;author&gt;Kamanikom, B&lt;/author&gt;&lt;author&gt;Dondorp, AM&lt;/author&gt;&lt;author&gt;Singhasivanon, P&lt;/author&gt;&lt;author&gt;White, NJ&lt;/author&gt;&lt;author&gt;Day, NPJ&lt;/author&gt;&lt;author&gt;Lindegardh, N&lt;/author&gt;&lt;/authors&gt;&lt;/contributors&gt;&lt;titles&gt;&lt;title&gt;A liquid chromatographic-tandem mass spectrometric method for determination of artesunate and its metabolite dihydroartemisinin in human plasma&lt;/title&gt;&lt;secondary-title&gt;Journal of Chromatography B&lt;/secondary-title&gt;&lt;/titles&gt;&lt;periodical&gt;&lt;full-title&gt;Journal of Chromatography B&lt;/full-title&gt;&lt;/periodical&gt;&lt;pages&gt;61-68&lt;/pages&gt;&lt;volume&gt;876&lt;/volume&gt;&lt;number&gt;1&lt;/number&gt;&lt;dates&gt;&lt;year&gt;2008&lt;/year&gt;&lt;/dates&gt;&lt;isbn&gt;1570-0232&lt;/isbn&gt;&lt;urls&gt;&lt;/urls&gt;&lt;/record&gt;&lt;/Cite&gt;&lt;/EndNote&gt;</w:instrText>
      </w:r>
      <w:r w:rsidR="001914AB">
        <w:fldChar w:fldCharType="separate"/>
      </w:r>
      <w:r>
        <w:rPr>
          <w:noProof/>
        </w:rPr>
        <w:t>[1]</w:t>
      </w:r>
      <w:r w:rsidR="001914AB">
        <w:fldChar w:fldCharType="end"/>
      </w:r>
      <w:r w:rsidRPr="00BD5CFE">
        <w:t xml:space="preserve">. In </w:t>
      </w:r>
      <w:r>
        <w:t xml:space="preserve">brief, solid-phase extraction (SPE) was used for the plasma sample preparation. </w:t>
      </w:r>
      <w:r w:rsidRPr="00BD5CFE">
        <w:rPr>
          <w:lang w:val="en-US"/>
        </w:rPr>
        <w:t xml:space="preserve">The extracted drugs were separated using a </w:t>
      </w:r>
      <w:proofErr w:type="spellStart"/>
      <w:r w:rsidRPr="00BD5CFE">
        <w:rPr>
          <w:lang w:val="en-US"/>
        </w:rPr>
        <w:t>Dionex</w:t>
      </w:r>
      <w:proofErr w:type="spellEnd"/>
      <w:r w:rsidRPr="00BD5CFE">
        <w:rPr>
          <w:lang w:val="en-US"/>
        </w:rPr>
        <w:t xml:space="preserve"> Ultimate 3000 UHPLC (Thermo Fisher)</w:t>
      </w:r>
      <w:r w:rsidRPr="00BD5CFE">
        <w:t xml:space="preserve"> equipped with </w:t>
      </w:r>
      <w:r w:rsidRPr="00BD5CFE">
        <w:rPr>
          <w:lang w:val="en-US"/>
        </w:rPr>
        <w:t xml:space="preserve">a </w:t>
      </w:r>
      <w:proofErr w:type="spellStart"/>
      <w:r w:rsidRPr="00BD5CFE">
        <w:rPr>
          <w:lang w:val="en-US"/>
        </w:rPr>
        <w:t>Zorbax</w:t>
      </w:r>
      <w:proofErr w:type="spellEnd"/>
      <w:r w:rsidRPr="00BD5CFE">
        <w:rPr>
          <w:lang w:val="en-US"/>
        </w:rPr>
        <w:t xml:space="preserve"> SB-</w:t>
      </w:r>
      <w:proofErr w:type="spellStart"/>
      <w:r w:rsidRPr="00BD5CFE">
        <w:rPr>
          <w:lang w:val="en-US"/>
        </w:rPr>
        <w:t>CN</w:t>
      </w:r>
      <w:proofErr w:type="spellEnd"/>
      <w:r>
        <w:rPr>
          <w:lang w:val="en-US"/>
        </w:rPr>
        <w:t xml:space="preserve"> column</w:t>
      </w:r>
      <w:r w:rsidRPr="00BD5CFE">
        <w:rPr>
          <w:lang w:val="en-US"/>
        </w:rPr>
        <w:t xml:space="preserve"> (Agilent)</w:t>
      </w:r>
      <w:r>
        <w:rPr>
          <w:lang w:val="en-US"/>
        </w:rPr>
        <w:t xml:space="preserve"> or a </w:t>
      </w:r>
      <w:proofErr w:type="spellStart"/>
      <w:r w:rsidRPr="009162F4">
        <w:t>Hypersil</w:t>
      </w:r>
      <w:proofErr w:type="spellEnd"/>
      <w:r w:rsidRPr="009162F4">
        <w:t xml:space="preserve"> Gold </w:t>
      </w:r>
      <w:proofErr w:type="spellStart"/>
      <w:r w:rsidRPr="009162F4">
        <w:t>C18</w:t>
      </w:r>
      <w:proofErr w:type="spellEnd"/>
      <w:r>
        <w:t xml:space="preserve"> column (Thermo Fisher)</w:t>
      </w:r>
      <w:r w:rsidRPr="00BD5CFE">
        <w:rPr>
          <w:lang w:val="en-US"/>
        </w:rPr>
        <w:t xml:space="preserve">. An API500 triple-quadrupole mass spectrometer and Analyst 1.6.3 software (both </w:t>
      </w:r>
      <w:proofErr w:type="spellStart"/>
      <w:r w:rsidRPr="00BD5CFE">
        <w:rPr>
          <w:lang w:val="en-US"/>
        </w:rPr>
        <w:t>ABSciex</w:t>
      </w:r>
      <w:proofErr w:type="spellEnd"/>
      <w:r w:rsidRPr="00BD5CFE">
        <w:rPr>
          <w:lang w:val="en-US"/>
        </w:rPr>
        <w:t>) were used for drug detection and quantification</w:t>
      </w:r>
      <w:r w:rsidRPr="00BD5CFE">
        <w:t xml:space="preserve">. </w:t>
      </w:r>
      <w:r w:rsidRPr="00BD5CFE">
        <w:rPr>
          <w:lang w:val="en-US"/>
        </w:rPr>
        <w:t xml:space="preserve">The lower limit of quantification </w:t>
      </w:r>
      <w:r>
        <w:rPr>
          <w:lang w:val="en-US"/>
        </w:rPr>
        <w:t xml:space="preserve">was 9.71 ng/mL for lumefantrine, </w:t>
      </w:r>
      <w:r w:rsidRPr="00BD5CFE">
        <w:rPr>
          <w:lang w:val="en-US"/>
        </w:rPr>
        <w:t xml:space="preserve">1.01 ng/mL for </w:t>
      </w:r>
      <w:proofErr w:type="spellStart"/>
      <w:r w:rsidRPr="00BD5CFE">
        <w:rPr>
          <w:lang w:val="en-US"/>
        </w:rPr>
        <w:t>desbutyl</w:t>
      </w:r>
      <w:proofErr w:type="spellEnd"/>
      <w:r w:rsidRPr="00BD5CFE">
        <w:rPr>
          <w:lang w:val="en-US"/>
        </w:rPr>
        <w:t>-lumefantrine</w:t>
      </w:r>
      <w:r>
        <w:rPr>
          <w:lang w:val="en-US"/>
        </w:rPr>
        <w:t>, 1.19 ng/mL for artesunate and 1.96 ng/mL for DHA</w:t>
      </w:r>
      <w:r w:rsidRPr="00BD5CFE">
        <w:rPr>
          <w:lang w:val="en-US"/>
        </w:rPr>
        <w:t>.</w:t>
      </w:r>
      <w:r w:rsidRPr="00BD5CFE">
        <w:t xml:space="preserve"> Internal standards were used to compensate for recovery and matrix effects</w:t>
      </w:r>
      <w:r>
        <w:rPr>
          <w:lang w:val="en-US"/>
        </w:rPr>
        <w:t xml:space="preserve"> and </w:t>
      </w:r>
      <w:r>
        <w:t>two</w:t>
      </w:r>
      <w:r w:rsidRPr="00BD5CFE">
        <w:t xml:space="preserve"> replicates of quality control samples at low, middle, and high concentrations were included in the analysis to ensure precision and accuracy. </w:t>
      </w:r>
      <w:r>
        <w:t xml:space="preserve"> </w:t>
      </w:r>
    </w:p>
    <w:p w:rsidR="007F1526" w:rsidRPr="0033172D" w:rsidRDefault="007F1526" w:rsidP="007F1526">
      <w:pPr>
        <w:pStyle w:val="Heading2"/>
        <w:rPr>
          <w:rStyle w:val="SubtleEmphasis"/>
          <w:sz w:val="22"/>
        </w:rPr>
      </w:pPr>
      <w:bookmarkStart w:id="2" w:name="_Toc496604668"/>
      <w:r w:rsidRPr="007F1526">
        <w:t>In-vitro sensitivity assay</w:t>
      </w:r>
      <w:bookmarkEnd w:id="2"/>
      <w:r w:rsidRPr="007F1526">
        <w:rPr>
          <w:i/>
          <w:iCs/>
          <w:color w:val="2F5496" w:themeColor="accent1" w:themeShade="BF"/>
        </w:rPr>
        <w:t xml:space="preserve"> </w:t>
      </w:r>
    </w:p>
    <w:p w:rsidR="007F1526" w:rsidRPr="0033172D" w:rsidRDefault="007F1526" w:rsidP="007F1526">
      <w:pPr>
        <w:spacing w:after="0" w:line="400" w:lineRule="exact"/>
        <w:ind w:firstLine="720"/>
        <w:jc w:val="both"/>
        <w:rPr>
          <w:b/>
        </w:rPr>
      </w:pPr>
      <w:r w:rsidRPr="0033172D">
        <w:t>The in‐vitro Ring‐stage Survival Assay (RSA</w:t>
      </w:r>
      <w:r w:rsidRPr="0033172D">
        <w:rPr>
          <w:vertAlign w:val="superscript"/>
        </w:rPr>
        <w:t>0‐3h</w:t>
      </w:r>
      <w:r w:rsidRPr="0033172D">
        <w:t xml:space="preserve">) is performed to evaluate the susceptibility of </w:t>
      </w:r>
      <w:r w:rsidRPr="00655E48">
        <w:rPr>
          <w:i/>
          <w:iCs/>
        </w:rPr>
        <w:t>Plasmodium falciparum</w:t>
      </w:r>
      <w:r w:rsidRPr="0033172D">
        <w:t xml:space="preserve"> to artemisinins. 0‐3-hour post‐invasion ring-stage parasites are exposed to different concentration of dihydroartemisinin (DHA) for 6 hours (200-100-50-25 ng) – approximating </w:t>
      </w:r>
      <w:r w:rsidRPr="0033172D">
        <w:lastRenderedPageBreak/>
        <w:t xml:space="preserve">their drug exposure in patients treated with an artemisinin – and their survival is assessed 72 hours late. This assay used the same methodology as WWARN </w:t>
      </w:r>
      <w:r w:rsidR="001914AB" w:rsidRPr="0033172D">
        <w:fldChar w:fldCharType="begin"/>
      </w:r>
      <w:r>
        <w:instrText xml:space="preserve"> ADDIN EN.CITE &lt;EndNote&gt;&lt;Cite&gt;&lt;Author&gt;WWARN&lt;/Author&gt;&lt;Year&gt;2015&lt;/Year&gt;&lt;RecNum&gt;753&lt;/RecNum&gt;&lt;DisplayText&gt;[2]&lt;/DisplayText&gt;&lt;record&gt;&lt;rec-number&gt;753&lt;/rec-number&gt;&lt;foreign-keys&gt;&lt;key app="EN" db-id="fw2d9vvw2apep3e09fopstetxtaxwta22d0v" timestamp="1453693729"&gt;753&lt;/key&gt;&lt;/foreign-keys&gt;&lt;ref-type name="Standard"&gt;58&lt;/ref-type&gt;&lt;contributors&gt;&lt;authors&gt;&lt;author&gt;WorldWide Antimalarial Resistance Network WWARN&lt;/author&gt;&lt;/authors&gt;&lt;/contributors&gt;&lt;titles&gt;&lt;title&gt;Ring-stage Survival Assays (RSA) to Evaluate the In-Vitro and Ex-Vivo Susceptibility of Plasmodium Falciparum to Artemisinins&lt;/title&gt;&lt;short-title&gt;RSA0-3 SOP WWARN&lt;/short-title&gt;&lt;/titles&gt;&lt;number&gt;Version 1.2&lt;/number&gt;&lt;keywords&gt;&lt;keyword&gt;Data analysis&lt;/keyword&gt;&lt;keyword&gt;Ex vivo assays&lt;/keyword&gt;&lt;keyword&gt;Ring Stage Survival&lt;/keyword&gt;&lt;/keywords&gt;&lt;dates&gt;&lt;year&gt;2015&lt;/year&gt;&lt;/dates&gt;&lt;work-type&gt;Standard Operating Procedure&lt;/work-type&gt;&lt;urls&gt;&lt;related-urls&gt;&lt;url&gt;http://www.wwarn.org/tools-resources/procedures/ring-stage-survival-assays-rsa-evaluate-vitro-and-ex-vivo-susceptibility&lt;/url&gt;&lt;/related-urls&gt;&lt;/urls&gt;&lt;remote-database-provider&gt; Worldwide Antimalarial Resistance Network&lt;/remote-database-provider&gt;&lt;language&gt;English&lt;/language&gt;&lt;/record&gt;&lt;/Cite&gt;&lt;/EndNote&gt;</w:instrText>
      </w:r>
      <w:r w:rsidR="001914AB" w:rsidRPr="0033172D">
        <w:fldChar w:fldCharType="separate"/>
      </w:r>
      <w:r>
        <w:rPr>
          <w:noProof/>
        </w:rPr>
        <w:t>[2]</w:t>
      </w:r>
      <w:r w:rsidR="001914AB" w:rsidRPr="0033172D">
        <w:fldChar w:fldCharType="end"/>
      </w:r>
      <w:r w:rsidRPr="0033172D">
        <w:t xml:space="preserve"> except the modification in concentration of DHA (200 ng in WWARN vs. multiple concentration DHA including 200 ng as well). RSA</w:t>
      </w:r>
      <w:r w:rsidRPr="0033172D">
        <w:rPr>
          <w:vertAlign w:val="superscript"/>
        </w:rPr>
        <w:t>0‐3h</w:t>
      </w:r>
      <w:r w:rsidRPr="0033172D">
        <w:t xml:space="preserve"> survival rates from two patients at different DHA concentration are shown in comparison with K-13 wild type isolates and laboratory reference 3D7 isolate (Figure 2)</w:t>
      </w:r>
    </w:p>
    <w:p w:rsidR="007F1526" w:rsidRDefault="00924ED8" w:rsidP="00774070">
      <w:pPr>
        <w:pStyle w:val="Heading2"/>
      </w:pPr>
      <w:bookmarkStart w:id="3" w:name="_Toc496604669"/>
      <w:r>
        <w:t>Detailed p</w:t>
      </w:r>
      <w:r w:rsidR="00774070">
        <w:t>arasitaemia</w:t>
      </w:r>
      <w:r>
        <w:t xml:space="preserve"> </w:t>
      </w:r>
      <w:r w:rsidR="00520807">
        <w:t xml:space="preserve">results </w:t>
      </w:r>
      <w:r>
        <w:t>of both patients</w:t>
      </w:r>
      <w:bookmarkEnd w:id="3"/>
    </w:p>
    <w:p w:rsidR="00B76D5A" w:rsidRDefault="00B76D5A" w:rsidP="00B76D5A">
      <w:pPr>
        <w:rPr>
          <w:lang w:val="en-US"/>
        </w:rPr>
      </w:pPr>
      <w:r>
        <w:rPr>
          <w:lang w:val="en-US"/>
        </w:rPr>
        <w:t>Parasitaemia of case 1</w:t>
      </w:r>
    </w:p>
    <w:tbl>
      <w:tblPr>
        <w:tblStyle w:val="TableGrid"/>
        <w:tblW w:w="8640" w:type="dxa"/>
        <w:jc w:val="center"/>
        <w:tblLook w:val="04A0"/>
      </w:tblPr>
      <w:tblGrid>
        <w:gridCol w:w="985"/>
        <w:gridCol w:w="3420"/>
        <w:gridCol w:w="4235"/>
      </w:tblGrid>
      <w:tr w:rsidR="00B76D5A" w:rsidRPr="003C3719" w:rsidTr="00714097">
        <w:trPr>
          <w:jc w:val="center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B76D5A" w:rsidRPr="003C3719" w:rsidRDefault="00B76D5A" w:rsidP="005E3C7D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Hour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B76D5A" w:rsidRPr="003C3719" w:rsidRDefault="00B76D5A" w:rsidP="005E3C7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Parasitaemia per microlitre</w:t>
            </w:r>
          </w:p>
        </w:tc>
        <w:tc>
          <w:tcPr>
            <w:tcW w:w="4235" w:type="dxa"/>
            <w:shd w:val="clear" w:color="auto" w:fill="F2F2F2" w:themeFill="background1" w:themeFillShade="F2"/>
            <w:vAlign w:val="center"/>
          </w:tcPr>
          <w:p w:rsidR="00B76D5A" w:rsidRPr="003C3719" w:rsidRDefault="00B76D5A" w:rsidP="005E3C7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Comments</w:t>
            </w:r>
          </w:p>
        </w:tc>
      </w:tr>
      <w:tr w:rsidR="00B76D5A" w:rsidRPr="003C3719" w:rsidTr="005E3C7D">
        <w:trPr>
          <w:trHeight w:hRule="exact" w:val="432"/>
          <w:jc w:val="center"/>
        </w:trPr>
        <w:tc>
          <w:tcPr>
            <w:tcW w:w="985" w:type="dxa"/>
            <w:vAlign w:val="center"/>
          </w:tcPr>
          <w:p w:rsidR="00B76D5A" w:rsidRPr="003C3719" w:rsidRDefault="00B76D5A" w:rsidP="005E3C7D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420" w:type="dxa"/>
            <w:vAlign w:val="center"/>
          </w:tcPr>
          <w:p w:rsidR="00B76D5A" w:rsidRPr="003C3719" w:rsidRDefault="00B76D5A" w:rsidP="005E3C7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PFT 757</w:t>
            </w:r>
            <w:r w:rsidRPr="00B76D5A">
              <w:rPr>
                <w:rFonts w:cstheme="minorHAnsi"/>
                <w:sz w:val="20"/>
                <w:szCs w:val="20"/>
              </w:rPr>
              <w:t xml:space="preserve">368 </w:t>
            </w:r>
            <w:r>
              <w:rPr>
                <w:rFonts w:cstheme="minorHAnsi"/>
                <w:sz w:val="20"/>
                <w:szCs w:val="20"/>
              </w:rPr>
              <w:t>PFS 352 PFG 1216</w:t>
            </w:r>
            <w:r w:rsidRPr="00B76D5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35" w:type="dxa"/>
            <w:vAlign w:val="center"/>
          </w:tcPr>
          <w:p w:rsidR="00B76D5A" w:rsidRPr="003C3719" w:rsidRDefault="00B76D5A" w:rsidP="005E3C7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&gt;5</w:t>
            </w:r>
            <w:r w:rsidRPr="003C3719">
              <w:rPr>
                <w:rFonts w:cstheme="minorHAnsi"/>
                <w:sz w:val="20"/>
                <w:szCs w:val="20"/>
              </w:rPr>
              <w:t>0% of PFT were late trophozoites.</w:t>
            </w:r>
          </w:p>
        </w:tc>
      </w:tr>
      <w:tr w:rsidR="00B76D5A" w:rsidRPr="003C3719" w:rsidTr="005E3C7D">
        <w:trPr>
          <w:jc w:val="center"/>
        </w:trPr>
        <w:tc>
          <w:tcPr>
            <w:tcW w:w="985" w:type="dxa"/>
            <w:vAlign w:val="center"/>
          </w:tcPr>
          <w:p w:rsidR="00B76D5A" w:rsidRPr="003C3719" w:rsidRDefault="00B76D5A" w:rsidP="005E3C7D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420" w:type="dxa"/>
            <w:vAlign w:val="center"/>
          </w:tcPr>
          <w:p w:rsidR="00B76D5A" w:rsidRPr="003C3719" w:rsidRDefault="00B76D5A" w:rsidP="005E3C7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 xml:space="preserve">PFT </w:t>
            </w:r>
            <w:r w:rsidR="003F2E95">
              <w:rPr>
                <w:rFonts w:cstheme="minorHAnsi"/>
                <w:sz w:val="20"/>
                <w:szCs w:val="20"/>
              </w:rPr>
              <w:t>746064</w:t>
            </w:r>
            <w:r w:rsidRPr="003C3719">
              <w:rPr>
                <w:rFonts w:cstheme="minorHAnsi"/>
                <w:sz w:val="20"/>
                <w:szCs w:val="20"/>
              </w:rPr>
              <w:t xml:space="preserve"> PFS </w:t>
            </w:r>
            <w:r w:rsidR="003F2E95">
              <w:rPr>
                <w:rFonts w:cstheme="minorHAnsi"/>
                <w:sz w:val="20"/>
                <w:szCs w:val="20"/>
              </w:rPr>
              <w:t>32</w:t>
            </w:r>
            <w:r w:rsidRPr="003C3719">
              <w:rPr>
                <w:rFonts w:cstheme="minorHAnsi"/>
                <w:sz w:val="20"/>
                <w:szCs w:val="20"/>
              </w:rPr>
              <w:t xml:space="preserve"> PFG 1</w:t>
            </w:r>
            <w:r w:rsidR="003F2E95">
              <w:rPr>
                <w:rFonts w:cstheme="minorHAnsi"/>
                <w:sz w:val="20"/>
                <w:szCs w:val="20"/>
              </w:rPr>
              <w:t>8</w:t>
            </w:r>
            <w:r w:rsidRPr="003C3719">
              <w:rPr>
                <w:rFonts w:cstheme="minorHAnsi"/>
                <w:sz w:val="20"/>
                <w:szCs w:val="20"/>
              </w:rPr>
              <w:t>2</w:t>
            </w:r>
            <w:r w:rsidR="003F2E9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235" w:type="dxa"/>
            <w:vAlign w:val="center"/>
          </w:tcPr>
          <w:p w:rsidR="00B76D5A" w:rsidRPr="003C3719" w:rsidRDefault="003F2E95" w:rsidP="005E3C7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&gt;80% </w:t>
            </w:r>
            <w:r w:rsidR="00B76D5A" w:rsidRPr="003C3719">
              <w:rPr>
                <w:rFonts w:cstheme="minorHAnsi"/>
                <w:sz w:val="20"/>
                <w:szCs w:val="20"/>
              </w:rPr>
              <w:t xml:space="preserve">of PFT were </w:t>
            </w:r>
            <w:r>
              <w:rPr>
                <w:rFonts w:cstheme="minorHAnsi"/>
                <w:sz w:val="20"/>
                <w:szCs w:val="20"/>
              </w:rPr>
              <w:t>early ring</w:t>
            </w:r>
            <w:r w:rsidR="00B76D5A" w:rsidRPr="003C3719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Intravenous quinine was added.</w:t>
            </w:r>
          </w:p>
        </w:tc>
      </w:tr>
      <w:tr w:rsidR="00B76D5A" w:rsidRPr="003C3719" w:rsidTr="005E3C7D">
        <w:trPr>
          <w:jc w:val="center"/>
        </w:trPr>
        <w:tc>
          <w:tcPr>
            <w:tcW w:w="985" w:type="dxa"/>
            <w:vAlign w:val="center"/>
          </w:tcPr>
          <w:p w:rsidR="00B76D5A" w:rsidRPr="003C3719" w:rsidRDefault="00B76D5A" w:rsidP="005E3C7D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420" w:type="dxa"/>
            <w:vAlign w:val="center"/>
          </w:tcPr>
          <w:p w:rsidR="00B76D5A" w:rsidRPr="003C3719" w:rsidRDefault="00B76D5A" w:rsidP="005E3C7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 xml:space="preserve">PFT </w:t>
            </w:r>
            <w:r w:rsidR="003F2E95">
              <w:rPr>
                <w:rFonts w:cstheme="minorHAnsi"/>
                <w:sz w:val="20"/>
                <w:szCs w:val="20"/>
              </w:rPr>
              <w:t>718432</w:t>
            </w:r>
            <w:r w:rsidRPr="003C3719">
              <w:rPr>
                <w:rFonts w:cstheme="minorHAnsi"/>
                <w:sz w:val="20"/>
                <w:szCs w:val="20"/>
              </w:rPr>
              <w:t xml:space="preserve"> PFS </w:t>
            </w:r>
            <w:r w:rsidR="003F2E95">
              <w:rPr>
                <w:rFonts w:cstheme="minorHAnsi"/>
                <w:sz w:val="20"/>
                <w:szCs w:val="20"/>
              </w:rPr>
              <w:t>16</w:t>
            </w:r>
            <w:r w:rsidRPr="003C3719">
              <w:rPr>
                <w:rFonts w:cstheme="minorHAnsi"/>
                <w:sz w:val="20"/>
                <w:szCs w:val="20"/>
              </w:rPr>
              <w:t xml:space="preserve"> PFG </w:t>
            </w:r>
            <w:r w:rsidR="003F2E95">
              <w:rPr>
                <w:rFonts w:cstheme="minorHAnsi"/>
                <w:sz w:val="20"/>
                <w:szCs w:val="20"/>
              </w:rPr>
              <w:t>1920</w:t>
            </w:r>
            <w:r w:rsidRPr="003C371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35" w:type="dxa"/>
            <w:vAlign w:val="center"/>
          </w:tcPr>
          <w:p w:rsidR="00B76D5A" w:rsidRPr="003C3719" w:rsidRDefault="00B76D5A" w:rsidP="005E3C7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3F2E95" w:rsidRPr="003C3719" w:rsidTr="005E3C7D">
        <w:trPr>
          <w:jc w:val="center"/>
        </w:trPr>
        <w:tc>
          <w:tcPr>
            <w:tcW w:w="985" w:type="dxa"/>
            <w:vAlign w:val="center"/>
          </w:tcPr>
          <w:p w:rsidR="003F2E95" w:rsidRPr="003C3719" w:rsidRDefault="003F2E95" w:rsidP="003F2E95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420" w:type="dxa"/>
            <w:vAlign w:val="center"/>
          </w:tcPr>
          <w:p w:rsidR="003F2E95" w:rsidRPr="003C3719" w:rsidRDefault="003F2E95" w:rsidP="003F2E95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35" w:type="dxa"/>
            <w:vAlign w:val="center"/>
          </w:tcPr>
          <w:p w:rsidR="003F2E95" w:rsidRPr="003C3719" w:rsidRDefault="003F2E95" w:rsidP="003F2E95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Patient died.</w:t>
            </w:r>
          </w:p>
        </w:tc>
      </w:tr>
    </w:tbl>
    <w:p w:rsidR="0058390B" w:rsidRDefault="000F7086">
      <w:pPr>
        <w:rPr>
          <w:lang w:val="en-US"/>
        </w:rPr>
      </w:pPr>
      <w:r>
        <w:rPr>
          <w:lang w:val="en-US"/>
        </w:rPr>
        <w:t>Parasitaemia of case 2</w:t>
      </w:r>
    </w:p>
    <w:tbl>
      <w:tblPr>
        <w:tblStyle w:val="TableGrid"/>
        <w:tblW w:w="8640" w:type="dxa"/>
        <w:jc w:val="center"/>
        <w:tblLook w:val="04A0"/>
      </w:tblPr>
      <w:tblGrid>
        <w:gridCol w:w="985"/>
        <w:gridCol w:w="3420"/>
        <w:gridCol w:w="4235"/>
      </w:tblGrid>
      <w:tr w:rsidR="000F7086" w:rsidRPr="003C3719" w:rsidTr="00714097">
        <w:trPr>
          <w:jc w:val="center"/>
        </w:trPr>
        <w:tc>
          <w:tcPr>
            <w:tcW w:w="985" w:type="dxa"/>
            <w:shd w:val="clear" w:color="auto" w:fill="F2F2F2" w:themeFill="background1" w:themeFillShade="F2"/>
            <w:vAlign w:val="center"/>
          </w:tcPr>
          <w:p w:rsidR="000F7086" w:rsidRPr="003C3719" w:rsidRDefault="000F7086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bookmarkStart w:id="4" w:name="_GoBack" w:colFirst="0" w:colLast="2"/>
            <w:r w:rsidRPr="003C3719">
              <w:rPr>
                <w:rFonts w:cstheme="minorHAnsi"/>
                <w:sz w:val="20"/>
                <w:szCs w:val="20"/>
              </w:rPr>
              <w:t>Hour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Parasitaemia per microlitre</w:t>
            </w:r>
          </w:p>
        </w:tc>
        <w:tc>
          <w:tcPr>
            <w:tcW w:w="4235" w:type="dxa"/>
            <w:shd w:val="clear" w:color="auto" w:fill="F2F2F2" w:themeFill="background1" w:themeFillShade="F2"/>
            <w:vAlign w:val="center"/>
          </w:tcPr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Comments</w:t>
            </w:r>
          </w:p>
        </w:tc>
      </w:tr>
      <w:bookmarkEnd w:id="4"/>
      <w:tr w:rsidR="000F7086" w:rsidRPr="003C3719" w:rsidTr="003C3719">
        <w:trPr>
          <w:trHeight w:hRule="exact" w:val="432"/>
          <w:jc w:val="center"/>
        </w:trPr>
        <w:tc>
          <w:tcPr>
            <w:tcW w:w="985" w:type="dxa"/>
            <w:vAlign w:val="center"/>
          </w:tcPr>
          <w:p w:rsidR="000F7086" w:rsidRPr="003C3719" w:rsidRDefault="000F7086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420" w:type="dxa"/>
            <w:vAlign w:val="center"/>
          </w:tcPr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PFT 1431840 PFS 11304 PFG 64</w:t>
            </w:r>
          </w:p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35" w:type="dxa"/>
            <w:vAlign w:val="center"/>
          </w:tcPr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 xml:space="preserve">30-40% </w:t>
            </w:r>
            <w:r w:rsidR="003C3719" w:rsidRPr="003C3719">
              <w:rPr>
                <w:rFonts w:cstheme="minorHAnsi"/>
                <w:sz w:val="20"/>
                <w:szCs w:val="20"/>
              </w:rPr>
              <w:t xml:space="preserve">of PFT </w:t>
            </w:r>
            <w:r w:rsidRPr="003C3719">
              <w:rPr>
                <w:rFonts w:cstheme="minorHAnsi"/>
                <w:sz w:val="20"/>
                <w:szCs w:val="20"/>
              </w:rPr>
              <w:t>were late trophozoites.</w:t>
            </w:r>
          </w:p>
        </w:tc>
      </w:tr>
      <w:tr w:rsidR="000F7086" w:rsidRPr="003C3719" w:rsidTr="003C3719">
        <w:trPr>
          <w:jc w:val="center"/>
        </w:trPr>
        <w:tc>
          <w:tcPr>
            <w:tcW w:w="985" w:type="dxa"/>
            <w:vAlign w:val="center"/>
          </w:tcPr>
          <w:p w:rsidR="000F7086" w:rsidRPr="003C3719" w:rsidRDefault="000F7086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420" w:type="dxa"/>
            <w:vAlign w:val="center"/>
          </w:tcPr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PFT 2253264 PFS 3768 PFG 12</w:t>
            </w:r>
          </w:p>
        </w:tc>
        <w:tc>
          <w:tcPr>
            <w:tcW w:w="4235" w:type="dxa"/>
            <w:vAlign w:val="center"/>
          </w:tcPr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30-40%</w:t>
            </w:r>
            <w:r w:rsidR="003C3719" w:rsidRPr="003C3719">
              <w:rPr>
                <w:rFonts w:cstheme="minorHAnsi"/>
                <w:sz w:val="20"/>
                <w:szCs w:val="20"/>
              </w:rPr>
              <w:t xml:space="preserve"> of PFT</w:t>
            </w:r>
            <w:r w:rsidRPr="003C3719">
              <w:rPr>
                <w:rFonts w:cstheme="minorHAnsi"/>
                <w:sz w:val="20"/>
                <w:szCs w:val="20"/>
              </w:rPr>
              <w:t xml:space="preserve"> were late trophozoites.</w:t>
            </w:r>
          </w:p>
        </w:tc>
      </w:tr>
      <w:tr w:rsidR="000F7086" w:rsidRPr="003C3719" w:rsidTr="003C3719">
        <w:trPr>
          <w:jc w:val="center"/>
        </w:trPr>
        <w:tc>
          <w:tcPr>
            <w:tcW w:w="985" w:type="dxa"/>
            <w:vAlign w:val="center"/>
          </w:tcPr>
          <w:p w:rsidR="000F7086" w:rsidRPr="003C3719" w:rsidRDefault="000F7086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420" w:type="dxa"/>
            <w:vAlign w:val="center"/>
          </w:tcPr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 xml:space="preserve">PFT 1492379 PFS 352 PFG 32 </w:t>
            </w:r>
          </w:p>
        </w:tc>
        <w:tc>
          <w:tcPr>
            <w:tcW w:w="4235" w:type="dxa"/>
            <w:vAlign w:val="center"/>
          </w:tcPr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 xml:space="preserve">30% </w:t>
            </w:r>
            <w:r w:rsidR="003C3719" w:rsidRPr="003C3719">
              <w:rPr>
                <w:rFonts w:cstheme="minorHAnsi"/>
                <w:sz w:val="20"/>
                <w:szCs w:val="20"/>
              </w:rPr>
              <w:t xml:space="preserve">of PFT </w:t>
            </w:r>
            <w:r w:rsidRPr="003C3719">
              <w:rPr>
                <w:rFonts w:cstheme="minorHAnsi"/>
                <w:sz w:val="20"/>
                <w:szCs w:val="20"/>
              </w:rPr>
              <w:t>were late trophozoites.</w:t>
            </w:r>
            <w:r w:rsidR="003F2E95">
              <w:rPr>
                <w:rFonts w:cstheme="minorHAnsi"/>
                <w:sz w:val="20"/>
                <w:szCs w:val="20"/>
              </w:rPr>
              <w:t xml:space="preserve"> Intravenous quinine was added.</w:t>
            </w:r>
          </w:p>
        </w:tc>
      </w:tr>
      <w:tr w:rsidR="000F7086" w:rsidRPr="003C3719" w:rsidTr="000573EC">
        <w:trPr>
          <w:trHeight w:hRule="exact" w:val="1152"/>
          <w:jc w:val="center"/>
        </w:trPr>
        <w:tc>
          <w:tcPr>
            <w:tcW w:w="985" w:type="dxa"/>
            <w:vAlign w:val="center"/>
          </w:tcPr>
          <w:p w:rsidR="000F7086" w:rsidRPr="003C3719" w:rsidRDefault="003C3719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420" w:type="dxa"/>
            <w:vAlign w:val="center"/>
          </w:tcPr>
          <w:p w:rsidR="000F7086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PFT 1462988 PFS 144 PFG 128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 xml:space="preserve">30% of PFT were late trophozoites. Whole blood 350 ml was given because of very high parasitaemia and </w:t>
            </w:r>
            <w:r w:rsidR="00B76D5A">
              <w:rPr>
                <w:rFonts w:cstheme="minorHAnsi"/>
                <w:sz w:val="20"/>
                <w:szCs w:val="20"/>
              </w:rPr>
              <w:t>haematocrit</w:t>
            </w:r>
            <w:r w:rsidRPr="003C3719">
              <w:rPr>
                <w:rFonts w:cstheme="minorHAnsi"/>
                <w:sz w:val="20"/>
                <w:szCs w:val="20"/>
              </w:rPr>
              <w:t xml:space="preserve"> dropped to 26%.</w:t>
            </w:r>
          </w:p>
          <w:p w:rsidR="000F7086" w:rsidRPr="003C3719" w:rsidRDefault="000F7086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0F7086" w:rsidRPr="003C3719" w:rsidTr="003C3719">
        <w:trPr>
          <w:jc w:val="center"/>
        </w:trPr>
        <w:tc>
          <w:tcPr>
            <w:tcW w:w="985" w:type="dxa"/>
            <w:vAlign w:val="center"/>
          </w:tcPr>
          <w:p w:rsidR="000F7086" w:rsidRPr="003C3719" w:rsidRDefault="003C3719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420" w:type="dxa"/>
            <w:vAlign w:val="center"/>
          </w:tcPr>
          <w:p w:rsidR="000F7086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PFT 1632800 PFS 144</w:t>
            </w:r>
          </w:p>
        </w:tc>
        <w:tc>
          <w:tcPr>
            <w:tcW w:w="4235" w:type="dxa"/>
            <w:vAlign w:val="center"/>
          </w:tcPr>
          <w:p w:rsidR="000F7086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Pr="003C3719">
              <w:rPr>
                <w:rFonts w:cstheme="minorHAnsi"/>
                <w:sz w:val="20"/>
                <w:szCs w:val="20"/>
              </w:rPr>
              <w:t>0% of PFT were late trophozoites.</w:t>
            </w: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3C3719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PFT 664424 PFG 16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8B1C9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rFonts w:cstheme="minorHAnsi"/>
                <w:sz w:val="20"/>
                <w:szCs w:val="20"/>
              </w:rPr>
              <w:t>30% of PFT were late trophozoites.</w:t>
            </w:r>
            <w:r w:rsidR="008B1C99">
              <w:rPr>
                <w:rFonts w:cstheme="minorHAnsi"/>
                <w:sz w:val="20"/>
                <w:szCs w:val="20"/>
              </w:rPr>
              <w:t xml:space="preserve"> </w:t>
            </w:r>
            <w:r w:rsidR="008B1C99" w:rsidRPr="003C3719">
              <w:rPr>
                <w:rFonts w:cstheme="minorHAnsi"/>
                <w:sz w:val="20"/>
                <w:szCs w:val="20"/>
              </w:rPr>
              <w:t xml:space="preserve">Whole blood 350 ml was given because of very high parasitaemia and </w:t>
            </w:r>
            <w:r w:rsidR="00B76D5A">
              <w:rPr>
                <w:rFonts w:cstheme="minorHAnsi"/>
                <w:sz w:val="20"/>
                <w:szCs w:val="20"/>
              </w:rPr>
              <w:t>haematocrit</w:t>
            </w:r>
            <w:r w:rsidR="00B76D5A" w:rsidRPr="003C3719">
              <w:rPr>
                <w:rFonts w:cstheme="minorHAnsi"/>
                <w:sz w:val="20"/>
                <w:szCs w:val="20"/>
              </w:rPr>
              <w:t xml:space="preserve"> </w:t>
            </w:r>
            <w:r w:rsidR="008B1C99" w:rsidRPr="003C3719">
              <w:rPr>
                <w:rFonts w:cstheme="minorHAnsi"/>
                <w:sz w:val="20"/>
                <w:szCs w:val="20"/>
              </w:rPr>
              <w:t>dropped to 2</w:t>
            </w:r>
            <w:r w:rsidR="008B1C99">
              <w:rPr>
                <w:rFonts w:cstheme="minorHAnsi"/>
                <w:sz w:val="20"/>
                <w:szCs w:val="20"/>
              </w:rPr>
              <w:t>3</w:t>
            </w:r>
            <w:r w:rsidR="008B1C99" w:rsidRPr="003C3719">
              <w:rPr>
                <w:rFonts w:cstheme="minorHAnsi"/>
                <w:sz w:val="20"/>
                <w:szCs w:val="20"/>
              </w:rPr>
              <w:t>%.</w:t>
            </w: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sz w:val="20"/>
                <w:szCs w:val="20"/>
              </w:rPr>
              <w:t xml:space="preserve">PFT </w:t>
            </w:r>
            <w:r>
              <w:rPr>
                <w:sz w:val="20"/>
                <w:szCs w:val="20"/>
              </w:rPr>
              <w:t>606648 PFG 16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D47888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sz w:val="20"/>
                <w:szCs w:val="20"/>
              </w:rPr>
              <w:t xml:space="preserve">PFT </w:t>
            </w:r>
            <w:r>
              <w:rPr>
                <w:sz w:val="20"/>
                <w:szCs w:val="20"/>
              </w:rPr>
              <w:t>678240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D47888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sz w:val="20"/>
                <w:szCs w:val="20"/>
              </w:rPr>
              <w:t>PFT 1056296</w:t>
            </w:r>
          </w:p>
        </w:tc>
        <w:tc>
          <w:tcPr>
            <w:tcW w:w="4235" w:type="dxa"/>
            <w:vAlign w:val="center"/>
          </w:tcPr>
          <w:p w:rsidR="003C3719" w:rsidRPr="003C3719" w:rsidRDefault="00B76D5A" w:rsidP="00D47888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D47888" w:rsidRPr="003C3719">
              <w:rPr>
                <w:sz w:val="20"/>
                <w:szCs w:val="20"/>
              </w:rPr>
              <w:t xml:space="preserve">he parasitaemia had </w:t>
            </w:r>
            <w:r w:rsidRPr="003C3719">
              <w:rPr>
                <w:sz w:val="20"/>
                <w:szCs w:val="20"/>
              </w:rPr>
              <w:t>risen</w:t>
            </w:r>
            <w:r>
              <w:rPr>
                <w:sz w:val="20"/>
                <w:szCs w:val="20"/>
              </w:rPr>
              <w:t xml:space="preserve"> despite t</w:t>
            </w:r>
            <w:r w:rsidRPr="003C3719">
              <w:rPr>
                <w:sz w:val="20"/>
                <w:szCs w:val="20"/>
              </w:rPr>
              <w:t>he patient recovered from the coma and started eating</w:t>
            </w:r>
            <w:r w:rsidR="00D47888" w:rsidRPr="003C3719">
              <w:rPr>
                <w:sz w:val="20"/>
                <w:szCs w:val="20"/>
              </w:rPr>
              <w:t>. So</w:t>
            </w:r>
            <w:r w:rsidR="00D47888">
              <w:rPr>
                <w:sz w:val="20"/>
                <w:szCs w:val="20"/>
              </w:rPr>
              <w:t>, atovaquone-p</w:t>
            </w:r>
            <w:r w:rsidR="00D47888" w:rsidRPr="003C3719">
              <w:rPr>
                <w:sz w:val="20"/>
                <w:szCs w:val="20"/>
              </w:rPr>
              <w:t>roguanil combination was given orally to the patient.</w:t>
            </w: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PFT 678240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PFT 203974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sz w:val="20"/>
                <w:szCs w:val="20"/>
              </w:rPr>
              <w:t>PFT 101987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120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sz w:val="20"/>
                <w:szCs w:val="20"/>
              </w:rPr>
              <w:t>PFT 18212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144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sz w:val="20"/>
                <w:szCs w:val="20"/>
              </w:rPr>
              <w:t>PFT 1632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3C3719" w:rsidRPr="003C3719" w:rsidTr="003C3719">
        <w:trPr>
          <w:jc w:val="center"/>
        </w:trPr>
        <w:tc>
          <w:tcPr>
            <w:tcW w:w="985" w:type="dxa"/>
            <w:vAlign w:val="center"/>
          </w:tcPr>
          <w:p w:rsidR="003C3719" w:rsidRPr="003C3719" w:rsidRDefault="00D47888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Day 7</w:t>
            </w:r>
          </w:p>
        </w:tc>
        <w:tc>
          <w:tcPr>
            <w:tcW w:w="3420" w:type="dxa"/>
            <w:vAlign w:val="center"/>
          </w:tcPr>
          <w:p w:rsidR="003C3719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  <w:r w:rsidRPr="003C3719">
              <w:rPr>
                <w:sz w:val="20"/>
                <w:szCs w:val="20"/>
              </w:rPr>
              <w:t>PFT 160</w:t>
            </w:r>
          </w:p>
        </w:tc>
        <w:tc>
          <w:tcPr>
            <w:tcW w:w="4235" w:type="dxa"/>
            <w:vAlign w:val="center"/>
          </w:tcPr>
          <w:p w:rsidR="003C3719" w:rsidRPr="003C3719" w:rsidRDefault="003C3719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D47888" w:rsidRPr="003C3719" w:rsidTr="003C3719">
        <w:trPr>
          <w:jc w:val="center"/>
        </w:trPr>
        <w:tc>
          <w:tcPr>
            <w:tcW w:w="985" w:type="dxa"/>
            <w:vAlign w:val="center"/>
          </w:tcPr>
          <w:p w:rsidR="00D47888" w:rsidRDefault="00D84BE5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Day 8</w:t>
            </w:r>
          </w:p>
        </w:tc>
        <w:tc>
          <w:tcPr>
            <w:tcW w:w="3420" w:type="dxa"/>
            <w:vAlign w:val="center"/>
          </w:tcPr>
          <w:p w:rsidR="00D47888" w:rsidRPr="003C3719" w:rsidRDefault="00D84BE5" w:rsidP="003C3719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PFT 80</w:t>
            </w:r>
          </w:p>
        </w:tc>
        <w:tc>
          <w:tcPr>
            <w:tcW w:w="4235" w:type="dxa"/>
            <w:vAlign w:val="center"/>
          </w:tcPr>
          <w:p w:rsidR="00D47888" w:rsidRPr="003C3719" w:rsidRDefault="00D47888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D84BE5" w:rsidRPr="003C3719" w:rsidTr="003C3719">
        <w:trPr>
          <w:jc w:val="center"/>
        </w:trPr>
        <w:tc>
          <w:tcPr>
            <w:tcW w:w="985" w:type="dxa"/>
            <w:vAlign w:val="center"/>
          </w:tcPr>
          <w:p w:rsidR="00D84BE5" w:rsidRDefault="00D84BE5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Day 9</w:t>
            </w:r>
          </w:p>
        </w:tc>
        <w:tc>
          <w:tcPr>
            <w:tcW w:w="3420" w:type="dxa"/>
            <w:vAlign w:val="center"/>
          </w:tcPr>
          <w:p w:rsidR="00D84BE5" w:rsidRDefault="00D84BE5" w:rsidP="003C3719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PFT 32</w:t>
            </w:r>
          </w:p>
        </w:tc>
        <w:tc>
          <w:tcPr>
            <w:tcW w:w="4235" w:type="dxa"/>
            <w:vAlign w:val="center"/>
          </w:tcPr>
          <w:p w:rsidR="00D84BE5" w:rsidRPr="003C3719" w:rsidRDefault="00D84BE5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D84BE5" w:rsidRPr="003C3719" w:rsidTr="003C3719">
        <w:trPr>
          <w:jc w:val="center"/>
        </w:trPr>
        <w:tc>
          <w:tcPr>
            <w:tcW w:w="985" w:type="dxa"/>
            <w:vAlign w:val="center"/>
          </w:tcPr>
          <w:p w:rsidR="00D84BE5" w:rsidRDefault="00D84BE5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Day 10</w:t>
            </w:r>
          </w:p>
        </w:tc>
        <w:tc>
          <w:tcPr>
            <w:tcW w:w="3420" w:type="dxa"/>
            <w:vAlign w:val="center"/>
          </w:tcPr>
          <w:p w:rsidR="00D84BE5" w:rsidRDefault="00D84BE5" w:rsidP="003C3719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PFT 32</w:t>
            </w:r>
          </w:p>
        </w:tc>
        <w:tc>
          <w:tcPr>
            <w:tcW w:w="4235" w:type="dxa"/>
            <w:vAlign w:val="center"/>
          </w:tcPr>
          <w:p w:rsidR="00D84BE5" w:rsidRPr="003C3719" w:rsidRDefault="00D84BE5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D84BE5" w:rsidRPr="003C3719" w:rsidTr="003C3719">
        <w:trPr>
          <w:jc w:val="center"/>
        </w:trPr>
        <w:tc>
          <w:tcPr>
            <w:tcW w:w="985" w:type="dxa"/>
            <w:vAlign w:val="center"/>
          </w:tcPr>
          <w:p w:rsidR="00D84BE5" w:rsidRDefault="00D84BE5" w:rsidP="00D47888">
            <w:pPr>
              <w:spacing w:line="32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Day 11</w:t>
            </w:r>
          </w:p>
        </w:tc>
        <w:tc>
          <w:tcPr>
            <w:tcW w:w="3420" w:type="dxa"/>
            <w:vAlign w:val="center"/>
          </w:tcPr>
          <w:p w:rsidR="00D84BE5" w:rsidRDefault="00D84BE5" w:rsidP="003C3719">
            <w:pPr>
              <w:spacing w:line="3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PFT negative.</w:t>
            </w:r>
          </w:p>
        </w:tc>
        <w:tc>
          <w:tcPr>
            <w:tcW w:w="4235" w:type="dxa"/>
            <w:vAlign w:val="center"/>
          </w:tcPr>
          <w:p w:rsidR="00D84BE5" w:rsidRPr="003C3719" w:rsidRDefault="00D84BE5" w:rsidP="003C3719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:rsidR="001037A1" w:rsidRDefault="001037A1" w:rsidP="00D84BE5">
      <w:pPr>
        <w:rPr>
          <w:lang w:val="en-US"/>
        </w:rPr>
      </w:pPr>
    </w:p>
    <w:p w:rsidR="001037A1" w:rsidRDefault="00C36FAC" w:rsidP="00C36FAC">
      <w:pPr>
        <w:pStyle w:val="Heading2"/>
        <w:rPr>
          <w:lang w:val="en-US"/>
        </w:rPr>
      </w:pPr>
      <w:bookmarkStart w:id="5" w:name="_Toc496604670"/>
      <w:r>
        <w:rPr>
          <w:lang w:val="en-US"/>
        </w:rPr>
        <w:t>References</w:t>
      </w:r>
      <w:r w:rsidR="00337B93">
        <w:rPr>
          <w:lang w:val="en-US"/>
        </w:rPr>
        <w:t xml:space="preserve"> for supplementary</w:t>
      </w:r>
      <w:bookmarkEnd w:id="5"/>
      <w:r w:rsidR="00337B93">
        <w:rPr>
          <w:lang w:val="en-US"/>
        </w:rPr>
        <w:t xml:space="preserve"> </w:t>
      </w:r>
    </w:p>
    <w:p w:rsidR="00337B93" w:rsidRPr="00337B93" w:rsidRDefault="001914AB" w:rsidP="00337B93">
      <w:pPr>
        <w:pStyle w:val="EndNoteBibliography"/>
        <w:spacing w:after="0"/>
        <w:ind w:left="720" w:hanging="720"/>
      </w:pPr>
      <w:r w:rsidRPr="001914AB">
        <w:fldChar w:fldCharType="begin"/>
      </w:r>
      <w:r w:rsidR="001037A1">
        <w:instrText xml:space="preserve"> ADDIN EN.REFLIST </w:instrText>
      </w:r>
      <w:r w:rsidRPr="001914AB">
        <w:fldChar w:fldCharType="separate"/>
      </w:r>
      <w:r w:rsidR="00337B93" w:rsidRPr="00337B93">
        <w:t>1.</w:t>
      </w:r>
      <w:r w:rsidR="00337B93" w:rsidRPr="00337B93">
        <w:tab/>
        <w:t xml:space="preserve">Hanpithakpong, W, B Kamanikom, AM Dondorp, P Singhasivanon, NJ White, et al., </w:t>
      </w:r>
      <w:r w:rsidR="00337B93" w:rsidRPr="00337B93">
        <w:rPr>
          <w:i/>
        </w:rPr>
        <w:t>A liquid chromatographic-tandem mass spectrometric method for determination of artesunate and its metabolite dihydroartemisinin in human plasma.</w:t>
      </w:r>
      <w:r w:rsidR="00337B93" w:rsidRPr="00337B93">
        <w:t xml:space="preserve"> Journal of Chromatography B, 2008. </w:t>
      </w:r>
      <w:r w:rsidR="00337B93" w:rsidRPr="00337B93">
        <w:rPr>
          <w:b/>
        </w:rPr>
        <w:t>876</w:t>
      </w:r>
      <w:r w:rsidR="00337B93" w:rsidRPr="00337B93">
        <w:t>(1): p. 61.</w:t>
      </w:r>
    </w:p>
    <w:p w:rsidR="00337B93" w:rsidRPr="00337B93" w:rsidRDefault="00337B93" w:rsidP="00337B93">
      <w:pPr>
        <w:pStyle w:val="EndNoteBibliography"/>
        <w:ind w:left="720" w:hanging="720"/>
      </w:pPr>
      <w:r w:rsidRPr="00337B93">
        <w:t>2.</w:t>
      </w:r>
      <w:r w:rsidRPr="00337B93">
        <w:tab/>
        <w:t xml:space="preserve">WWARN, WorldWide Antimalarial Resistance Network, </w:t>
      </w:r>
      <w:r w:rsidRPr="00337B93">
        <w:rPr>
          <w:i/>
        </w:rPr>
        <w:t>Ring-stage Survival Assays (RSA) to Evaluate the In-Vitro and Ex-Vivo Susceptibility of Plasmodium Falciparum to Artemisinins</w:t>
      </w:r>
      <w:r w:rsidRPr="00337B93">
        <w:t>. 2015.</w:t>
      </w:r>
    </w:p>
    <w:p w:rsidR="000F7086" w:rsidRPr="000F7086" w:rsidRDefault="001914AB" w:rsidP="00D84BE5">
      <w:pPr>
        <w:rPr>
          <w:lang w:val="en-US"/>
        </w:rPr>
      </w:pPr>
      <w:r>
        <w:rPr>
          <w:lang w:val="en-US"/>
        </w:rPr>
        <w:fldChar w:fldCharType="end"/>
      </w:r>
    </w:p>
    <w:sectPr w:rsidR="000F7086" w:rsidRPr="000F7086" w:rsidSect="00191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2d9vvw2apep3e09fopstetxtaxwta22d0v&quot;&gt;Thesis&lt;record-ids&gt;&lt;item&gt;753&lt;/item&gt;&lt;item&gt;2437&lt;/item&gt;&lt;/record-ids&gt;&lt;/item&gt;&lt;/Libraries&gt;"/>
  </w:docVars>
  <w:rsids>
    <w:rsidRoot w:val="000F7086"/>
    <w:rsid w:val="000573EC"/>
    <w:rsid w:val="000F7086"/>
    <w:rsid w:val="001037A1"/>
    <w:rsid w:val="001515EC"/>
    <w:rsid w:val="001914AB"/>
    <w:rsid w:val="002554FD"/>
    <w:rsid w:val="002846E7"/>
    <w:rsid w:val="002B62A7"/>
    <w:rsid w:val="00332DF5"/>
    <w:rsid w:val="00337B93"/>
    <w:rsid w:val="003B7287"/>
    <w:rsid w:val="003C3719"/>
    <w:rsid w:val="003D08BE"/>
    <w:rsid w:val="003D60E1"/>
    <w:rsid w:val="003F2E95"/>
    <w:rsid w:val="00445440"/>
    <w:rsid w:val="0049407C"/>
    <w:rsid w:val="00520807"/>
    <w:rsid w:val="0058390B"/>
    <w:rsid w:val="005D5AFF"/>
    <w:rsid w:val="00601BA9"/>
    <w:rsid w:val="006318C0"/>
    <w:rsid w:val="00714097"/>
    <w:rsid w:val="00741D3E"/>
    <w:rsid w:val="00774070"/>
    <w:rsid w:val="007C2CC1"/>
    <w:rsid w:val="007F1526"/>
    <w:rsid w:val="008B1C99"/>
    <w:rsid w:val="008F5A40"/>
    <w:rsid w:val="009069BF"/>
    <w:rsid w:val="00924ED8"/>
    <w:rsid w:val="009403AC"/>
    <w:rsid w:val="009D4DF2"/>
    <w:rsid w:val="00A6135B"/>
    <w:rsid w:val="00A92912"/>
    <w:rsid w:val="00B528A1"/>
    <w:rsid w:val="00B54286"/>
    <w:rsid w:val="00B76D5A"/>
    <w:rsid w:val="00B93595"/>
    <w:rsid w:val="00C36FAC"/>
    <w:rsid w:val="00C92529"/>
    <w:rsid w:val="00CB4C55"/>
    <w:rsid w:val="00CD0881"/>
    <w:rsid w:val="00D20734"/>
    <w:rsid w:val="00D20CD9"/>
    <w:rsid w:val="00D47888"/>
    <w:rsid w:val="00D55BAA"/>
    <w:rsid w:val="00D84BE5"/>
    <w:rsid w:val="00EE60F5"/>
    <w:rsid w:val="00F97337"/>
    <w:rsid w:val="00FD525F"/>
    <w:rsid w:val="00FF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4A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7A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4070"/>
    <w:pPr>
      <w:keepNext/>
      <w:keepLines/>
      <w:spacing w:before="120" w:after="120" w:line="300" w:lineRule="exact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037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037A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37A1"/>
    <w:rPr>
      <w:color w:val="0563C1" w:themeColor="hyperlink"/>
      <w:u w:val="single"/>
    </w:rPr>
  </w:style>
  <w:style w:type="character" w:customStyle="1" w:styleId="highlight">
    <w:name w:val="highlight"/>
    <w:basedOn w:val="DefaultParagraphFont"/>
    <w:rsid w:val="001037A1"/>
  </w:style>
  <w:style w:type="character" w:customStyle="1" w:styleId="apple-converted-space">
    <w:name w:val="apple-converted-space"/>
    <w:basedOn w:val="DefaultParagraphFont"/>
    <w:rsid w:val="001037A1"/>
  </w:style>
  <w:style w:type="paragraph" w:styleId="BalloonText">
    <w:name w:val="Balloon Text"/>
    <w:basedOn w:val="Normal"/>
    <w:link w:val="BalloonTextChar"/>
    <w:uiPriority w:val="99"/>
    <w:semiHidden/>
    <w:unhideWhenUsed/>
    <w:rsid w:val="00103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7A1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4070"/>
    <w:rPr>
      <w:rFonts w:eastAsiaTheme="majorEastAsia" w:cstheme="majorBidi"/>
      <w:b/>
      <w:sz w:val="26"/>
      <w:szCs w:val="26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7F152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152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F152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F1526"/>
    <w:rPr>
      <w:rFonts w:ascii="Calibri" w:hAnsi="Calibri" w:cs="Calibri"/>
      <w:noProof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7A1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7A1"/>
    <w:rPr>
      <w:rFonts w:ascii="Calibri" w:eastAsia="Calibri" w:hAnsi="Calibri" w:cs="Times New Roman"/>
      <w:sz w:val="20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7A1"/>
    <w:pPr>
      <w:spacing w:before="240" w:after="120" w:line="276" w:lineRule="auto"/>
    </w:pPr>
    <w:rPr>
      <w:rFonts w:ascii="Calibri" w:eastAsia="MS Mincho" w:hAnsi="Calibri" w:cs="Times New Roman"/>
      <w:b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037A1"/>
    <w:rPr>
      <w:rFonts w:ascii="Calibri" w:eastAsia="MS Mincho" w:hAnsi="Calibri" w:cs="Times New Roman"/>
      <w:b/>
      <w:spacing w:val="15"/>
      <w:sz w:val="24"/>
      <w:lang w:val="en-GB"/>
    </w:rPr>
  </w:style>
  <w:style w:type="character" w:styleId="SubtleEmphasis">
    <w:name w:val="Subtle Emphasis"/>
    <w:basedOn w:val="DefaultParagraphFont"/>
    <w:uiPriority w:val="19"/>
    <w:qFormat/>
    <w:rsid w:val="007F1526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924ED8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24ED8"/>
    <w:pPr>
      <w:spacing w:after="100"/>
      <w:ind w:left="220"/>
    </w:pPr>
  </w:style>
  <w:style w:type="paragraph" w:styleId="Title">
    <w:name w:val="Title"/>
    <w:basedOn w:val="Normal"/>
    <w:next w:val="Normal"/>
    <w:link w:val="TitleChar"/>
    <w:uiPriority w:val="10"/>
    <w:qFormat/>
    <w:rsid w:val="00337B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B9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96316-D299-4584-B06C-05E279CCE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0013357</cp:lastModifiedBy>
  <cp:revision>9</cp:revision>
  <dcterms:created xsi:type="dcterms:W3CDTF">2017-10-23T05:38:00Z</dcterms:created>
  <dcterms:modified xsi:type="dcterms:W3CDTF">2018-01-10T14:56:00Z</dcterms:modified>
</cp:coreProperties>
</file>