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252" w:rsidRDefault="00990252" w:rsidP="00990252">
      <w:bookmarkStart w:id="0" w:name="_GoBack"/>
      <w:bookmarkEnd w:id="0"/>
      <w:r>
        <w:rPr>
          <w:b/>
        </w:rPr>
        <w:t xml:space="preserve">Additional </w:t>
      </w:r>
      <w:r w:rsidR="008639D9">
        <w:rPr>
          <w:b/>
        </w:rPr>
        <w:t>f</w:t>
      </w:r>
      <w:r>
        <w:rPr>
          <w:b/>
        </w:rPr>
        <w:t xml:space="preserve">ile </w:t>
      </w:r>
      <w:r w:rsidR="008639D9">
        <w:rPr>
          <w:b/>
        </w:rPr>
        <w:t>4</w:t>
      </w:r>
      <w:r>
        <w:t xml:space="preserve">. </w:t>
      </w:r>
      <w:r w:rsidRPr="00F6090A">
        <w:t xml:space="preserve">Day 7 lumefantrine levels in patients treated with </w:t>
      </w:r>
      <w:r w:rsidR="005963AB">
        <w:t>artemether-lumefantrine</w:t>
      </w:r>
      <w:r w:rsidRPr="00F6090A">
        <w:t>, by treatment outcome, Zaire, Angola</w:t>
      </w:r>
      <w:r>
        <w:t>.</w:t>
      </w:r>
    </w:p>
    <w:p w:rsidR="00FC70C6" w:rsidRDefault="00F6090A" w:rsidP="007A6E34">
      <w:pPr>
        <w:jc w:val="center"/>
      </w:pPr>
      <w:r w:rsidRPr="00F6090A">
        <w:rPr>
          <w:noProof/>
          <w:lang w:val="en-IN" w:eastAsia="en-IN"/>
        </w:rPr>
        <w:drawing>
          <wp:inline distT="0" distB="0" distL="0" distR="0">
            <wp:extent cx="4564380" cy="4130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613" r="2970" b="4589"/>
                    <a:stretch/>
                  </pic:blipFill>
                  <pic:spPr bwMode="auto">
                    <a:xfrm>
                      <a:off x="0" y="0"/>
                      <a:ext cx="4567830" cy="413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6090A" w:rsidRPr="00F6090A" w:rsidRDefault="00F6090A" w:rsidP="00F6090A">
      <w:r>
        <w:t xml:space="preserve">The </w:t>
      </w:r>
      <w:r w:rsidRPr="00F6090A">
        <w:t xml:space="preserve">concentration for </w:t>
      </w:r>
      <w:r w:rsidR="00DB286A">
        <w:t>two</w:t>
      </w:r>
      <w:r w:rsidRPr="00F6090A">
        <w:t xml:space="preserve"> samples below limit of quantification was treated as </w:t>
      </w:r>
      <w:r w:rsidR="00990252">
        <w:t xml:space="preserve">half the </w:t>
      </w:r>
      <w:r w:rsidRPr="00F6090A">
        <w:t>limit of quantification</w:t>
      </w:r>
      <w:r>
        <w:t xml:space="preserve">. There was no statistically significant difference between the distribution of </w:t>
      </w:r>
      <w:r w:rsidRPr="00F6090A">
        <w:t>Day 7 lumefantrine drug levels</w:t>
      </w:r>
      <w:r>
        <w:t xml:space="preserve"> between cases of ACPR and recrudescence (</w:t>
      </w:r>
      <w:r w:rsidRPr="00F6090A">
        <w:t>Kolmogorov–Smirnov</w:t>
      </w:r>
      <w:r>
        <w:t xml:space="preserve"> test p-value 0.94), between cases of ACPR and reinfection (p-value 0.34), or between cases of ACPR and recrudescence/reinfection (0.80). </w:t>
      </w:r>
      <w:r w:rsidRPr="00F6090A">
        <w:t>ACPR: Adequate clinical and parasitological response; Recr: Recrudescence</w:t>
      </w:r>
      <w:r w:rsidR="00F510C8">
        <w:t>;</w:t>
      </w:r>
      <w:r w:rsidR="00933840" w:rsidRPr="00933840">
        <w:t xml:space="preserve"> </w:t>
      </w:r>
      <w:r w:rsidR="00933840">
        <w:t>Reinf: Reinfection.</w:t>
      </w:r>
    </w:p>
    <w:sectPr w:rsidR="00F6090A" w:rsidRPr="00F6090A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6090A"/>
    <w:rsid w:val="003A126D"/>
    <w:rsid w:val="00502D74"/>
    <w:rsid w:val="005963AB"/>
    <w:rsid w:val="007A6E34"/>
    <w:rsid w:val="008639D9"/>
    <w:rsid w:val="00933840"/>
    <w:rsid w:val="00990252"/>
    <w:rsid w:val="00A37210"/>
    <w:rsid w:val="00D26908"/>
    <w:rsid w:val="00DB286A"/>
    <w:rsid w:val="00F45814"/>
    <w:rsid w:val="00F510C8"/>
    <w:rsid w:val="00F6090A"/>
    <w:rsid w:val="00FC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9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Plucinski, Mateusz M. (CDC/CGH/DPDM)</dc:creator>
  <cp:keywords/>
  <dc:description/>
  <cp:lastModifiedBy>0013434</cp:lastModifiedBy>
  <cp:revision>3</cp:revision>
  <dcterms:created xsi:type="dcterms:W3CDTF">2018-01-24T18:43:00Z</dcterms:created>
  <dcterms:modified xsi:type="dcterms:W3CDTF">2018-03-26T12:26:00Z</dcterms:modified>
</cp:coreProperties>
</file>