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01D3" w:rsidRPr="00912383" w:rsidRDefault="009D01D3" w:rsidP="009D01D3">
      <w:pPr>
        <w:pStyle w:val="Heading1"/>
      </w:pPr>
      <w:r>
        <w:rPr>
          <w:lang w:val="en"/>
        </w:rPr>
        <w:t xml:space="preserve">Additional Information - </w:t>
      </w:r>
      <w:r w:rsidRPr="00912383">
        <w:t>Agent-Based Models of Malaria Transmission: A Systematic Review</w:t>
      </w:r>
    </w:p>
    <w:p w:rsidR="009D01D3" w:rsidRPr="00912383" w:rsidRDefault="009D01D3" w:rsidP="009D01D3">
      <w:pPr>
        <w:pStyle w:val="Subtitle"/>
        <w:rPr>
          <w:rFonts w:eastAsia="Times New Roman"/>
        </w:rPr>
      </w:pPr>
      <w:r w:rsidRPr="00912383">
        <w:rPr>
          <w:rFonts w:eastAsia="Times New Roman"/>
        </w:rPr>
        <w:t>Smith, Neal R.</w:t>
      </w:r>
      <w:r>
        <w:rPr>
          <w:rFonts w:eastAsia="Times New Roman"/>
        </w:rPr>
        <w:t>;</w:t>
      </w:r>
      <w:r w:rsidRPr="00912383">
        <w:rPr>
          <w:rFonts w:eastAsia="Times New Roman"/>
        </w:rPr>
        <w:t xml:space="preserve"> Trauer, James M.;</w:t>
      </w:r>
      <w:r>
        <w:rPr>
          <w:rFonts w:eastAsia="Times New Roman"/>
        </w:rPr>
        <w:t xml:space="preserve"> </w:t>
      </w:r>
      <w:r w:rsidRPr="00912383">
        <w:rPr>
          <w:rFonts w:eastAsia="Times New Roman"/>
        </w:rPr>
        <w:t xml:space="preserve">Gambhir, Manoj; Richards, </w:t>
      </w:r>
      <w:r>
        <w:rPr>
          <w:rFonts w:eastAsia="Times New Roman"/>
        </w:rPr>
        <w:t xml:space="preserve">Jack </w:t>
      </w:r>
      <w:r w:rsidRPr="00912383">
        <w:rPr>
          <w:rFonts w:eastAsia="Times New Roman"/>
        </w:rPr>
        <w:t>S.; Maude, Richard J.; Keith, Jonathan M.; Flegg, Jennifer A</w:t>
      </w:r>
      <w:r>
        <w:rPr>
          <w:rFonts w:eastAsia="Times New Roman"/>
        </w:rPr>
        <w:t>.</w:t>
      </w:r>
    </w:p>
    <w:p w:rsidR="009D01D3" w:rsidRDefault="009D01D3" w:rsidP="009D01D3">
      <w:pPr>
        <w:pStyle w:val="Heading2"/>
      </w:pPr>
      <w:r>
        <w:rPr>
          <w:lang w:val="en"/>
        </w:rPr>
        <w:t xml:space="preserve">Additional File 2: </w:t>
      </w:r>
      <w:r w:rsidRPr="00435869">
        <w:t>Key characteristics of indi</w:t>
      </w:r>
      <w:r>
        <w:t>vidual-based models of malaria.</w:t>
      </w:r>
    </w:p>
    <w:p w:rsidR="009D01D3" w:rsidRPr="008A32E4" w:rsidRDefault="009D01D3" w:rsidP="009D01D3">
      <w:pPr>
        <w:pStyle w:val="Heading3"/>
        <w:jc w:val="both"/>
        <w:rPr>
          <w:lang w:val="en"/>
        </w:rPr>
      </w:pPr>
      <w:r w:rsidRPr="00435869">
        <w:t xml:space="preserve">Columns defined as follows. </w:t>
      </w:r>
      <w:r w:rsidRPr="00435869">
        <w:rPr>
          <w:i/>
          <w:iCs/>
        </w:rPr>
        <w:t>Agents</w:t>
      </w:r>
      <w:r w:rsidRPr="00435869">
        <w:t xml:space="preserve">: denotes </w:t>
      </w:r>
      <w:r w:rsidRPr="00435869">
        <w:rPr>
          <w:rFonts w:cs="Times New Roman"/>
        </w:rPr>
        <w:t xml:space="preserve">Individuals within a population that have individual characteristics and are traceable throughout a simulation; H – human agents, M – mosquito agents. </w:t>
      </w:r>
      <w:r w:rsidRPr="00435869">
        <w:rPr>
          <w:rFonts w:cs="Times New Roman"/>
          <w:i/>
          <w:iCs/>
        </w:rPr>
        <w:t>Plasmodium</w:t>
      </w:r>
      <w:r w:rsidRPr="00435869">
        <w:rPr>
          <w:rFonts w:cs="Times New Roman"/>
        </w:rPr>
        <w:t xml:space="preserve">: Y – specific </w:t>
      </w:r>
      <w:r w:rsidRPr="00435869">
        <w:rPr>
          <w:rFonts w:cs="Times New Roman"/>
          <w:i/>
          <w:iCs/>
        </w:rPr>
        <w:t>Plasmodium</w:t>
      </w:r>
      <w:r w:rsidRPr="00435869">
        <w:rPr>
          <w:rFonts w:cs="Times New Roman"/>
        </w:rPr>
        <w:t xml:space="preserve"> species simulated. </w:t>
      </w:r>
      <w:r w:rsidRPr="00435869">
        <w:rPr>
          <w:rFonts w:cs="Times New Roman"/>
          <w:i/>
          <w:iCs/>
        </w:rPr>
        <w:t>Intervention</w:t>
      </w:r>
      <w:r w:rsidRPr="00435869">
        <w:rPr>
          <w:rFonts w:cs="Times New Roman"/>
        </w:rPr>
        <w:t xml:space="preserve">: Y – interventions modelled and compared to control simulation. </w:t>
      </w:r>
      <w:r w:rsidRPr="00435869">
        <w:rPr>
          <w:i/>
          <w:iCs/>
        </w:rPr>
        <w:t>Environment</w:t>
      </w:r>
      <w:r w:rsidRPr="00435869">
        <w:t xml:space="preserve">: Y – environmental considerations included in model. </w:t>
      </w:r>
      <w:r w:rsidRPr="00435869">
        <w:rPr>
          <w:i/>
          <w:iCs/>
        </w:rPr>
        <w:t>Parameters</w:t>
      </w:r>
      <w:r w:rsidRPr="00435869">
        <w:t xml:space="preserve">: P – data from previous studies used to estimate at least one parameter, C – at least one parameter from model estimated using calibration techniques, V – model validated using alternative dataset, S – </w:t>
      </w:r>
      <w:r w:rsidRPr="00912383">
        <w:t>sensitivity analysis performed</w:t>
      </w:r>
      <w:r>
        <w:t>, by altering the value of at least one parameter to determine impact on an outcome of interest</w:t>
      </w:r>
      <w:r w:rsidRPr="00435869">
        <w:t xml:space="preserve">. </w:t>
      </w:r>
      <w:r w:rsidRPr="00435869">
        <w:rPr>
          <w:i/>
          <w:iCs/>
        </w:rPr>
        <w:t>Key inputs</w:t>
      </w:r>
      <w:r w:rsidRPr="00435869">
        <w:t xml:space="preserve"> and </w:t>
      </w:r>
      <w:r w:rsidRPr="00435869">
        <w:rPr>
          <w:i/>
          <w:iCs/>
        </w:rPr>
        <w:t>Key outputs</w:t>
      </w:r>
      <w:r w:rsidRPr="00435869">
        <w:t xml:space="preserve">: the most relevant inputs and outputs of the model for the simulation being described. </w:t>
      </w:r>
      <w:r w:rsidRPr="00435869">
        <w:rPr>
          <w:i/>
          <w:iCs/>
        </w:rPr>
        <w:t>Spatial</w:t>
      </w:r>
      <w:r w:rsidRPr="00435869">
        <w:t xml:space="preserve">: Y – model includes spatial representation of physical environment. </w:t>
      </w:r>
      <w:r w:rsidRPr="00435869">
        <w:rPr>
          <w:i/>
          <w:iCs/>
        </w:rPr>
        <w:t>Age-stratification</w:t>
      </w:r>
      <w:r w:rsidRPr="00435869">
        <w:t xml:space="preserve">: Y – humans are stratified by age for results or model parameters. </w:t>
      </w:r>
      <w:r w:rsidRPr="00435869">
        <w:rPr>
          <w:i/>
          <w:iCs/>
        </w:rPr>
        <w:t>Cost analysis</w:t>
      </w:r>
      <w:r w:rsidRPr="00435869">
        <w:t xml:space="preserve">: Y – interventions are costed within model. </w:t>
      </w:r>
      <w:r w:rsidRPr="00435869">
        <w:rPr>
          <w:i/>
          <w:iCs/>
        </w:rPr>
        <w:t>Other notable model features</w:t>
      </w:r>
      <w:r w:rsidRPr="00435869">
        <w:t xml:space="preserve">: as described. </w:t>
      </w:r>
      <w:r w:rsidRPr="00435869">
        <w:rPr>
          <w:i/>
          <w:iCs/>
        </w:rPr>
        <w:t>Intervention Optimisation</w:t>
      </w:r>
      <w:r w:rsidRPr="00435869">
        <w:t xml:space="preserve">: Y – Paper includes statement of intent to maximise the effectiveness of interventions within the simulation. Other notation within table: </w:t>
      </w:r>
      <w:r>
        <w:rPr>
          <w:rFonts w:ascii="Calibri" w:hAnsi="Calibri" w:cs="Calibri"/>
        </w:rPr>
        <w:t>†</w:t>
      </w:r>
      <w:r w:rsidRPr="00435869">
        <w:t>Where ABMs were developed from other model types, the original model is listed above it, without further details in table. *Paper provides overview of model structure in which these elements are not clear. **Spatial construction outlined but not mathematically present.</w:t>
      </w:r>
      <w:r>
        <w:t xml:space="preserve"> </w:t>
      </w:r>
      <w:r>
        <w:rPr>
          <w:rFonts w:cstheme="majorHAnsi"/>
        </w:rPr>
        <w:t>‡</w:t>
      </w:r>
      <w:r>
        <w:t>Model outlines capacity for intervention modelling, but simulation not performed.</w:t>
      </w:r>
    </w:p>
    <w:tbl>
      <w:tblPr>
        <w:tblpPr w:leftFromText="181" w:rightFromText="181" w:vertAnchor="text" w:horzAnchor="margin" w:tblpY="1"/>
        <w:tblW w:w="5000" w:type="pct"/>
        <w:tblLayout w:type="fixed"/>
        <w:tblCellMar>
          <w:top w:w="28" w:type="dxa"/>
          <w:left w:w="28" w:type="dxa"/>
          <w:bottom w:w="28" w:type="dxa"/>
          <w:right w:w="28" w:type="dxa"/>
        </w:tblCellMar>
        <w:tblLook w:val="04A0" w:firstRow="1" w:lastRow="0" w:firstColumn="1" w:lastColumn="0" w:noHBand="0" w:noVBand="1"/>
      </w:tblPr>
      <w:tblGrid>
        <w:gridCol w:w="851"/>
        <w:gridCol w:w="1180"/>
        <w:gridCol w:w="2209"/>
        <w:gridCol w:w="498"/>
        <w:gridCol w:w="498"/>
        <w:gridCol w:w="498"/>
        <w:gridCol w:w="498"/>
        <w:gridCol w:w="478"/>
        <w:gridCol w:w="2533"/>
        <w:gridCol w:w="2130"/>
        <w:gridCol w:w="498"/>
        <w:gridCol w:w="498"/>
        <w:gridCol w:w="498"/>
        <w:gridCol w:w="498"/>
        <w:gridCol w:w="2035"/>
        <w:gridCol w:w="492"/>
        <w:gridCol w:w="492"/>
      </w:tblGrid>
      <w:tr w:rsidR="009D01D3" w:rsidRPr="00E358A3" w:rsidTr="0020168A">
        <w:trPr>
          <w:trHeight w:val="908"/>
        </w:trPr>
        <w:tc>
          <w:tcPr>
            <w:tcW w:w="620" w:type="pct"/>
            <w:gridSpan w:val="2"/>
            <w:tcBorders>
              <w:top w:val="nil"/>
              <w:left w:val="nil"/>
              <w:right w:val="single" w:sz="12" w:space="0" w:color="auto"/>
            </w:tcBorders>
            <w:shd w:val="clear" w:color="auto" w:fill="auto"/>
            <w:vAlign w:val="bottom"/>
            <w:hideMark/>
          </w:tcPr>
          <w:p w:rsidR="009D01D3" w:rsidRPr="00E358A3" w:rsidRDefault="009D01D3" w:rsidP="0020168A">
            <w:pPr>
              <w:jc w:val="center"/>
              <w:rPr>
                <w:rFonts w:ascii="Calibri" w:hAnsi="Calibri" w:cs="Calibri"/>
                <w:b/>
                <w:bCs/>
                <w:color w:val="000000"/>
              </w:rPr>
            </w:pPr>
            <w:r w:rsidRPr="00E358A3">
              <w:rPr>
                <w:rFonts w:ascii="Calibri" w:hAnsi="Calibri" w:cs="Calibri"/>
                <w:b/>
                <w:bCs/>
                <w:color w:val="000000"/>
              </w:rPr>
              <w:t>Model</w:t>
            </w:r>
          </w:p>
        </w:tc>
        <w:tc>
          <w:tcPr>
            <w:tcW w:w="674" w:type="pct"/>
            <w:vMerge w:val="restart"/>
            <w:tcBorders>
              <w:top w:val="nil"/>
              <w:left w:val="single" w:sz="12" w:space="0" w:color="auto"/>
              <w:right w:val="nil"/>
            </w:tcBorders>
            <w:shd w:val="clear" w:color="auto" w:fill="auto"/>
            <w:vAlign w:val="bottom"/>
            <w:hideMark/>
          </w:tcPr>
          <w:p w:rsidR="009D01D3" w:rsidRPr="00E358A3" w:rsidRDefault="009D01D3" w:rsidP="0020168A">
            <w:pPr>
              <w:jc w:val="center"/>
              <w:rPr>
                <w:rFonts w:ascii="Calibri" w:hAnsi="Calibri" w:cs="Calibri"/>
                <w:b/>
                <w:bCs/>
                <w:color w:val="000000"/>
              </w:rPr>
            </w:pPr>
            <w:r w:rsidRPr="00E358A3">
              <w:rPr>
                <w:rFonts w:ascii="Calibri" w:hAnsi="Calibri" w:cs="Calibri"/>
                <w:b/>
                <w:bCs/>
                <w:color w:val="000000"/>
              </w:rPr>
              <w:t>Purpose</w:t>
            </w:r>
          </w:p>
        </w:tc>
        <w:tc>
          <w:tcPr>
            <w:tcW w:w="152" w:type="pct"/>
            <w:vMerge w:val="restart"/>
            <w:tcBorders>
              <w:top w:val="nil"/>
              <w:left w:val="nil"/>
              <w:right w:val="nil"/>
            </w:tcBorders>
            <w:shd w:val="clear" w:color="auto" w:fill="auto"/>
            <w:textDirection w:val="btLr"/>
            <w:vAlign w:val="center"/>
            <w:hideMark/>
          </w:tcPr>
          <w:p w:rsidR="009D01D3" w:rsidRPr="00E358A3" w:rsidRDefault="009D01D3" w:rsidP="0020168A">
            <w:pPr>
              <w:rPr>
                <w:rFonts w:ascii="Calibri" w:hAnsi="Calibri" w:cs="Calibri"/>
                <w:b/>
                <w:bCs/>
                <w:color w:val="000000"/>
              </w:rPr>
            </w:pPr>
            <w:r w:rsidRPr="00E358A3">
              <w:rPr>
                <w:rFonts w:ascii="Calibri" w:hAnsi="Calibri" w:cs="Calibri"/>
                <w:b/>
                <w:bCs/>
                <w:color w:val="000000"/>
              </w:rPr>
              <w:t>Agents</w:t>
            </w:r>
          </w:p>
        </w:tc>
        <w:tc>
          <w:tcPr>
            <w:tcW w:w="152" w:type="pct"/>
            <w:vMerge w:val="restart"/>
            <w:tcBorders>
              <w:top w:val="nil"/>
              <w:left w:val="nil"/>
              <w:right w:val="nil"/>
            </w:tcBorders>
            <w:shd w:val="clear" w:color="auto" w:fill="auto"/>
            <w:textDirection w:val="btLr"/>
            <w:vAlign w:val="center"/>
            <w:hideMark/>
          </w:tcPr>
          <w:p w:rsidR="009D01D3" w:rsidRPr="00E358A3" w:rsidRDefault="009D01D3" w:rsidP="0020168A">
            <w:pPr>
              <w:rPr>
                <w:rFonts w:ascii="Calibri" w:hAnsi="Calibri" w:cs="Calibri"/>
                <w:b/>
                <w:bCs/>
                <w:color w:val="000000"/>
              </w:rPr>
            </w:pPr>
            <w:r w:rsidRPr="00E358A3">
              <w:rPr>
                <w:rFonts w:ascii="Calibri" w:hAnsi="Calibri" w:cs="Calibri"/>
                <w:b/>
                <w:bCs/>
                <w:color w:val="000000"/>
              </w:rPr>
              <w:t>Plasmodium</w:t>
            </w:r>
          </w:p>
        </w:tc>
        <w:tc>
          <w:tcPr>
            <w:tcW w:w="152" w:type="pct"/>
            <w:vMerge w:val="restart"/>
            <w:tcBorders>
              <w:top w:val="nil"/>
              <w:left w:val="nil"/>
              <w:right w:val="nil"/>
            </w:tcBorders>
            <w:shd w:val="clear" w:color="auto" w:fill="auto"/>
            <w:textDirection w:val="btLr"/>
            <w:vAlign w:val="center"/>
            <w:hideMark/>
          </w:tcPr>
          <w:p w:rsidR="009D01D3" w:rsidRPr="00E358A3" w:rsidRDefault="009D01D3" w:rsidP="0020168A">
            <w:pPr>
              <w:rPr>
                <w:rFonts w:ascii="Calibri" w:hAnsi="Calibri" w:cs="Calibri"/>
                <w:b/>
                <w:bCs/>
                <w:color w:val="000000"/>
              </w:rPr>
            </w:pPr>
            <w:r w:rsidRPr="00E358A3">
              <w:rPr>
                <w:rFonts w:ascii="Calibri" w:hAnsi="Calibri" w:cs="Calibri"/>
                <w:b/>
                <w:bCs/>
                <w:color w:val="000000"/>
              </w:rPr>
              <w:t>Interventions</w:t>
            </w:r>
          </w:p>
        </w:tc>
        <w:tc>
          <w:tcPr>
            <w:tcW w:w="152" w:type="pct"/>
            <w:vMerge w:val="restart"/>
            <w:tcBorders>
              <w:top w:val="nil"/>
              <w:left w:val="nil"/>
              <w:right w:val="nil"/>
            </w:tcBorders>
            <w:shd w:val="clear" w:color="auto" w:fill="auto"/>
            <w:textDirection w:val="btLr"/>
            <w:vAlign w:val="center"/>
            <w:hideMark/>
          </w:tcPr>
          <w:p w:rsidR="009D01D3" w:rsidRPr="00E358A3" w:rsidRDefault="009D01D3" w:rsidP="0020168A">
            <w:pPr>
              <w:rPr>
                <w:rFonts w:ascii="Calibri" w:hAnsi="Calibri" w:cs="Calibri"/>
                <w:b/>
                <w:bCs/>
                <w:color w:val="000000"/>
              </w:rPr>
            </w:pPr>
            <w:r w:rsidRPr="00E358A3">
              <w:rPr>
                <w:rFonts w:ascii="Calibri" w:hAnsi="Calibri" w:cs="Calibri"/>
                <w:b/>
                <w:bCs/>
                <w:color w:val="000000"/>
              </w:rPr>
              <w:t>Environment</w:t>
            </w:r>
          </w:p>
        </w:tc>
        <w:tc>
          <w:tcPr>
            <w:tcW w:w="146" w:type="pct"/>
            <w:vMerge w:val="restart"/>
            <w:tcBorders>
              <w:top w:val="nil"/>
              <w:left w:val="nil"/>
              <w:right w:val="nil"/>
            </w:tcBorders>
            <w:shd w:val="clear" w:color="auto" w:fill="auto"/>
            <w:textDirection w:val="btLr"/>
            <w:vAlign w:val="center"/>
            <w:hideMark/>
          </w:tcPr>
          <w:p w:rsidR="009D01D3" w:rsidRPr="00E358A3" w:rsidRDefault="009D01D3" w:rsidP="0020168A">
            <w:pPr>
              <w:rPr>
                <w:rFonts w:ascii="Calibri" w:hAnsi="Calibri" w:cs="Calibri"/>
                <w:b/>
                <w:bCs/>
                <w:color w:val="000000"/>
              </w:rPr>
            </w:pPr>
            <w:r w:rsidRPr="00E358A3">
              <w:rPr>
                <w:rFonts w:ascii="Calibri" w:hAnsi="Calibri" w:cs="Calibri"/>
                <w:b/>
                <w:bCs/>
                <w:color w:val="000000"/>
              </w:rPr>
              <w:t>Parameters</w:t>
            </w:r>
          </w:p>
        </w:tc>
        <w:tc>
          <w:tcPr>
            <w:tcW w:w="773" w:type="pct"/>
            <w:vMerge w:val="restart"/>
            <w:tcBorders>
              <w:top w:val="nil"/>
              <w:left w:val="nil"/>
              <w:right w:val="nil"/>
            </w:tcBorders>
            <w:shd w:val="clear" w:color="auto" w:fill="auto"/>
            <w:textDirection w:val="btLr"/>
            <w:vAlign w:val="center"/>
            <w:hideMark/>
          </w:tcPr>
          <w:p w:rsidR="009D01D3" w:rsidRPr="00E358A3" w:rsidRDefault="009D01D3" w:rsidP="0020168A">
            <w:pPr>
              <w:rPr>
                <w:rFonts w:ascii="Calibri" w:hAnsi="Calibri" w:cs="Calibri"/>
                <w:b/>
                <w:bCs/>
                <w:color w:val="000000"/>
              </w:rPr>
            </w:pPr>
            <w:r w:rsidRPr="00E358A3">
              <w:rPr>
                <w:rFonts w:ascii="Calibri" w:hAnsi="Calibri" w:cs="Calibri"/>
                <w:b/>
                <w:bCs/>
                <w:color w:val="000000"/>
              </w:rPr>
              <w:t>Key Inputs</w:t>
            </w:r>
          </w:p>
        </w:tc>
        <w:tc>
          <w:tcPr>
            <w:tcW w:w="650" w:type="pct"/>
            <w:vMerge w:val="restart"/>
            <w:tcBorders>
              <w:top w:val="nil"/>
              <w:left w:val="nil"/>
              <w:right w:val="nil"/>
            </w:tcBorders>
            <w:shd w:val="clear" w:color="auto" w:fill="auto"/>
            <w:textDirection w:val="btLr"/>
            <w:vAlign w:val="center"/>
            <w:hideMark/>
          </w:tcPr>
          <w:p w:rsidR="009D01D3" w:rsidRPr="00E358A3" w:rsidRDefault="009D01D3" w:rsidP="0020168A">
            <w:pPr>
              <w:rPr>
                <w:rFonts w:ascii="Calibri" w:hAnsi="Calibri" w:cs="Calibri"/>
                <w:b/>
                <w:bCs/>
                <w:color w:val="000000"/>
              </w:rPr>
            </w:pPr>
            <w:r w:rsidRPr="00E358A3">
              <w:rPr>
                <w:rFonts w:ascii="Calibri" w:hAnsi="Calibri" w:cs="Calibri"/>
                <w:b/>
                <w:bCs/>
                <w:color w:val="000000"/>
              </w:rPr>
              <w:t>Key Outputs</w:t>
            </w:r>
          </w:p>
        </w:tc>
        <w:tc>
          <w:tcPr>
            <w:tcW w:w="152" w:type="pct"/>
            <w:vMerge w:val="restart"/>
            <w:tcBorders>
              <w:top w:val="nil"/>
              <w:left w:val="nil"/>
              <w:right w:val="nil"/>
            </w:tcBorders>
            <w:shd w:val="clear" w:color="auto" w:fill="auto"/>
            <w:textDirection w:val="btLr"/>
            <w:vAlign w:val="center"/>
            <w:hideMark/>
          </w:tcPr>
          <w:p w:rsidR="009D01D3" w:rsidRPr="00E358A3" w:rsidRDefault="009D01D3" w:rsidP="0020168A">
            <w:pPr>
              <w:rPr>
                <w:rFonts w:ascii="Calibri" w:hAnsi="Calibri" w:cs="Calibri"/>
                <w:b/>
                <w:bCs/>
                <w:color w:val="000000"/>
              </w:rPr>
            </w:pPr>
            <w:r w:rsidRPr="00E358A3">
              <w:rPr>
                <w:rFonts w:ascii="Calibri" w:hAnsi="Calibri" w:cs="Calibri"/>
                <w:b/>
                <w:bCs/>
                <w:color w:val="000000"/>
              </w:rPr>
              <w:t>Spatial</w:t>
            </w:r>
          </w:p>
        </w:tc>
        <w:tc>
          <w:tcPr>
            <w:tcW w:w="152" w:type="pct"/>
            <w:vMerge w:val="restart"/>
            <w:tcBorders>
              <w:top w:val="nil"/>
              <w:left w:val="nil"/>
              <w:right w:val="nil"/>
            </w:tcBorders>
            <w:shd w:val="clear" w:color="auto" w:fill="auto"/>
            <w:textDirection w:val="btLr"/>
            <w:vAlign w:val="center"/>
            <w:hideMark/>
          </w:tcPr>
          <w:p w:rsidR="009D01D3" w:rsidRPr="00E358A3" w:rsidRDefault="009D01D3" w:rsidP="0020168A">
            <w:pPr>
              <w:rPr>
                <w:rFonts w:ascii="Calibri" w:hAnsi="Calibri" w:cs="Calibri"/>
                <w:b/>
                <w:bCs/>
                <w:color w:val="000000"/>
              </w:rPr>
            </w:pPr>
            <w:r w:rsidRPr="00E358A3">
              <w:rPr>
                <w:rFonts w:ascii="Calibri" w:hAnsi="Calibri" w:cs="Calibri"/>
                <w:b/>
                <w:bCs/>
                <w:color w:val="000000"/>
              </w:rPr>
              <w:t>Bayesian</w:t>
            </w:r>
          </w:p>
        </w:tc>
        <w:tc>
          <w:tcPr>
            <w:tcW w:w="152" w:type="pct"/>
            <w:vMerge w:val="restart"/>
            <w:tcBorders>
              <w:top w:val="nil"/>
              <w:left w:val="nil"/>
              <w:right w:val="nil"/>
            </w:tcBorders>
            <w:shd w:val="clear" w:color="auto" w:fill="auto"/>
            <w:textDirection w:val="btLr"/>
            <w:vAlign w:val="center"/>
            <w:hideMark/>
          </w:tcPr>
          <w:p w:rsidR="009D01D3" w:rsidRPr="00E358A3" w:rsidRDefault="009D01D3" w:rsidP="0020168A">
            <w:pPr>
              <w:rPr>
                <w:rFonts w:ascii="Calibri" w:hAnsi="Calibri" w:cs="Calibri"/>
                <w:b/>
                <w:bCs/>
                <w:color w:val="000000"/>
              </w:rPr>
            </w:pPr>
            <w:r w:rsidRPr="00E358A3">
              <w:rPr>
                <w:rFonts w:ascii="Calibri" w:hAnsi="Calibri" w:cs="Calibri"/>
                <w:b/>
                <w:bCs/>
                <w:color w:val="000000"/>
              </w:rPr>
              <w:t>Age stratification</w:t>
            </w:r>
          </w:p>
        </w:tc>
        <w:tc>
          <w:tcPr>
            <w:tcW w:w="152" w:type="pct"/>
            <w:vMerge w:val="restart"/>
            <w:tcBorders>
              <w:top w:val="nil"/>
              <w:left w:val="nil"/>
              <w:right w:val="nil"/>
            </w:tcBorders>
            <w:shd w:val="clear" w:color="auto" w:fill="auto"/>
            <w:textDirection w:val="btLr"/>
            <w:vAlign w:val="center"/>
            <w:hideMark/>
          </w:tcPr>
          <w:p w:rsidR="009D01D3" w:rsidRPr="00E358A3" w:rsidRDefault="009D01D3" w:rsidP="0020168A">
            <w:pPr>
              <w:rPr>
                <w:rFonts w:ascii="Calibri" w:hAnsi="Calibri" w:cs="Calibri"/>
                <w:b/>
                <w:bCs/>
                <w:color w:val="000000"/>
              </w:rPr>
            </w:pPr>
            <w:r w:rsidRPr="00E358A3">
              <w:rPr>
                <w:rFonts w:ascii="Calibri" w:hAnsi="Calibri" w:cs="Calibri"/>
                <w:b/>
                <w:bCs/>
                <w:color w:val="000000"/>
              </w:rPr>
              <w:t>Cost Analysis</w:t>
            </w:r>
          </w:p>
        </w:tc>
        <w:tc>
          <w:tcPr>
            <w:tcW w:w="621" w:type="pct"/>
            <w:vMerge w:val="restart"/>
            <w:tcBorders>
              <w:top w:val="nil"/>
              <w:left w:val="nil"/>
              <w:right w:val="nil"/>
            </w:tcBorders>
            <w:shd w:val="clear" w:color="auto" w:fill="auto"/>
            <w:textDirection w:val="btLr"/>
            <w:vAlign w:val="center"/>
            <w:hideMark/>
          </w:tcPr>
          <w:p w:rsidR="009D01D3" w:rsidRPr="00E358A3" w:rsidRDefault="009D01D3" w:rsidP="0020168A">
            <w:pPr>
              <w:ind w:left="113" w:right="113"/>
              <w:rPr>
                <w:rFonts w:ascii="Calibri" w:hAnsi="Calibri" w:cs="Calibri"/>
                <w:b/>
                <w:bCs/>
                <w:color w:val="000000"/>
              </w:rPr>
            </w:pPr>
            <w:r w:rsidRPr="00E358A3">
              <w:rPr>
                <w:rFonts w:ascii="Calibri" w:hAnsi="Calibri" w:cs="Calibri"/>
                <w:b/>
                <w:bCs/>
                <w:color w:val="000000"/>
              </w:rPr>
              <w:t>Other notable model features</w:t>
            </w:r>
          </w:p>
        </w:tc>
        <w:tc>
          <w:tcPr>
            <w:tcW w:w="150" w:type="pct"/>
            <w:vMerge w:val="restart"/>
            <w:tcBorders>
              <w:top w:val="nil"/>
              <w:left w:val="nil"/>
              <w:right w:val="nil"/>
            </w:tcBorders>
            <w:shd w:val="clear" w:color="auto" w:fill="auto"/>
            <w:textDirection w:val="btLr"/>
            <w:vAlign w:val="center"/>
            <w:hideMark/>
          </w:tcPr>
          <w:p w:rsidR="009D01D3" w:rsidRPr="00E358A3" w:rsidRDefault="009D01D3" w:rsidP="0020168A">
            <w:pPr>
              <w:ind w:left="113" w:right="113"/>
              <w:rPr>
                <w:rFonts w:ascii="Calibri" w:hAnsi="Calibri" w:cs="Calibri"/>
                <w:b/>
                <w:bCs/>
                <w:color w:val="000000"/>
              </w:rPr>
            </w:pPr>
            <w:r w:rsidRPr="00E358A3">
              <w:rPr>
                <w:rFonts w:ascii="Calibri" w:hAnsi="Calibri" w:cs="Calibri"/>
                <w:b/>
                <w:bCs/>
                <w:color w:val="000000"/>
              </w:rPr>
              <w:t>Optimisation</w:t>
            </w:r>
          </w:p>
        </w:tc>
        <w:tc>
          <w:tcPr>
            <w:tcW w:w="150" w:type="pct"/>
            <w:vMerge w:val="restart"/>
            <w:tcBorders>
              <w:top w:val="nil"/>
              <w:left w:val="nil"/>
              <w:right w:val="nil"/>
            </w:tcBorders>
            <w:textDirection w:val="btLr"/>
            <w:vAlign w:val="center"/>
          </w:tcPr>
          <w:p w:rsidR="009D01D3" w:rsidRPr="00E358A3" w:rsidRDefault="009D01D3" w:rsidP="0020168A">
            <w:pPr>
              <w:ind w:left="113" w:right="113"/>
              <w:rPr>
                <w:rFonts w:ascii="Calibri" w:hAnsi="Calibri" w:cs="Calibri"/>
                <w:b/>
                <w:bCs/>
                <w:color w:val="000000"/>
              </w:rPr>
            </w:pPr>
            <w:r w:rsidRPr="00E358A3">
              <w:rPr>
                <w:rFonts w:ascii="Calibri" w:hAnsi="Calibri" w:cs="Calibri"/>
                <w:b/>
                <w:bCs/>
                <w:color w:val="000000"/>
              </w:rPr>
              <w:t>Reference</w:t>
            </w:r>
          </w:p>
        </w:tc>
      </w:tr>
      <w:tr w:rsidR="009D01D3" w:rsidRPr="00E358A3" w:rsidTr="0020168A">
        <w:trPr>
          <w:trHeight w:val="908"/>
        </w:trPr>
        <w:tc>
          <w:tcPr>
            <w:tcW w:w="260" w:type="pct"/>
            <w:tcBorders>
              <w:top w:val="nil"/>
              <w:left w:val="nil"/>
              <w:bottom w:val="single" w:sz="4" w:space="0" w:color="auto"/>
              <w:right w:val="single" w:sz="12" w:space="0" w:color="auto"/>
            </w:tcBorders>
            <w:shd w:val="clear" w:color="auto" w:fill="auto"/>
            <w:vAlign w:val="bottom"/>
          </w:tcPr>
          <w:p w:rsidR="009D01D3" w:rsidRPr="00E358A3" w:rsidRDefault="009D01D3" w:rsidP="0020168A">
            <w:pPr>
              <w:jc w:val="center"/>
              <w:rPr>
                <w:rFonts w:ascii="Calibri" w:hAnsi="Calibri" w:cs="Calibri"/>
                <w:b/>
                <w:bCs/>
                <w:color w:val="000000"/>
              </w:rPr>
            </w:pPr>
            <w:r w:rsidRPr="00E358A3">
              <w:rPr>
                <w:rFonts w:ascii="Calibri" w:hAnsi="Calibri" w:cs="Calibri"/>
                <w:b/>
                <w:bCs/>
                <w:color w:val="000000"/>
              </w:rPr>
              <w:t>Original</w:t>
            </w:r>
          </w:p>
        </w:tc>
        <w:tc>
          <w:tcPr>
            <w:tcW w:w="360" w:type="pct"/>
            <w:tcBorders>
              <w:top w:val="nil"/>
              <w:left w:val="nil"/>
              <w:bottom w:val="single" w:sz="4" w:space="0" w:color="auto"/>
              <w:right w:val="single" w:sz="12" w:space="0" w:color="auto"/>
            </w:tcBorders>
            <w:shd w:val="clear" w:color="auto" w:fill="auto"/>
            <w:vAlign w:val="bottom"/>
          </w:tcPr>
          <w:p w:rsidR="009D01D3" w:rsidRPr="00E358A3" w:rsidRDefault="009D01D3" w:rsidP="0020168A">
            <w:pPr>
              <w:jc w:val="center"/>
              <w:rPr>
                <w:rFonts w:ascii="Calibri" w:hAnsi="Calibri" w:cs="Calibri"/>
                <w:b/>
                <w:bCs/>
                <w:color w:val="000000"/>
              </w:rPr>
            </w:pPr>
            <w:r w:rsidRPr="00E358A3">
              <w:rPr>
                <w:rFonts w:ascii="Calibri" w:hAnsi="Calibri" w:cs="Calibri"/>
                <w:b/>
                <w:bCs/>
                <w:color w:val="000000"/>
              </w:rPr>
              <w:t>Adapted</w:t>
            </w:r>
          </w:p>
        </w:tc>
        <w:tc>
          <w:tcPr>
            <w:tcW w:w="674" w:type="pct"/>
            <w:vMerge/>
            <w:tcBorders>
              <w:left w:val="single" w:sz="12" w:space="0" w:color="auto"/>
              <w:bottom w:val="single" w:sz="4" w:space="0" w:color="auto"/>
              <w:right w:val="nil"/>
            </w:tcBorders>
            <w:shd w:val="clear" w:color="auto" w:fill="auto"/>
            <w:vAlign w:val="bottom"/>
          </w:tcPr>
          <w:p w:rsidR="009D01D3" w:rsidRPr="00E358A3" w:rsidRDefault="009D01D3" w:rsidP="0020168A">
            <w:pPr>
              <w:rPr>
                <w:rFonts w:ascii="Calibri" w:hAnsi="Calibri" w:cs="Calibri"/>
                <w:b/>
                <w:bCs/>
                <w:color w:val="000000"/>
              </w:rPr>
            </w:pPr>
          </w:p>
        </w:tc>
        <w:tc>
          <w:tcPr>
            <w:tcW w:w="152" w:type="pct"/>
            <w:vMerge/>
            <w:tcBorders>
              <w:left w:val="nil"/>
              <w:bottom w:val="single" w:sz="4" w:space="0" w:color="auto"/>
              <w:right w:val="nil"/>
            </w:tcBorders>
            <w:shd w:val="clear" w:color="auto" w:fill="auto"/>
            <w:textDirection w:val="btLr"/>
            <w:vAlign w:val="bottom"/>
          </w:tcPr>
          <w:p w:rsidR="009D01D3" w:rsidRPr="00E358A3" w:rsidRDefault="009D01D3" w:rsidP="0020168A">
            <w:pPr>
              <w:jc w:val="center"/>
              <w:rPr>
                <w:rFonts w:ascii="Calibri" w:hAnsi="Calibri" w:cs="Calibri"/>
                <w:b/>
                <w:bCs/>
                <w:color w:val="000000"/>
              </w:rPr>
            </w:pPr>
          </w:p>
        </w:tc>
        <w:tc>
          <w:tcPr>
            <w:tcW w:w="152" w:type="pct"/>
            <w:vMerge/>
            <w:tcBorders>
              <w:left w:val="nil"/>
              <w:bottom w:val="single" w:sz="4" w:space="0" w:color="auto"/>
              <w:right w:val="nil"/>
            </w:tcBorders>
            <w:shd w:val="clear" w:color="auto" w:fill="auto"/>
            <w:textDirection w:val="btLr"/>
            <w:vAlign w:val="bottom"/>
          </w:tcPr>
          <w:p w:rsidR="009D01D3" w:rsidRPr="00E358A3" w:rsidRDefault="009D01D3" w:rsidP="0020168A">
            <w:pPr>
              <w:jc w:val="center"/>
              <w:rPr>
                <w:rFonts w:ascii="Calibri" w:hAnsi="Calibri" w:cs="Calibri"/>
                <w:b/>
                <w:bCs/>
                <w:color w:val="000000"/>
              </w:rPr>
            </w:pPr>
          </w:p>
        </w:tc>
        <w:tc>
          <w:tcPr>
            <w:tcW w:w="152" w:type="pct"/>
            <w:vMerge/>
            <w:tcBorders>
              <w:left w:val="nil"/>
              <w:bottom w:val="single" w:sz="4" w:space="0" w:color="auto"/>
              <w:right w:val="nil"/>
            </w:tcBorders>
            <w:shd w:val="clear" w:color="auto" w:fill="auto"/>
            <w:textDirection w:val="btLr"/>
            <w:vAlign w:val="bottom"/>
          </w:tcPr>
          <w:p w:rsidR="009D01D3" w:rsidRPr="00E358A3" w:rsidRDefault="009D01D3" w:rsidP="0020168A">
            <w:pPr>
              <w:jc w:val="center"/>
              <w:rPr>
                <w:rFonts w:ascii="Calibri" w:hAnsi="Calibri" w:cs="Calibri"/>
                <w:b/>
                <w:bCs/>
                <w:color w:val="000000"/>
              </w:rPr>
            </w:pPr>
          </w:p>
        </w:tc>
        <w:tc>
          <w:tcPr>
            <w:tcW w:w="152" w:type="pct"/>
            <w:vMerge/>
            <w:tcBorders>
              <w:left w:val="nil"/>
              <w:bottom w:val="single" w:sz="4" w:space="0" w:color="auto"/>
              <w:right w:val="nil"/>
            </w:tcBorders>
            <w:shd w:val="clear" w:color="auto" w:fill="auto"/>
            <w:textDirection w:val="btLr"/>
            <w:vAlign w:val="bottom"/>
          </w:tcPr>
          <w:p w:rsidR="009D01D3" w:rsidRPr="00E358A3" w:rsidRDefault="009D01D3" w:rsidP="0020168A">
            <w:pPr>
              <w:jc w:val="center"/>
              <w:rPr>
                <w:rFonts w:ascii="Calibri" w:hAnsi="Calibri" w:cs="Calibri"/>
                <w:b/>
                <w:bCs/>
                <w:color w:val="000000"/>
              </w:rPr>
            </w:pPr>
          </w:p>
        </w:tc>
        <w:tc>
          <w:tcPr>
            <w:tcW w:w="146" w:type="pct"/>
            <w:vMerge/>
            <w:tcBorders>
              <w:left w:val="nil"/>
              <w:bottom w:val="single" w:sz="4" w:space="0" w:color="auto"/>
              <w:right w:val="nil"/>
            </w:tcBorders>
            <w:shd w:val="clear" w:color="auto" w:fill="auto"/>
            <w:textDirection w:val="btLr"/>
            <w:vAlign w:val="bottom"/>
          </w:tcPr>
          <w:p w:rsidR="009D01D3" w:rsidRPr="00E358A3" w:rsidRDefault="009D01D3" w:rsidP="0020168A">
            <w:pPr>
              <w:jc w:val="center"/>
              <w:rPr>
                <w:rFonts w:ascii="Calibri" w:hAnsi="Calibri" w:cs="Calibri"/>
                <w:b/>
                <w:bCs/>
                <w:color w:val="000000"/>
              </w:rPr>
            </w:pPr>
          </w:p>
        </w:tc>
        <w:tc>
          <w:tcPr>
            <w:tcW w:w="773" w:type="pct"/>
            <w:vMerge/>
            <w:tcBorders>
              <w:left w:val="nil"/>
              <w:bottom w:val="single" w:sz="4" w:space="0" w:color="auto"/>
              <w:right w:val="nil"/>
            </w:tcBorders>
            <w:shd w:val="clear" w:color="auto" w:fill="auto"/>
            <w:textDirection w:val="btLr"/>
            <w:vAlign w:val="bottom"/>
          </w:tcPr>
          <w:p w:rsidR="009D01D3" w:rsidRPr="00E358A3" w:rsidRDefault="009D01D3" w:rsidP="0020168A">
            <w:pPr>
              <w:jc w:val="center"/>
              <w:rPr>
                <w:rFonts w:ascii="Calibri" w:hAnsi="Calibri" w:cs="Calibri"/>
                <w:b/>
                <w:bCs/>
                <w:color w:val="000000"/>
              </w:rPr>
            </w:pPr>
          </w:p>
        </w:tc>
        <w:tc>
          <w:tcPr>
            <w:tcW w:w="650" w:type="pct"/>
            <w:vMerge/>
            <w:tcBorders>
              <w:left w:val="nil"/>
              <w:bottom w:val="single" w:sz="4" w:space="0" w:color="auto"/>
              <w:right w:val="nil"/>
            </w:tcBorders>
            <w:shd w:val="clear" w:color="auto" w:fill="auto"/>
            <w:textDirection w:val="btLr"/>
            <w:vAlign w:val="bottom"/>
          </w:tcPr>
          <w:p w:rsidR="009D01D3" w:rsidRPr="00E358A3" w:rsidRDefault="009D01D3" w:rsidP="0020168A">
            <w:pPr>
              <w:jc w:val="center"/>
              <w:rPr>
                <w:rFonts w:ascii="Calibri" w:hAnsi="Calibri" w:cs="Calibri"/>
                <w:b/>
                <w:bCs/>
                <w:color w:val="000000"/>
              </w:rPr>
            </w:pPr>
          </w:p>
        </w:tc>
        <w:tc>
          <w:tcPr>
            <w:tcW w:w="152" w:type="pct"/>
            <w:vMerge/>
            <w:tcBorders>
              <w:left w:val="nil"/>
              <w:bottom w:val="single" w:sz="4" w:space="0" w:color="auto"/>
              <w:right w:val="nil"/>
            </w:tcBorders>
            <w:shd w:val="clear" w:color="auto" w:fill="auto"/>
            <w:textDirection w:val="btLr"/>
            <w:vAlign w:val="bottom"/>
          </w:tcPr>
          <w:p w:rsidR="009D01D3" w:rsidRPr="00E358A3" w:rsidRDefault="009D01D3" w:rsidP="0020168A">
            <w:pPr>
              <w:jc w:val="center"/>
              <w:rPr>
                <w:rFonts w:ascii="Calibri" w:hAnsi="Calibri" w:cs="Calibri"/>
                <w:b/>
                <w:bCs/>
                <w:color w:val="000000"/>
              </w:rPr>
            </w:pPr>
          </w:p>
        </w:tc>
        <w:tc>
          <w:tcPr>
            <w:tcW w:w="152" w:type="pct"/>
            <w:vMerge/>
            <w:tcBorders>
              <w:left w:val="nil"/>
              <w:bottom w:val="single" w:sz="4" w:space="0" w:color="auto"/>
              <w:right w:val="nil"/>
            </w:tcBorders>
            <w:shd w:val="clear" w:color="auto" w:fill="auto"/>
            <w:textDirection w:val="btLr"/>
            <w:vAlign w:val="bottom"/>
          </w:tcPr>
          <w:p w:rsidR="009D01D3" w:rsidRPr="00E358A3" w:rsidRDefault="009D01D3" w:rsidP="0020168A">
            <w:pPr>
              <w:jc w:val="center"/>
              <w:rPr>
                <w:rFonts w:ascii="Calibri" w:hAnsi="Calibri" w:cs="Calibri"/>
                <w:b/>
                <w:bCs/>
                <w:color w:val="000000"/>
              </w:rPr>
            </w:pPr>
          </w:p>
        </w:tc>
        <w:tc>
          <w:tcPr>
            <w:tcW w:w="152" w:type="pct"/>
            <w:vMerge/>
            <w:tcBorders>
              <w:left w:val="nil"/>
              <w:bottom w:val="single" w:sz="4" w:space="0" w:color="auto"/>
              <w:right w:val="nil"/>
            </w:tcBorders>
            <w:shd w:val="clear" w:color="auto" w:fill="auto"/>
            <w:textDirection w:val="btLr"/>
            <w:vAlign w:val="bottom"/>
          </w:tcPr>
          <w:p w:rsidR="009D01D3" w:rsidRPr="00E358A3" w:rsidRDefault="009D01D3" w:rsidP="0020168A">
            <w:pPr>
              <w:jc w:val="center"/>
              <w:rPr>
                <w:rFonts w:ascii="Calibri" w:hAnsi="Calibri" w:cs="Calibri"/>
                <w:b/>
                <w:bCs/>
                <w:color w:val="000000"/>
              </w:rPr>
            </w:pPr>
          </w:p>
        </w:tc>
        <w:tc>
          <w:tcPr>
            <w:tcW w:w="152" w:type="pct"/>
            <w:vMerge/>
            <w:tcBorders>
              <w:left w:val="nil"/>
              <w:bottom w:val="single" w:sz="4" w:space="0" w:color="auto"/>
              <w:right w:val="nil"/>
            </w:tcBorders>
            <w:shd w:val="clear" w:color="auto" w:fill="auto"/>
            <w:textDirection w:val="btLr"/>
            <w:vAlign w:val="bottom"/>
          </w:tcPr>
          <w:p w:rsidR="009D01D3" w:rsidRPr="00E358A3" w:rsidRDefault="009D01D3" w:rsidP="0020168A">
            <w:pPr>
              <w:jc w:val="center"/>
              <w:rPr>
                <w:rFonts w:ascii="Calibri" w:hAnsi="Calibri" w:cs="Calibri"/>
                <w:b/>
                <w:bCs/>
                <w:color w:val="000000"/>
              </w:rPr>
            </w:pPr>
          </w:p>
        </w:tc>
        <w:tc>
          <w:tcPr>
            <w:tcW w:w="621" w:type="pct"/>
            <w:vMerge/>
            <w:tcBorders>
              <w:left w:val="nil"/>
              <w:bottom w:val="single" w:sz="4" w:space="0" w:color="auto"/>
              <w:right w:val="nil"/>
            </w:tcBorders>
            <w:shd w:val="clear" w:color="auto" w:fill="auto"/>
            <w:vAlign w:val="bottom"/>
          </w:tcPr>
          <w:p w:rsidR="009D01D3" w:rsidRPr="00E358A3" w:rsidRDefault="009D01D3" w:rsidP="0020168A">
            <w:pPr>
              <w:rPr>
                <w:rFonts w:ascii="Calibri" w:hAnsi="Calibri" w:cs="Calibri"/>
                <w:b/>
                <w:bCs/>
                <w:color w:val="000000"/>
              </w:rPr>
            </w:pPr>
          </w:p>
        </w:tc>
        <w:tc>
          <w:tcPr>
            <w:tcW w:w="150" w:type="pct"/>
            <w:vMerge/>
            <w:tcBorders>
              <w:left w:val="nil"/>
              <w:bottom w:val="single" w:sz="4" w:space="0" w:color="auto"/>
              <w:right w:val="nil"/>
            </w:tcBorders>
            <w:shd w:val="clear" w:color="auto" w:fill="auto"/>
            <w:vAlign w:val="bottom"/>
          </w:tcPr>
          <w:p w:rsidR="009D01D3" w:rsidRPr="00E358A3" w:rsidRDefault="009D01D3" w:rsidP="0020168A">
            <w:pPr>
              <w:jc w:val="center"/>
              <w:rPr>
                <w:rFonts w:ascii="Calibri" w:hAnsi="Calibri" w:cs="Calibri"/>
                <w:b/>
                <w:bCs/>
                <w:color w:val="000000"/>
              </w:rPr>
            </w:pPr>
          </w:p>
        </w:tc>
        <w:tc>
          <w:tcPr>
            <w:tcW w:w="150" w:type="pct"/>
            <w:vMerge/>
            <w:tcBorders>
              <w:left w:val="nil"/>
              <w:bottom w:val="single" w:sz="4" w:space="0" w:color="auto"/>
              <w:right w:val="nil"/>
            </w:tcBorders>
          </w:tcPr>
          <w:p w:rsidR="009D01D3" w:rsidRPr="00E358A3" w:rsidRDefault="009D01D3" w:rsidP="0020168A">
            <w:pPr>
              <w:jc w:val="center"/>
              <w:rPr>
                <w:rFonts w:ascii="Calibri" w:hAnsi="Calibri" w:cs="Calibri"/>
                <w:b/>
                <w:bCs/>
                <w:color w:val="000000"/>
              </w:rPr>
            </w:pPr>
          </w:p>
        </w:tc>
      </w:tr>
      <w:tr w:rsidR="009D01D3" w:rsidRPr="00E358A3" w:rsidTr="0020168A">
        <w:trPr>
          <w:cantSplit/>
          <w:trHeight w:val="1134"/>
        </w:trPr>
        <w:tc>
          <w:tcPr>
            <w:tcW w:w="620" w:type="pct"/>
            <w:gridSpan w:val="2"/>
            <w:tcBorders>
              <w:top w:val="single" w:sz="4" w:space="0" w:color="auto"/>
              <w:left w:val="nil"/>
              <w:right w:val="single" w:sz="12" w:space="0" w:color="auto"/>
            </w:tcBorders>
            <w:shd w:val="clear" w:color="auto" w:fill="auto"/>
            <w:vAlign w:val="center"/>
          </w:tcPr>
          <w:p w:rsidR="009D01D3" w:rsidRPr="00064B6E" w:rsidRDefault="009D01D3" w:rsidP="0020168A">
            <w:pPr>
              <w:jc w:val="right"/>
              <w:rPr>
                <w:rFonts w:ascii="Calibri" w:hAnsi="Calibri" w:cs="Calibri"/>
                <w:bCs/>
                <w:color w:val="000000"/>
              </w:rPr>
            </w:pPr>
            <w:r w:rsidRPr="00064B6E">
              <w:rPr>
                <w:rFonts w:ascii="Calibri" w:hAnsi="Calibri" w:cs="Calibri"/>
                <w:bCs/>
                <w:color w:val="000000"/>
              </w:rPr>
              <w:t>McKenzie (1998)</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Default="009D01D3" w:rsidP="0020168A">
            <w:pPr>
              <w:jc w:val="center"/>
              <w:rPr>
                <w:rFonts w:ascii="Calibri" w:hAnsi="Calibri" w:cs="Calibri"/>
                <w:bCs/>
                <w:color w:val="000000"/>
              </w:rPr>
            </w:pPr>
            <w:r w:rsidRPr="00064B6E">
              <w:rPr>
                <w:rFonts w:ascii="Calibri" w:hAnsi="Calibri" w:cs="Calibri"/>
                <w:bCs/>
                <w:color w:val="000000"/>
              </w:rPr>
              <w:t>Introduce discrete simulation model, compare results to compartmental approaches</w:t>
            </w:r>
          </w:p>
        </w:tc>
        <w:tc>
          <w:tcPr>
            <w:tcW w:w="152" w:type="pct"/>
            <w:tcBorders>
              <w:top w:val="single" w:sz="4" w:space="0" w:color="auto"/>
              <w:left w:val="nil"/>
              <w:bottom w:val="single" w:sz="4" w:space="0" w:color="auto"/>
              <w:right w:val="nil"/>
            </w:tcBorders>
            <w:shd w:val="clear" w:color="auto" w:fill="auto"/>
            <w:vAlign w:val="center"/>
          </w:tcPr>
          <w:p w:rsidR="009D01D3" w:rsidRPr="00064B6E" w:rsidRDefault="009D01D3" w:rsidP="0020168A">
            <w:pPr>
              <w:jc w:val="center"/>
              <w:rPr>
                <w:rFonts w:ascii="Calibri" w:hAnsi="Calibri" w:cs="Calibri"/>
                <w:bCs/>
                <w:color w:val="000000"/>
              </w:rPr>
            </w:pPr>
            <w:r w:rsidRPr="00064B6E">
              <w:rPr>
                <w:rFonts w:ascii="Calibri" w:hAnsi="Calibri" w:cs="Calibri"/>
                <w:bCs/>
                <w:color w:val="000000"/>
              </w:rPr>
              <w:t>H,M</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bCs/>
                <w:color w:val="000000"/>
              </w:rPr>
            </w:pPr>
            <w:r w:rsidRPr="00064B6E">
              <w:rPr>
                <w:rFonts w:ascii="Calibri" w:hAnsi="Calibri" w:cs="Calibri"/>
                <w:bCs/>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064B6E" w:rsidRDefault="009D01D3" w:rsidP="0020168A">
            <w:pPr>
              <w:jc w:val="center"/>
              <w:rPr>
                <w:rFonts w:ascii="Calibri" w:hAnsi="Calibri" w:cs="Calibri"/>
                <w:bCs/>
                <w:color w:val="000000"/>
              </w:rPr>
            </w:pPr>
            <w:r w:rsidRPr="00064B6E">
              <w:rPr>
                <w:rFonts w:ascii="Calibri" w:hAnsi="Calibri" w:cs="Calibri"/>
                <w:bCs/>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064B6E" w:rsidRDefault="009D01D3" w:rsidP="0020168A">
            <w:pPr>
              <w:jc w:val="center"/>
              <w:rPr>
                <w:rFonts w:ascii="Calibri" w:hAnsi="Calibri" w:cs="Calibri"/>
                <w:bCs/>
                <w:color w:val="000000"/>
              </w:rPr>
            </w:pPr>
            <w:r w:rsidRPr="00064B6E">
              <w:rPr>
                <w:rFonts w:ascii="Calibri" w:hAnsi="Calibri" w:cs="Calibri"/>
                <w:bCs/>
                <w:color w:val="000000"/>
              </w:rPr>
              <w:t>N</w:t>
            </w:r>
          </w:p>
        </w:tc>
        <w:tc>
          <w:tcPr>
            <w:tcW w:w="146" w:type="pct"/>
            <w:tcBorders>
              <w:top w:val="single" w:sz="4" w:space="0" w:color="auto"/>
              <w:left w:val="nil"/>
              <w:bottom w:val="single" w:sz="4" w:space="0" w:color="auto"/>
              <w:right w:val="nil"/>
            </w:tcBorders>
            <w:shd w:val="clear" w:color="auto" w:fill="auto"/>
            <w:vAlign w:val="center"/>
          </w:tcPr>
          <w:p w:rsidR="009D01D3" w:rsidRPr="00BE31B9" w:rsidRDefault="009D01D3" w:rsidP="0020168A">
            <w:pPr>
              <w:jc w:val="center"/>
              <w:rPr>
                <w:rFonts w:ascii="Calibri" w:hAnsi="Calibri" w:cs="Calibri"/>
                <w:bCs/>
                <w:color w:val="000000"/>
              </w:rPr>
            </w:pPr>
            <w:r w:rsidRPr="00064B6E">
              <w:rPr>
                <w:rFonts w:ascii="Calibri" w:hAnsi="Calibri" w:cs="Calibri"/>
                <w:bCs/>
                <w:color w:val="000000"/>
              </w:rPr>
              <w:t>P</w:t>
            </w:r>
          </w:p>
        </w:tc>
        <w:tc>
          <w:tcPr>
            <w:tcW w:w="773" w:type="pct"/>
            <w:tcBorders>
              <w:top w:val="single" w:sz="4" w:space="0" w:color="auto"/>
              <w:left w:val="nil"/>
              <w:bottom w:val="single" w:sz="4" w:space="0" w:color="auto"/>
              <w:right w:val="nil"/>
            </w:tcBorders>
            <w:shd w:val="clear" w:color="auto" w:fill="auto"/>
            <w:vAlign w:val="center"/>
          </w:tcPr>
          <w:p w:rsidR="009D01D3" w:rsidRPr="00BE31B9" w:rsidRDefault="009D01D3" w:rsidP="0020168A">
            <w:pPr>
              <w:jc w:val="center"/>
              <w:rPr>
                <w:rFonts w:ascii="Calibri" w:hAnsi="Calibri" w:cs="Calibri"/>
                <w:bCs/>
                <w:color w:val="000000"/>
              </w:rPr>
            </w:pPr>
            <w:r w:rsidRPr="00064B6E">
              <w:rPr>
                <w:rFonts w:ascii="Calibri" w:hAnsi="Calibri" w:cs="Calibri"/>
                <w:bCs/>
                <w:color w:val="000000"/>
              </w:rPr>
              <w:t>Intrinsic and extrinsic incubation, host infectious period, host immunity</w:t>
            </w:r>
          </w:p>
        </w:tc>
        <w:tc>
          <w:tcPr>
            <w:tcW w:w="650" w:type="pct"/>
            <w:tcBorders>
              <w:top w:val="single" w:sz="4" w:space="0" w:color="auto"/>
              <w:left w:val="nil"/>
              <w:bottom w:val="single" w:sz="4" w:space="0" w:color="auto"/>
              <w:right w:val="nil"/>
            </w:tcBorders>
            <w:shd w:val="clear" w:color="auto" w:fill="auto"/>
            <w:vAlign w:val="center"/>
          </w:tcPr>
          <w:p w:rsidR="009D01D3" w:rsidRPr="00BE31B9" w:rsidRDefault="009D01D3" w:rsidP="0020168A">
            <w:pPr>
              <w:jc w:val="center"/>
              <w:rPr>
                <w:rFonts w:ascii="Calibri" w:hAnsi="Calibri" w:cs="Calibri"/>
                <w:bCs/>
                <w:color w:val="000000"/>
              </w:rPr>
            </w:pPr>
            <w:r w:rsidRPr="00064B6E">
              <w:rPr>
                <w:rFonts w:ascii="Calibri" w:hAnsi="Calibri" w:cs="Calibri"/>
                <w:bCs/>
                <w:color w:val="000000"/>
              </w:rPr>
              <w:t>Vector population size, host malaria prevalence</w:t>
            </w:r>
          </w:p>
        </w:tc>
        <w:tc>
          <w:tcPr>
            <w:tcW w:w="152" w:type="pct"/>
            <w:tcBorders>
              <w:top w:val="single" w:sz="4" w:space="0" w:color="auto"/>
              <w:left w:val="nil"/>
              <w:bottom w:val="single" w:sz="4" w:space="0" w:color="auto"/>
              <w:right w:val="nil"/>
            </w:tcBorders>
            <w:shd w:val="clear" w:color="auto" w:fill="auto"/>
            <w:vAlign w:val="center"/>
          </w:tcPr>
          <w:p w:rsidR="009D01D3" w:rsidRPr="00064B6E" w:rsidRDefault="009D01D3" w:rsidP="0020168A">
            <w:pPr>
              <w:jc w:val="center"/>
              <w:rPr>
                <w:rFonts w:ascii="Calibri" w:hAnsi="Calibri" w:cs="Calibri"/>
                <w:bCs/>
                <w:color w:val="000000"/>
              </w:rPr>
            </w:pPr>
            <w:r w:rsidRPr="00064B6E">
              <w:rPr>
                <w:rFonts w:ascii="Calibri" w:hAnsi="Calibri" w:cs="Calibri"/>
                <w:bCs/>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064B6E" w:rsidRDefault="009D01D3" w:rsidP="0020168A">
            <w:pPr>
              <w:jc w:val="center"/>
              <w:rPr>
                <w:rFonts w:ascii="Calibri" w:hAnsi="Calibri" w:cs="Calibri"/>
                <w:bCs/>
                <w:color w:val="000000"/>
              </w:rPr>
            </w:pPr>
            <w:r w:rsidRPr="00064B6E">
              <w:rPr>
                <w:rFonts w:ascii="Calibri" w:hAnsi="Calibri" w:cs="Calibri"/>
                <w:bCs/>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064B6E" w:rsidRDefault="009D01D3" w:rsidP="0020168A">
            <w:pPr>
              <w:jc w:val="center"/>
              <w:rPr>
                <w:rFonts w:ascii="Calibri" w:hAnsi="Calibri" w:cs="Calibri"/>
                <w:bCs/>
                <w:color w:val="000000"/>
              </w:rPr>
            </w:pPr>
            <w:r w:rsidRPr="00064B6E">
              <w:rPr>
                <w:rFonts w:ascii="Calibri" w:hAnsi="Calibri" w:cs="Calibri"/>
                <w:bCs/>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064B6E" w:rsidRDefault="009D01D3" w:rsidP="0020168A">
            <w:pPr>
              <w:jc w:val="center"/>
              <w:rPr>
                <w:rFonts w:ascii="Calibri" w:hAnsi="Calibri" w:cs="Calibri"/>
                <w:bCs/>
                <w:color w:val="000000"/>
              </w:rPr>
            </w:pPr>
            <w:r w:rsidRPr="00064B6E">
              <w:rPr>
                <w:rFonts w:ascii="Calibri" w:hAnsi="Calibri" w:cs="Calibri"/>
                <w:bCs/>
                <w:color w:val="000000"/>
              </w:rPr>
              <w:t>N</w:t>
            </w:r>
          </w:p>
        </w:tc>
        <w:tc>
          <w:tcPr>
            <w:tcW w:w="621" w:type="pct"/>
            <w:tcBorders>
              <w:top w:val="single" w:sz="4" w:space="0" w:color="auto"/>
              <w:left w:val="nil"/>
              <w:bottom w:val="single" w:sz="4" w:space="0" w:color="auto"/>
              <w:right w:val="nil"/>
            </w:tcBorders>
            <w:shd w:val="clear" w:color="auto" w:fill="auto"/>
            <w:vAlign w:val="center"/>
          </w:tcPr>
          <w:p w:rsidR="009D01D3" w:rsidRPr="00BE31B9" w:rsidRDefault="009D01D3" w:rsidP="0020168A">
            <w:pPr>
              <w:jc w:val="center"/>
              <w:rPr>
                <w:rFonts w:ascii="Calibri" w:hAnsi="Calibri" w:cs="Calibri"/>
                <w:bCs/>
                <w:color w:val="000000"/>
              </w:rPr>
            </w:pPr>
            <w:r w:rsidRPr="00064B6E">
              <w:rPr>
                <w:rFonts w:ascii="Calibri" w:hAnsi="Calibri" w:cs="Calibri"/>
                <w:bCs/>
                <w:color w:val="000000"/>
              </w:rPr>
              <w:t>Array-based simulation</w:t>
            </w:r>
          </w:p>
        </w:tc>
        <w:tc>
          <w:tcPr>
            <w:tcW w:w="150" w:type="pct"/>
            <w:tcBorders>
              <w:top w:val="single" w:sz="4" w:space="0" w:color="auto"/>
              <w:left w:val="nil"/>
              <w:bottom w:val="single" w:sz="4" w:space="0" w:color="auto"/>
              <w:right w:val="nil"/>
            </w:tcBorders>
            <w:shd w:val="clear" w:color="auto" w:fill="auto"/>
            <w:vAlign w:val="center"/>
          </w:tcPr>
          <w:p w:rsidR="009D01D3" w:rsidRPr="00064B6E" w:rsidRDefault="009D01D3" w:rsidP="0020168A">
            <w:pPr>
              <w:jc w:val="center"/>
              <w:rPr>
                <w:rFonts w:ascii="Calibri" w:hAnsi="Calibri" w:cs="Calibri"/>
                <w:bCs/>
                <w:color w:val="000000"/>
              </w:rPr>
            </w:pPr>
            <w:r w:rsidRPr="00064B6E">
              <w:rPr>
                <w:rFonts w:ascii="Calibri" w:hAnsi="Calibri" w:cs="Calibri"/>
                <w:bCs/>
                <w:color w:val="000000"/>
              </w:rPr>
              <w:t>N</w:t>
            </w:r>
          </w:p>
        </w:tc>
        <w:tc>
          <w:tcPr>
            <w:tcW w:w="150" w:type="pct"/>
            <w:tcBorders>
              <w:top w:val="single" w:sz="4" w:space="0" w:color="auto"/>
              <w:left w:val="nil"/>
              <w:bottom w:val="single" w:sz="4" w:space="0" w:color="auto"/>
              <w:right w:val="nil"/>
            </w:tcBorders>
            <w:vAlign w:val="center"/>
          </w:tcPr>
          <w:p w:rsidR="009D01D3" w:rsidRPr="00064B6E" w:rsidRDefault="009D01D3" w:rsidP="0020168A">
            <w:pPr>
              <w:jc w:val="center"/>
              <w:rPr>
                <w:rFonts w:ascii="Calibri" w:hAnsi="Calibri" w:cs="Calibri"/>
                <w:bCs/>
                <w:color w:val="000000"/>
              </w:rPr>
            </w:pPr>
            <w:r w:rsidRPr="00064B6E">
              <w:rPr>
                <w:rFonts w:ascii="Calibri" w:hAnsi="Calibri" w:cs="Calibri"/>
                <w:b/>
                <w:bCs/>
                <w:color w:val="000000"/>
              </w:rPr>
              <w:fldChar w:fldCharType="begin" w:fldLock="1"/>
            </w:r>
            <w:r>
              <w:rPr>
                <w:rFonts w:ascii="Calibri" w:hAnsi="Calibri" w:cs="Calibri"/>
                <w:b/>
                <w:bCs/>
                <w:color w:val="000000"/>
              </w:rPr>
              <w:instrText>ADDIN CSL_CITATION { "citationItems" : [ { "id" : "ITEM-1", "itemData" : { "DOI" : "10.1016/j.bbi.2008.05.010", "ISSN" : "0037-5497", "PMID" : "18668185", "abstract" : "We develop discrete-event simulation models using a single \"timeline\" variable to represent the Plasmodium falciparum lifecycle in individual hosts and vectors within interacting host and vector populations. Where they are comparable our conclusions regarding the relative importance of vector mortality and the durations of host immunity and parasite development are congruent with those of classic differential-equation models of malaria, epidemiology. However, our results also imply that in regions with intense perennial transmission, the influence of mosquito mortality on malaria prevalence in humans may be rivaled by that of the duration of host infectivity.", "author" : [ { "dropping-particle" : "", "family" : "McKenzie", "given" : "F Ellis", "non-dropping-particle" : "", "parse-names" : false, "suffix" : "" }, { "dropping-particle" : "", "family" : "Wong", "given" : "Roger C", "non-dropping-particle" : "", "parse-names" : false, "suffix" : "" }, { "dropping-particle" : "", "family" : "Bossert", "given" : "William H", "non-dropping-particle" : "", "parse-names" : false, "suffix" : "" } ], "container-title" : "Simulation", "id" : "ITEM-1", "issue" : "4", "issued" : { "date-parts" : [ [ "1998" ] ] }, "page" : "250-261", "title" : "Discrete-Event Simulation Models of Plasmodium falciparum Malaria", "type" : "article-journal", "volume" : "71" }, "uris" : [ "http://www.mendeley.com/documents/?uuid=a09ddc8e-342e-49c3-be5e-85eb18a65670" ] } ], "mendeley" : { "formattedCitation" : "(1)", "plainTextFormattedCitation" : "(1)", "previouslyFormattedCitation" : "(1)" }, "properties" : { "noteIndex" : 0 }, "schema" : "https://github.com/citation-style-language/schema/raw/master/csl-citation.json" }</w:instrText>
            </w:r>
            <w:r w:rsidRPr="00064B6E">
              <w:rPr>
                <w:rFonts w:ascii="Calibri" w:hAnsi="Calibri" w:cs="Calibri"/>
                <w:b/>
                <w:bCs/>
                <w:color w:val="000000"/>
              </w:rPr>
              <w:fldChar w:fldCharType="separate"/>
            </w:r>
            <w:r w:rsidRPr="009D01D3">
              <w:rPr>
                <w:rFonts w:ascii="Calibri" w:hAnsi="Calibri" w:cs="Calibri"/>
                <w:bCs/>
                <w:noProof/>
                <w:color w:val="000000"/>
              </w:rPr>
              <w:t>(1)</w:t>
            </w:r>
            <w:r w:rsidRPr="00064B6E">
              <w:rPr>
                <w:rFonts w:ascii="Calibri" w:hAnsi="Calibri" w:cs="Calibri"/>
                <w:b/>
                <w:bCs/>
                <w:color w:val="000000"/>
              </w:rPr>
              <w:fldChar w:fldCharType="end"/>
            </w:r>
          </w:p>
        </w:tc>
      </w:tr>
      <w:tr w:rsidR="009D01D3" w:rsidRPr="00E358A3" w:rsidTr="0020168A">
        <w:trPr>
          <w:cantSplit/>
          <w:trHeight w:val="1134"/>
        </w:trPr>
        <w:tc>
          <w:tcPr>
            <w:tcW w:w="260" w:type="pct"/>
            <w:tcBorders>
              <w:left w:val="nil"/>
              <w:right w:val="single" w:sz="4" w:space="0" w:color="auto"/>
            </w:tcBorders>
            <w:shd w:val="clear" w:color="auto" w:fill="auto"/>
            <w:vAlign w:val="center"/>
          </w:tcPr>
          <w:p w:rsidR="009D01D3" w:rsidRPr="00BE31B9" w:rsidRDefault="009D01D3" w:rsidP="0020168A">
            <w:pPr>
              <w:rPr>
                <w:rFonts w:ascii="Calibri" w:hAnsi="Calibri" w:cs="Calibri"/>
                <w:bCs/>
                <w:color w:val="000000"/>
              </w:rPr>
            </w:pPr>
          </w:p>
        </w:tc>
        <w:tc>
          <w:tcPr>
            <w:tcW w:w="360" w:type="pct"/>
            <w:tcBorders>
              <w:left w:val="single" w:sz="4" w:space="0" w:color="auto"/>
              <w:right w:val="single" w:sz="12" w:space="0" w:color="auto"/>
            </w:tcBorders>
            <w:shd w:val="clear" w:color="auto" w:fill="auto"/>
            <w:vAlign w:val="center"/>
          </w:tcPr>
          <w:p w:rsidR="009D01D3" w:rsidRPr="00064B6E" w:rsidRDefault="009D01D3" w:rsidP="0020168A">
            <w:pPr>
              <w:jc w:val="right"/>
              <w:rPr>
                <w:rFonts w:ascii="Calibri" w:hAnsi="Calibri" w:cs="Calibri"/>
                <w:bCs/>
                <w:color w:val="000000"/>
              </w:rPr>
            </w:pPr>
            <w:r w:rsidRPr="00064B6E">
              <w:rPr>
                <w:rFonts w:ascii="Calibri" w:hAnsi="Calibri" w:cs="Calibri"/>
                <w:bCs/>
                <w:color w:val="000000"/>
              </w:rPr>
              <w:t>McKenzie (2001)</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Default="009D01D3" w:rsidP="0020168A">
            <w:pPr>
              <w:jc w:val="center"/>
              <w:rPr>
                <w:rFonts w:ascii="Calibri" w:hAnsi="Calibri" w:cs="Calibri"/>
                <w:bCs/>
                <w:color w:val="000000"/>
              </w:rPr>
            </w:pPr>
            <w:r w:rsidRPr="00064B6E">
              <w:rPr>
                <w:rFonts w:ascii="Calibri" w:hAnsi="Calibri" w:cs="Calibri"/>
                <w:bCs/>
                <w:color w:val="000000"/>
              </w:rPr>
              <w:t xml:space="preserve">Assess </w:t>
            </w:r>
            <w:r>
              <w:rPr>
                <w:rFonts w:ascii="Calibri" w:hAnsi="Calibri" w:cs="Calibri"/>
                <w:bCs/>
                <w:color w:val="000000"/>
              </w:rPr>
              <w:t xml:space="preserve">impact of varying vector populations on </w:t>
            </w:r>
            <w:r w:rsidRPr="00064B6E">
              <w:rPr>
                <w:rFonts w:ascii="Calibri" w:hAnsi="Calibri" w:cs="Calibri"/>
                <w:bCs/>
                <w:color w:val="000000"/>
              </w:rPr>
              <w:t>parasite extinction</w:t>
            </w:r>
          </w:p>
        </w:tc>
        <w:tc>
          <w:tcPr>
            <w:tcW w:w="152" w:type="pct"/>
            <w:tcBorders>
              <w:top w:val="single" w:sz="4" w:space="0" w:color="auto"/>
              <w:left w:val="nil"/>
              <w:bottom w:val="single" w:sz="4" w:space="0" w:color="auto"/>
              <w:right w:val="nil"/>
            </w:tcBorders>
            <w:shd w:val="clear" w:color="auto" w:fill="auto"/>
            <w:vAlign w:val="center"/>
          </w:tcPr>
          <w:p w:rsidR="009D01D3" w:rsidRPr="00064B6E" w:rsidRDefault="009D01D3" w:rsidP="0020168A">
            <w:pPr>
              <w:jc w:val="center"/>
              <w:rPr>
                <w:rFonts w:ascii="Calibri" w:hAnsi="Calibri" w:cs="Calibri"/>
                <w:bCs/>
                <w:color w:val="000000"/>
              </w:rPr>
            </w:pPr>
            <w:r>
              <w:rPr>
                <w:rFonts w:ascii="Calibri" w:hAnsi="Calibri" w:cs="Calibri"/>
                <w:bCs/>
                <w:color w:val="000000"/>
              </w:rPr>
              <w:t>H,M</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bCs/>
                <w:color w:val="000000"/>
              </w:rPr>
            </w:pPr>
            <w:r>
              <w:rPr>
                <w:rFonts w:ascii="Calibri" w:hAnsi="Calibri" w:cs="Calibri"/>
                <w:bCs/>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064B6E" w:rsidRDefault="009D01D3" w:rsidP="0020168A">
            <w:pPr>
              <w:jc w:val="center"/>
              <w:rPr>
                <w:rFonts w:ascii="Calibri" w:hAnsi="Calibri" w:cs="Calibri"/>
                <w:bCs/>
                <w:color w:val="000000"/>
              </w:rPr>
            </w:pPr>
            <w:r>
              <w:rPr>
                <w:rFonts w:ascii="Calibri" w:hAnsi="Calibri" w:cs="Calibri"/>
                <w:bCs/>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064B6E" w:rsidRDefault="009D01D3" w:rsidP="0020168A">
            <w:pPr>
              <w:jc w:val="center"/>
              <w:rPr>
                <w:rFonts w:ascii="Calibri" w:hAnsi="Calibri" w:cs="Calibri"/>
                <w:bCs/>
                <w:color w:val="000000"/>
              </w:rPr>
            </w:pPr>
            <w:r>
              <w:rPr>
                <w:rFonts w:ascii="Calibri" w:hAnsi="Calibri" w:cs="Calibri"/>
                <w:bCs/>
                <w:color w:val="000000"/>
              </w:rPr>
              <w:t>N</w:t>
            </w:r>
          </w:p>
        </w:tc>
        <w:tc>
          <w:tcPr>
            <w:tcW w:w="146" w:type="pct"/>
            <w:tcBorders>
              <w:top w:val="single" w:sz="4" w:space="0" w:color="auto"/>
              <w:left w:val="nil"/>
              <w:bottom w:val="single" w:sz="4" w:space="0" w:color="auto"/>
              <w:right w:val="nil"/>
            </w:tcBorders>
            <w:shd w:val="clear" w:color="auto" w:fill="auto"/>
            <w:vAlign w:val="center"/>
          </w:tcPr>
          <w:p w:rsidR="009D01D3" w:rsidRPr="00BE31B9" w:rsidRDefault="009D01D3" w:rsidP="0020168A">
            <w:pPr>
              <w:jc w:val="center"/>
              <w:rPr>
                <w:rFonts w:ascii="Calibri" w:hAnsi="Calibri" w:cs="Calibri"/>
                <w:bCs/>
                <w:color w:val="000000"/>
              </w:rPr>
            </w:pPr>
            <w:r>
              <w:rPr>
                <w:rFonts w:ascii="Calibri" w:hAnsi="Calibri" w:cs="Calibri"/>
                <w:bCs/>
                <w:color w:val="000000"/>
              </w:rPr>
              <w:t>P</w:t>
            </w:r>
          </w:p>
        </w:tc>
        <w:tc>
          <w:tcPr>
            <w:tcW w:w="773" w:type="pct"/>
            <w:tcBorders>
              <w:top w:val="single" w:sz="4" w:space="0" w:color="auto"/>
              <w:left w:val="nil"/>
              <w:bottom w:val="single" w:sz="4" w:space="0" w:color="auto"/>
              <w:right w:val="nil"/>
            </w:tcBorders>
            <w:shd w:val="clear" w:color="auto" w:fill="auto"/>
            <w:vAlign w:val="center"/>
          </w:tcPr>
          <w:p w:rsidR="009D01D3" w:rsidRPr="00BE31B9" w:rsidRDefault="009D01D3" w:rsidP="0020168A">
            <w:pPr>
              <w:jc w:val="center"/>
              <w:rPr>
                <w:rFonts w:ascii="Calibri" w:hAnsi="Calibri" w:cs="Calibri"/>
                <w:bCs/>
                <w:color w:val="000000"/>
              </w:rPr>
            </w:pPr>
            <w:r w:rsidRPr="00457326">
              <w:rPr>
                <w:rFonts w:ascii="Calibri" w:hAnsi="Calibri" w:cs="Calibri"/>
                <w:bCs/>
                <w:color w:val="000000"/>
              </w:rPr>
              <w:t>Intrinsic and extrinsic incubation, host infectious period, host immunity</w:t>
            </w:r>
          </w:p>
        </w:tc>
        <w:tc>
          <w:tcPr>
            <w:tcW w:w="650" w:type="pct"/>
            <w:tcBorders>
              <w:top w:val="single" w:sz="4" w:space="0" w:color="auto"/>
              <w:left w:val="nil"/>
              <w:bottom w:val="single" w:sz="4" w:space="0" w:color="auto"/>
              <w:right w:val="nil"/>
            </w:tcBorders>
            <w:shd w:val="clear" w:color="auto" w:fill="auto"/>
            <w:vAlign w:val="center"/>
          </w:tcPr>
          <w:p w:rsidR="009D01D3" w:rsidRPr="00BE31B9" w:rsidRDefault="009D01D3" w:rsidP="0020168A">
            <w:pPr>
              <w:jc w:val="center"/>
              <w:rPr>
                <w:rFonts w:ascii="Calibri" w:hAnsi="Calibri" w:cs="Calibri"/>
                <w:bCs/>
                <w:color w:val="000000"/>
              </w:rPr>
            </w:pPr>
            <w:r w:rsidRPr="00064B6E">
              <w:rPr>
                <w:rFonts w:ascii="Calibri" w:hAnsi="Calibri" w:cs="Calibri"/>
                <w:bCs/>
                <w:color w:val="000000"/>
              </w:rPr>
              <w:t>Malaria prevalence, vector population siz</w:t>
            </w:r>
            <w:r>
              <w:rPr>
                <w:rFonts w:ascii="Calibri" w:hAnsi="Calibri" w:cs="Calibri"/>
                <w:bCs/>
                <w:color w:val="000000"/>
              </w:rPr>
              <w:t>e</w:t>
            </w:r>
            <w:r w:rsidRPr="00064B6E">
              <w:rPr>
                <w:rFonts w:ascii="Calibri" w:hAnsi="Calibri" w:cs="Calibri"/>
                <w:bCs/>
                <w:color w:val="000000"/>
              </w:rPr>
              <w:t xml:space="preserve">, rate of parasitic </w:t>
            </w:r>
            <w:r w:rsidRPr="00DC11B8">
              <w:rPr>
                <w:rFonts w:ascii="Calibri" w:hAnsi="Calibri" w:cs="Calibri"/>
                <w:bCs/>
                <w:color w:val="000000"/>
              </w:rPr>
              <w:t>extinction</w:t>
            </w:r>
          </w:p>
        </w:tc>
        <w:tc>
          <w:tcPr>
            <w:tcW w:w="152" w:type="pct"/>
            <w:tcBorders>
              <w:top w:val="single" w:sz="4" w:space="0" w:color="auto"/>
              <w:left w:val="nil"/>
              <w:bottom w:val="single" w:sz="4" w:space="0" w:color="auto"/>
              <w:right w:val="nil"/>
            </w:tcBorders>
            <w:shd w:val="clear" w:color="auto" w:fill="auto"/>
            <w:vAlign w:val="center"/>
          </w:tcPr>
          <w:p w:rsidR="009D01D3" w:rsidRPr="00064B6E" w:rsidRDefault="009D01D3" w:rsidP="0020168A">
            <w:pPr>
              <w:jc w:val="center"/>
              <w:rPr>
                <w:rFonts w:ascii="Calibri" w:hAnsi="Calibri" w:cs="Calibri"/>
                <w:bCs/>
                <w:color w:val="000000"/>
              </w:rPr>
            </w:pPr>
            <w:r w:rsidRPr="00064B6E">
              <w:rPr>
                <w:rFonts w:ascii="Calibri" w:hAnsi="Calibri" w:cs="Calibri"/>
                <w:bCs/>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064B6E" w:rsidRDefault="009D01D3" w:rsidP="0020168A">
            <w:pPr>
              <w:jc w:val="center"/>
              <w:rPr>
                <w:rFonts w:ascii="Calibri" w:hAnsi="Calibri" w:cs="Calibri"/>
                <w:bCs/>
                <w:color w:val="000000"/>
              </w:rPr>
            </w:pPr>
            <w:r w:rsidRPr="00064B6E">
              <w:rPr>
                <w:rFonts w:ascii="Calibri" w:hAnsi="Calibri" w:cs="Calibri"/>
                <w:bCs/>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064B6E" w:rsidRDefault="009D01D3" w:rsidP="0020168A">
            <w:pPr>
              <w:jc w:val="center"/>
              <w:rPr>
                <w:rFonts w:ascii="Calibri" w:hAnsi="Calibri" w:cs="Calibri"/>
                <w:bCs/>
                <w:color w:val="000000"/>
              </w:rPr>
            </w:pPr>
            <w:r w:rsidRPr="00064B6E">
              <w:rPr>
                <w:rFonts w:ascii="Calibri" w:hAnsi="Calibri" w:cs="Calibri"/>
                <w:bCs/>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064B6E" w:rsidRDefault="009D01D3" w:rsidP="0020168A">
            <w:pPr>
              <w:jc w:val="center"/>
              <w:rPr>
                <w:rFonts w:ascii="Calibri" w:hAnsi="Calibri" w:cs="Calibri"/>
                <w:bCs/>
                <w:color w:val="000000"/>
              </w:rPr>
            </w:pPr>
            <w:r w:rsidRPr="00064B6E">
              <w:rPr>
                <w:rFonts w:ascii="Calibri" w:hAnsi="Calibri" w:cs="Calibri"/>
                <w:bCs/>
                <w:color w:val="000000"/>
              </w:rPr>
              <w:t>N</w:t>
            </w:r>
          </w:p>
        </w:tc>
        <w:tc>
          <w:tcPr>
            <w:tcW w:w="621" w:type="pct"/>
            <w:tcBorders>
              <w:top w:val="single" w:sz="4" w:space="0" w:color="auto"/>
              <w:left w:val="nil"/>
              <w:bottom w:val="single" w:sz="4" w:space="0" w:color="auto"/>
              <w:right w:val="nil"/>
            </w:tcBorders>
            <w:shd w:val="clear" w:color="auto" w:fill="auto"/>
            <w:vAlign w:val="center"/>
          </w:tcPr>
          <w:p w:rsidR="009D01D3" w:rsidRPr="00BE31B9" w:rsidRDefault="009D01D3" w:rsidP="0020168A">
            <w:pPr>
              <w:jc w:val="center"/>
              <w:rPr>
                <w:rFonts w:ascii="Calibri" w:hAnsi="Calibri" w:cs="Calibri"/>
                <w:bCs/>
                <w:color w:val="000000"/>
              </w:rPr>
            </w:pPr>
            <w:r>
              <w:rPr>
                <w:rFonts w:ascii="Calibri" w:hAnsi="Calibri" w:cs="Calibri"/>
                <w:bCs/>
                <w:color w:val="000000"/>
              </w:rPr>
              <w:t>Seasonal variation in vector population size</w:t>
            </w:r>
          </w:p>
        </w:tc>
        <w:tc>
          <w:tcPr>
            <w:tcW w:w="150" w:type="pct"/>
            <w:tcBorders>
              <w:top w:val="single" w:sz="4" w:space="0" w:color="auto"/>
              <w:left w:val="nil"/>
              <w:bottom w:val="single" w:sz="4" w:space="0" w:color="auto"/>
              <w:right w:val="nil"/>
            </w:tcBorders>
            <w:shd w:val="clear" w:color="auto" w:fill="auto"/>
            <w:vAlign w:val="center"/>
          </w:tcPr>
          <w:p w:rsidR="009D01D3" w:rsidRPr="00064B6E" w:rsidRDefault="009D01D3" w:rsidP="0020168A">
            <w:pPr>
              <w:jc w:val="center"/>
              <w:rPr>
                <w:rFonts w:ascii="Calibri" w:hAnsi="Calibri" w:cs="Calibri"/>
                <w:bCs/>
                <w:color w:val="000000"/>
              </w:rPr>
            </w:pPr>
            <w:r w:rsidRPr="00064B6E">
              <w:rPr>
                <w:rFonts w:ascii="Calibri" w:hAnsi="Calibri" w:cs="Calibri"/>
                <w:bCs/>
                <w:color w:val="000000"/>
              </w:rPr>
              <w:t>N</w:t>
            </w:r>
          </w:p>
        </w:tc>
        <w:tc>
          <w:tcPr>
            <w:tcW w:w="150" w:type="pct"/>
            <w:tcBorders>
              <w:top w:val="single" w:sz="4" w:space="0" w:color="auto"/>
              <w:left w:val="nil"/>
              <w:bottom w:val="single" w:sz="4" w:space="0" w:color="auto"/>
              <w:right w:val="nil"/>
            </w:tcBorders>
            <w:vAlign w:val="center"/>
          </w:tcPr>
          <w:p w:rsidR="009D01D3" w:rsidRPr="00064B6E" w:rsidRDefault="009D01D3" w:rsidP="0020168A">
            <w:pPr>
              <w:jc w:val="center"/>
              <w:rPr>
                <w:rFonts w:ascii="Calibri" w:hAnsi="Calibri" w:cs="Calibri"/>
                <w:bCs/>
                <w:color w:val="000000"/>
              </w:rPr>
            </w:pPr>
            <w:r w:rsidRPr="00064B6E">
              <w:rPr>
                <w:rFonts w:ascii="Calibri" w:hAnsi="Calibri" w:cs="Calibri"/>
                <w:bCs/>
                <w:color w:val="000000"/>
              </w:rPr>
              <w:fldChar w:fldCharType="begin" w:fldLock="1"/>
            </w:r>
            <w:r>
              <w:rPr>
                <w:rFonts w:ascii="Calibri" w:hAnsi="Calibri" w:cs="Calibri"/>
                <w:bCs/>
                <w:color w:val="000000"/>
              </w:rPr>
              <w:instrText>ADDIN CSL_CITATION { "citationItems" : [ { "id" : "ITEM-1", "itemData" : { "abstract" : "We incorporate stochastic, density-dependent seasonal recruitment in adult Anopheles mosquito populations in a discrete-event model of Plasmodiumfalciparum ma- laria transmission and find the probabilities of parasite extinction higher than with perennial transmission. Seasonal fluctuations in vector populations act to synchronize the dynamics of infection and immunity in host populations, leading to fluctuations in parasite prevalence greater than expected solely on the basis of high- and low-season vector densities. This synchronization also biases frequencies of infection with multiple parasite phenotypes or genotypes.", "author" : [ { "dropping-particle" : "", "family" : "Mckenzie", "given" : "F Ellis", "non-dropping-particle" : "", "parse-names" : false, "suffix" : "" }, { "dropping-particle" : "", "family" : "Killeen", "given" : "Gerry F", "non-dropping-particle" : "", "parse-names" : false, "suffix" : "" }, { "dropping-particle" : "", "family" : "Beier", "given" : "John C", "non-dropping-particle" : "", "parse-names" : false, "suffix" : "" }, { "dropping-particle" : "", "family" : "Bossert", "given" : "William H", "non-dropping-particle" : "", "parse-names" : false, "suffix" : "" } ], "id" : "ITEM-1", "issue" : "10", "issued" : { "date-parts" : [ [ "2001" ] ] }, "page" : "2673-2681", "title" : "Seasonality , Parasite Diversity , and Local Extinctions in Plasmodium falciparum Malaria", "type" : "article-journal", "volume" : "82" }, "uris" : [ "http://www.mendeley.com/documents/?uuid=32889637-087c-47c3-adae-c11c8970d051" ] } ], "mendeley" : { "formattedCitation" : "(2)", "plainTextFormattedCitation" : "(2)", "previouslyFormattedCitation" : "(2)" }, "properties" : { "noteIndex" : 0 }, "schema" : "https://github.com/citation-style-language/schema/raw/master/csl-citation.json" }</w:instrText>
            </w:r>
            <w:r w:rsidRPr="00064B6E">
              <w:rPr>
                <w:rFonts w:ascii="Calibri" w:hAnsi="Calibri" w:cs="Calibri"/>
                <w:bCs/>
                <w:color w:val="000000"/>
              </w:rPr>
              <w:fldChar w:fldCharType="separate"/>
            </w:r>
            <w:r w:rsidRPr="009D01D3">
              <w:rPr>
                <w:rFonts w:ascii="Calibri" w:hAnsi="Calibri" w:cs="Calibri"/>
                <w:bCs/>
                <w:noProof/>
                <w:color w:val="000000"/>
              </w:rPr>
              <w:t>(2)</w:t>
            </w:r>
            <w:r w:rsidRPr="00064B6E">
              <w:rPr>
                <w:rFonts w:ascii="Calibri" w:hAnsi="Calibri" w:cs="Calibri"/>
                <w:bCs/>
                <w:color w:val="000000"/>
              </w:rPr>
              <w:fldChar w:fldCharType="end"/>
            </w:r>
          </w:p>
        </w:tc>
      </w:tr>
      <w:tr w:rsidR="009D01D3" w:rsidRPr="00E358A3" w:rsidTr="0020168A">
        <w:trPr>
          <w:cantSplit/>
          <w:trHeight w:val="1134"/>
        </w:trPr>
        <w:tc>
          <w:tcPr>
            <w:tcW w:w="260" w:type="pct"/>
            <w:tcBorders>
              <w:left w:val="nil"/>
              <w:bottom w:val="single" w:sz="4" w:space="0" w:color="auto"/>
              <w:right w:val="single" w:sz="4" w:space="0" w:color="auto"/>
            </w:tcBorders>
            <w:shd w:val="clear" w:color="auto" w:fill="auto"/>
            <w:vAlign w:val="center"/>
          </w:tcPr>
          <w:p w:rsidR="009D01D3" w:rsidRPr="00BE31B9" w:rsidRDefault="009D01D3" w:rsidP="0020168A">
            <w:pPr>
              <w:rPr>
                <w:rFonts w:ascii="Calibri" w:hAnsi="Calibri" w:cs="Calibri"/>
                <w:bCs/>
                <w:color w:val="000000"/>
              </w:rPr>
            </w:pPr>
          </w:p>
        </w:tc>
        <w:tc>
          <w:tcPr>
            <w:tcW w:w="360" w:type="pct"/>
            <w:tcBorders>
              <w:left w:val="single" w:sz="4" w:space="0" w:color="auto"/>
              <w:bottom w:val="single" w:sz="4" w:space="0" w:color="auto"/>
              <w:right w:val="single" w:sz="12" w:space="0" w:color="auto"/>
            </w:tcBorders>
            <w:shd w:val="clear" w:color="auto" w:fill="auto"/>
            <w:vAlign w:val="center"/>
          </w:tcPr>
          <w:p w:rsidR="009D01D3" w:rsidRPr="00064B6E" w:rsidRDefault="009D01D3" w:rsidP="0020168A">
            <w:pPr>
              <w:jc w:val="right"/>
              <w:rPr>
                <w:rFonts w:ascii="Calibri" w:hAnsi="Calibri" w:cs="Calibri"/>
                <w:bCs/>
                <w:color w:val="000000"/>
              </w:rPr>
            </w:pPr>
            <w:r>
              <w:rPr>
                <w:rFonts w:ascii="Calibri" w:hAnsi="Calibri" w:cs="Calibri"/>
                <w:bCs/>
                <w:color w:val="000000"/>
              </w:rPr>
              <w:t>McKenzie (2005)</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Pr="00064B6E" w:rsidRDefault="009D01D3" w:rsidP="0020168A">
            <w:pPr>
              <w:jc w:val="center"/>
              <w:rPr>
                <w:rFonts w:ascii="Calibri" w:hAnsi="Calibri" w:cs="Calibri"/>
                <w:bCs/>
                <w:color w:val="000000"/>
              </w:rPr>
            </w:pPr>
            <w:r>
              <w:rPr>
                <w:rFonts w:ascii="Calibri" w:hAnsi="Calibri" w:cs="Calibri"/>
                <w:bCs/>
                <w:color w:val="000000"/>
              </w:rPr>
              <w:t>Embed within-host parasite-immune system dynamic model within ABM</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bCs/>
                <w:color w:val="000000"/>
              </w:rPr>
            </w:pPr>
            <w:r>
              <w:rPr>
                <w:rFonts w:ascii="Calibri" w:hAnsi="Calibri" w:cs="Calibri"/>
                <w:bCs/>
                <w:color w:val="000000"/>
              </w:rPr>
              <w:t>H,M</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bCs/>
                <w:color w:val="000000"/>
              </w:rPr>
            </w:pPr>
            <w:r>
              <w:rPr>
                <w:rFonts w:ascii="Calibri" w:hAnsi="Calibri" w:cs="Calibri"/>
                <w:bCs/>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bCs/>
                <w:color w:val="000000"/>
              </w:rPr>
            </w:pPr>
            <w:r>
              <w:rPr>
                <w:rFonts w:ascii="Calibri" w:hAnsi="Calibri" w:cs="Calibri"/>
                <w:bCs/>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bCs/>
                <w:color w:val="000000"/>
              </w:rPr>
            </w:pPr>
            <w:r>
              <w:rPr>
                <w:rFonts w:ascii="Calibri" w:hAnsi="Calibri" w:cs="Calibri"/>
                <w:bCs/>
                <w:color w:val="000000"/>
              </w:rPr>
              <w:t>N</w:t>
            </w:r>
          </w:p>
        </w:tc>
        <w:tc>
          <w:tcPr>
            <w:tcW w:w="146"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bCs/>
                <w:color w:val="000000"/>
              </w:rPr>
            </w:pPr>
            <w:r>
              <w:rPr>
                <w:rFonts w:ascii="Calibri" w:hAnsi="Calibri" w:cs="Calibri"/>
                <w:bCs/>
                <w:color w:val="000000"/>
              </w:rPr>
              <w:t>P,C,S</w:t>
            </w:r>
          </w:p>
        </w:tc>
        <w:tc>
          <w:tcPr>
            <w:tcW w:w="773" w:type="pct"/>
            <w:tcBorders>
              <w:top w:val="single" w:sz="4" w:space="0" w:color="auto"/>
              <w:left w:val="nil"/>
              <w:bottom w:val="single" w:sz="4" w:space="0" w:color="auto"/>
              <w:right w:val="nil"/>
            </w:tcBorders>
            <w:shd w:val="clear" w:color="auto" w:fill="auto"/>
            <w:vAlign w:val="center"/>
          </w:tcPr>
          <w:p w:rsidR="009D01D3" w:rsidRPr="00457326" w:rsidRDefault="009D01D3" w:rsidP="0020168A">
            <w:pPr>
              <w:jc w:val="center"/>
              <w:rPr>
                <w:rFonts w:ascii="Calibri" w:hAnsi="Calibri" w:cs="Calibri"/>
                <w:bCs/>
                <w:color w:val="000000"/>
              </w:rPr>
            </w:pPr>
            <w:r>
              <w:rPr>
                <w:rFonts w:ascii="Calibri" w:hAnsi="Calibri" w:cs="Calibri"/>
                <w:bCs/>
                <w:color w:val="000000"/>
              </w:rPr>
              <w:t>Gametocyte decay rate, recombination rate, human population turnover, infection parameters</w:t>
            </w:r>
          </w:p>
        </w:tc>
        <w:tc>
          <w:tcPr>
            <w:tcW w:w="650" w:type="pct"/>
            <w:tcBorders>
              <w:top w:val="single" w:sz="4" w:space="0" w:color="auto"/>
              <w:left w:val="nil"/>
              <w:bottom w:val="single" w:sz="4" w:space="0" w:color="auto"/>
              <w:right w:val="nil"/>
            </w:tcBorders>
            <w:shd w:val="clear" w:color="auto" w:fill="auto"/>
            <w:vAlign w:val="center"/>
          </w:tcPr>
          <w:p w:rsidR="009D01D3" w:rsidRPr="00064B6E" w:rsidRDefault="009D01D3" w:rsidP="0020168A">
            <w:pPr>
              <w:jc w:val="center"/>
              <w:rPr>
                <w:rFonts w:ascii="Calibri" w:hAnsi="Calibri" w:cs="Calibri"/>
                <w:bCs/>
                <w:color w:val="000000"/>
              </w:rPr>
            </w:pPr>
            <w:r>
              <w:rPr>
                <w:rFonts w:ascii="Calibri" w:hAnsi="Calibri" w:cs="Calibri"/>
                <w:bCs/>
                <w:color w:val="000000"/>
              </w:rPr>
              <w:t>Frequency of establishment, time to parasite extinction</w:t>
            </w:r>
          </w:p>
        </w:tc>
        <w:tc>
          <w:tcPr>
            <w:tcW w:w="152" w:type="pct"/>
            <w:tcBorders>
              <w:top w:val="single" w:sz="4" w:space="0" w:color="auto"/>
              <w:left w:val="nil"/>
              <w:bottom w:val="single" w:sz="4" w:space="0" w:color="auto"/>
              <w:right w:val="nil"/>
            </w:tcBorders>
            <w:shd w:val="clear" w:color="auto" w:fill="auto"/>
            <w:vAlign w:val="center"/>
          </w:tcPr>
          <w:p w:rsidR="009D01D3" w:rsidRPr="00064B6E" w:rsidRDefault="009D01D3" w:rsidP="0020168A">
            <w:pPr>
              <w:jc w:val="center"/>
              <w:rPr>
                <w:rFonts w:ascii="Calibri" w:hAnsi="Calibri" w:cs="Calibri"/>
                <w:bCs/>
                <w:color w:val="000000"/>
              </w:rPr>
            </w:pPr>
            <w:r>
              <w:rPr>
                <w:rFonts w:ascii="Calibri" w:hAnsi="Calibri" w:cs="Calibri"/>
                <w:bCs/>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064B6E" w:rsidRDefault="009D01D3" w:rsidP="0020168A">
            <w:pPr>
              <w:jc w:val="center"/>
              <w:rPr>
                <w:rFonts w:ascii="Calibri" w:hAnsi="Calibri" w:cs="Calibri"/>
                <w:bCs/>
                <w:color w:val="000000"/>
              </w:rPr>
            </w:pPr>
            <w:r>
              <w:rPr>
                <w:rFonts w:ascii="Calibri" w:hAnsi="Calibri" w:cs="Calibri"/>
                <w:bCs/>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064B6E" w:rsidRDefault="009D01D3" w:rsidP="0020168A">
            <w:pPr>
              <w:jc w:val="center"/>
              <w:rPr>
                <w:rFonts w:ascii="Calibri" w:hAnsi="Calibri" w:cs="Calibri"/>
                <w:bCs/>
                <w:color w:val="000000"/>
              </w:rPr>
            </w:pPr>
            <w:r>
              <w:rPr>
                <w:rFonts w:ascii="Calibri" w:hAnsi="Calibri" w:cs="Calibri"/>
                <w:bCs/>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064B6E" w:rsidRDefault="009D01D3" w:rsidP="0020168A">
            <w:pPr>
              <w:jc w:val="center"/>
              <w:rPr>
                <w:rFonts w:ascii="Calibri" w:hAnsi="Calibri" w:cs="Calibri"/>
                <w:bCs/>
                <w:color w:val="000000"/>
              </w:rPr>
            </w:pPr>
            <w:r>
              <w:rPr>
                <w:rFonts w:ascii="Calibri" w:hAnsi="Calibri" w:cs="Calibri"/>
                <w:bCs/>
                <w:color w:val="000000"/>
              </w:rPr>
              <w:t>N</w:t>
            </w:r>
          </w:p>
        </w:tc>
        <w:tc>
          <w:tcPr>
            <w:tcW w:w="621"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bCs/>
                <w:color w:val="000000"/>
              </w:rPr>
            </w:pPr>
            <w:r>
              <w:rPr>
                <w:rFonts w:ascii="Calibri" w:hAnsi="Calibri" w:cs="Calibri"/>
                <w:bCs/>
                <w:color w:val="000000"/>
              </w:rPr>
              <w:t>Replacement of hosts within naïve individuals</w:t>
            </w:r>
          </w:p>
        </w:tc>
        <w:tc>
          <w:tcPr>
            <w:tcW w:w="150" w:type="pct"/>
            <w:tcBorders>
              <w:top w:val="single" w:sz="4" w:space="0" w:color="auto"/>
              <w:left w:val="nil"/>
              <w:bottom w:val="single" w:sz="4" w:space="0" w:color="auto"/>
              <w:right w:val="nil"/>
            </w:tcBorders>
            <w:shd w:val="clear" w:color="auto" w:fill="auto"/>
            <w:vAlign w:val="center"/>
          </w:tcPr>
          <w:p w:rsidR="009D01D3" w:rsidRPr="00064B6E" w:rsidRDefault="009D01D3" w:rsidP="0020168A">
            <w:pPr>
              <w:jc w:val="center"/>
              <w:rPr>
                <w:rFonts w:ascii="Calibri" w:hAnsi="Calibri" w:cs="Calibri"/>
                <w:bCs/>
                <w:color w:val="000000"/>
              </w:rPr>
            </w:pPr>
            <w:r>
              <w:rPr>
                <w:rFonts w:ascii="Calibri" w:hAnsi="Calibri" w:cs="Calibri"/>
                <w:bCs/>
                <w:color w:val="000000"/>
              </w:rPr>
              <w:t>N</w:t>
            </w:r>
          </w:p>
        </w:tc>
        <w:tc>
          <w:tcPr>
            <w:tcW w:w="150" w:type="pct"/>
            <w:tcBorders>
              <w:top w:val="single" w:sz="4" w:space="0" w:color="auto"/>
              <w:left w:val="nil"/>
              <w:bottom w:val="single" w:sz="4" w:space="0" w:color="auto"/>
              <w:right w:val="nil"/>
            </w:tcBorders>
            <w:vAlign w:val="center"/>
          </w:tcPr>
          <w:p w:rsidR="009D01D3" w:rsidRPr="00064B6E" w:rsidRDefault="009D01D3" w:rsidP="0020168A">
            <w:pPr>
              <w:jc w:val="center"/>
              <w:rPr>
                <w:rFonts w:ascii="Calibri" w:hAnsi="Calibri" w:cs="Calibri"/>
                <w:bCs/>
                <w:color w:val="000000"/>
              </w:rPr>
            </w:pPr>
            <w:r w:rsidRPr="00064B6E">
              <w:rPr>
                <w:rFonts w:ascii="Calibri" w:hAnsi="Calibri" w:cs="Calibri"/>
                <w:bCs/>
                <w:color w:val="000000"/>
              </w:rPr>
              <w:fldChar w:fldCharType="begin" w:fldLock="1"/>
            </w:r>
            <w:r>
              <w:rPr>
                <w:rFonts w:ascii="Calibri" w:hAnsi="Calibri" w:cs="Calibri"/>
                <w:bCs/>
                <w:color w:val="000000"/>
              </w:rPr>
              <w:instrText>ADDIN CSL_CITATION { "citationItems" : [ { "id" : "ITEM-1", "itemData" : { "DOI" : "10.1016/j.jtbi.2004.08.021", "ISBN" : "0022-5193 (Print)\\r0022-5193 (Linking)", "ISSN" : "00225193", "PMID" : "15572065", "abstract" : "The within-host and between-host dynamics of malaria are linked in myriad ways, but most obviously by gametocytes, the parasite blood forms transmissible from human to mosquito. Gametocyte dynamics depend on those of non-transmissible blood forms, which stimulate immune responses, impeding transmission as well as within-host parasite densities. These dynamics can, in turn, influence antigenic diversity and recombination between genetically distinct parasites. Here, we embed a differential-equation model of parasite-immune system interactions within each of the individual humans represented in a discrete-event model of Plasmodium falciparum transmission, and examine the effects of human population turnover, parasite antigenic diversity, recombination, and gametocyte production on the dynamics of malaria. Our results indicate that the local persistence of P. falciparum increases with turnover in the human population and antigenic diversity in the parasite, particularly in combination, and that antigenic diversity arising from meiotic recombination in the parasite has complex differential effects on the persistence of founder and progeny genotypes. We also find that reductions in the duration of individual human infectivity to mosquitoes, even if universal, produce population-level effects only if near-absolute, and that, in competition, the persistence and prevalence of parasite genotypes with gametocyte production concordant with data exceed those of genotypes with higher gametocyte production. This new, integrated approach provides a framework for investigating relationships between pathogen dynamics within an individual host and pathogen dynamics within interacting host and vector populations. \u00a9 2004 Elsevier Ltd. All rights reserved.", "author" : [ { "dropping-particle" : "", "family" : "McKenzie", "given" : "F. Ellis", "non-dropping-particle" : "", "parse-names" : false, "suffix" : "" }, { "dropping-particle" : "", "family" : "Bossert", "given" : "William H.", "non-dropping-particle" : "", "parse-names" : false, "suffix" : "" } ], "container-title" : "Journal of Theoretical Biology", "id" : "ITEM-1", "issue" : "3", "issued" : { "date-parts" : [ [ "2005" ] ] }, "page" : "411-426", "title" : "An integrated model of Plasmodium falciparum dynamics", "type" : "article-journal", "volume" : "232" }, "uris" : [ "http://www.mendeley.com/documents/?uuid=07ecb81b-3779-4cf8-8c8c-01662d1a47d5" ] } ], "mendeley" : { "formattedCitation" : "(3)", "plainTextFormattedCitation" : "(3)", "previouslyFormattedCitation" : "(3)" }, "properties" : { "noteIndex" : 0 }, "schema" : "https://github.com/citation-style-language/schema/raw/master/csl-citation.json" }</w:instrText>
            </w:r>
            <w:r w:rsidRPr="00064B6E">
              <w:rPr>
                <w:rFonts w:ascii="Calibri" w:hAnsi="Calibri" w:cs="Calibri"/>
                <w:bCs/>
                <w:color w:val="000000"/>
              </w:rPr>
              <w:fldChar w:fldCharType="separate"/>
            </w:r>
            <w:r w:rsidRPr="009D01D3">
              <w:rPr>
                <w:rFonts w:ascii="Calibri" w:hAnsi="Calibri" w:cs="Calibri"/>
                <w:bCs/>
                <w:noProof/>
                <w:color w:val="000000"/>
              </w:rPr>
              <w:t>(3)</w:t>
            </w:r>
            <w:r w:rsidRPr="00064B6E">
              <w:rPr>
                <w:rFonts w:ascii="Calibri" w:hAnsi="Calibri" w:cs="Calibri"/>
                <w:bCs/>
                <w:color w:val="000000"/>
              </w:rPr>
              <w:fldChar w:fldCharType="end"/>
            </w:r>
          </w:p>
        </w:tc>
      </w:tr>
      <w:tr w:rsidR="009D01D3" w:rsidRPr="00E358A3" w:rsidTr="0020168A">
        <w:trPr>
          <w:trHeight w:val="716"/>
        </w:trPr>
        <w:tc>
          <w:tcPr>
            <w:tcW w:w="620" w:type="pct"/>
            <w:gridSpan w:val="2"/>
            <w:tcBorders>
              <w:top w:val="single" w:sz="4" w:space="0" w:color="auto"/>
              <w:left w:val="nil"/>
              <w:bottom w:val="single" w:sz="4" w:space="0" w:color="auto"/>
              <w:right w:val="single" w:sz="12" w:space="0" w:color="auto"/>
            </w:tcBorders>
            <w:shd w:val="clear" w:color="auto" w:fill="auto"/>
            <w:vAlign w:val="center"/>
            <w:hideMark/>
          </w:tcPr>
          <w:p w:rsidR="009D01D3" w:rsidRPr="00E358A3" w:rsidRDefault="009D01D3" w:rsidP="0020168A">
            <w:pPr>
              <w:rPr>
                <w:rFonts w:ascii="Calibri" w:hAnsi="Calibri" w:cs="Calibri"/>
                <w:color w:val="000000"/>
              </w:rPr>
            </w:pPr>
            <w:r w:rsidRPr="00DC11B8">
              <w:rPr>
                <w:rFonts w:ascii="Calibri" w:hAnsi="Calibri" w:cs="Calibri"/>
                <w:color w:val="000000"/>
              </w:rPr>
              <w:lastRenderedPageBreak/>
              <w:t>Gu (2003)</w:t>
            </w:r>
          </w:p>
        </w:tc>
        <w:tc>
          <w:tcPr>
            <w:tcW w:w="674" w:type="pct"/>
            <w:tcBorders>
              <w:top w:val="single" w:sz="4" w:space="0" w:color="auto"/>
              <w:left w:val="single" w:sz="12" w:space="0" w:color="auto"/>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 xml:space="preserve">Develop object-oriented design for ABM of </w:t>
            </w:r>
            <w:r w:rsidRPr="00E358A3">
              <w:rPr>
                <w:rFonts w:ascii="Calibri" w:hAnsi="Calibri" w:cs="Calibri"/>
                <w:i/>
                <w:iCs/>
                <w:color w:val="000000"/>
              </w:rPr>
              <w:t>P. falciparum</w:t>
            </w:r>
            <w:r w:rsidRPr="00E358A3">
              <w:rPr>
                <w:rFonts w:ascii="Calibri" w:hAnsi="Calibri" w:cs="Calibri"/>
                <w:color w:val="000000"/>
              </w:rPr>
              <w:t xml:space="preserve"> malaria transmission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H,M</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46"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P,C</w:t>
            </w:r>
          </w:p>
        </w:tc>
        <w:tc>
          <w:tcPr>
            <w:tcW w:w="773"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Human biting rate (HBR)</w:t>
            </w:r>
          </w:p>
        </w:tc>
        <w:tc>
          <w:tcPr>
            <w:tcW w:w="6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Scenario-specific probability of malaria elimination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Natural immunity, population migration</w:t>
            </w:r>
          </w:p>
        </w:tc>
        <w:tc>
          <w:tcPr>
            <w:tcW w:w="1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fldChar w:fldCharType="begin" w:fldLock="1"/>
            </w:r>
            <w:r>
              <w:rPr>
                <w:rFonts w:ascii="Calibri" w:hAnsi="Calibri" w:cs="Calibri"/>
                <w:color w:val="000000"/>
              </w:rPr>
              <w:instrText>ADDIN CSL_CITATION { "citationItems" : [ { "id" : "ITEM-1", "itemData" : { "abstract" : "Individual-based models provide powerful tools to model complex interactions characterized by indivi- dual variability. This paper presents an object-oriented design for individual-based modelling of Plasmodium falciparum malaria transmission. Two kinds of objects, human and mosquito, that exhibit variability among individuals for parameters such as recovery and survival rates are defined. The model tracks the dynamics of human hosts and adult female mosquitoes individually. Immunity, modelled as a function of exposure history, is represented by reduced susceptibility and increased recovery rate. The model was calibrated using epidemiological data collected at 30 sites along the coast of Kenya. The sites were grouped into low, intermediate and high transmission based on mean daily human-biting rates. Simulation results show that malaria transmission was stable even in low transmission areas where the human-biting rate is approximately 0.5 bite per day. The model was used to examine the effect of infection control programmes that aim at interrupting transmission by reducing human-vector contact rates and implementing active case detection and drug treatment of infections. With this intervention, local elimination of malaria is likely with a probability of extinction of approximately 0.8 in low transmission areas. However, a small amount of immigration (&gt; 0.3%) by infected people into the community could prevent local extinction of the parasite. In intermediate and high transmission areas, reduction in prevalence is short-lived and the probability of local elimination is low, even at high coverage levels of the intervention.", "author" : [ { "dropping-particle" : "", "family" : "Gu", "given" : "Weidong", "non-dropping-particle" : "", "parse-names" : false, "suffix" : "" }, { "dropping-particle" : "", "family" : "Killeen", "given" : "Gerry F", "non-dropping-particle" : "", "parse-names" : false, "suffix" : "" }, { "dropping-particle" : "", "family" : "Mbogo", "given" : "Charles M", "non-dropping-particle" : "", "parse-names" : false, "suffix" : "" }, { "dropping-particle" : "", "family" : "Regens", "given" : "James L", "non-dropping-particle" : "", "parse-names" : false, "suffix" : "" }, { "dropping-particle" : "", "family" : "Githure", "given" : "John I", "non-dropping-particle" : "", "parse-names" : false, "suffix" : "" }, { "dropping-particle" : "", "family" : "Beier", "given" : "John C", "non-dropping-particle" : "", "parse-names" : false, "suffix" : "" } ], "container-title" : "Transactions of the Royal Society of Tropical Medicine and Hygeine", "id" : "ITEM-1", "issue" : "1", "issued" : { "date-parts" : [ [ "2003" ] ] }, "page" : "43-50", "title" : "An individual-based model of Plasmodium falciparum malaria transmission on the coast of Kenya", "type" : "article-journal", "volume" : "97" }, "uris" : [ "http://www.mendeley.com/documents/?uuid=9847e6a9-d238-4b4f-bfce-03d69bedd58a" ] } ], "mendeley" : { "formattedCitation" : "(4)", "plainTextFormattedCitation" : "(4)", "previouslyFormattedCitation" : "(4)" }, "properties" : { "noteIndex" : 0 }, "schema" : "https://github.com/citation-style-language/schema/raw/master/csl-citation.json" }</w:instrText>
            </w:r>
            <w:r w:rsidRPr="00E358A3">
              <w:rPr>
                <w:rFonts w:ascii="Calibri" w:hAnsi="Calibri" w:cs="Calibri"/>
                <w:color w:val="000000"/>
              </w:rPr>
              <w:fldChar w:fldCharType="separate"/>
            </w:r>
            <w:r w:rsidRPr="009D01D3">
              <w:rPr>
                <w:rFonts w:ascii="Calibri" w:hAnsi="Calibri" w:cs="Calibri"/>
                <w:noProof/>
                <w:color w:val="000000"/>
              </w:rPr>
              <w:t>(4)</w:t>
            </w:r>
            <w:r w:rsidRPr="00E358A3">
              <w:rPr>
                <w:rFonts w:ascii="Calibri" w:hAnsi="Calibri" w:cs="Calibri"/>
                <w:color w:val="000000"/>
              </w:rPr>
              <w:fldChar w:fldCharType="end"/>
            </w:r>
          </w:p>
        </w:tc>
      </w:tr>
      <w:tr w:rsidR="009D01D3" w:rsidRPr="00E358A3" w:rsidTr="0020168A">
        <w:trPr>
          <w:trHeight w:val="615"/>
        </w:trPr>
        <w:tc>
          <w:tcPr>
            <w:tcW w:w="620" w:type="pct"/>
            <w:gridSpan w:val="2"/>
            <w:tcBorders>
              <w:top w:val="single" w:sz="4" w:space="0" w:color="auto"/>
              <w:left w:val="nil"/>
              <w:right w:val="single" w:sz="12" w:space="0" w:color="auto"/>
            </w:tcBorders>
            <w:shd w:val="clear" w:color="auto" w:fill="auto"/>
            <w:vAlign w:val="center"/>
            <w:hideMark/>
          </w:tcPr>
          <w:p w:rsidR="009D01D3" w:rsidRPr="00DC11B8" w:rsidRDefault="009D01D3" w:rsidP="0020168A">
            <w:pPr>
              <w:rPr>
                <w:rFonts w:ascii="Calibri" w:hAnsi="Calibri" w:cs="Calibri"/>
                <w:color w:val="000000"/>
              </w:rPr>
            </w:pPr>
            <w:r w:rsidRPr="00DC11B8">
              <w:rPr>
                <w:rFonts w:ascii="Calibri" w:hAnsi="Calibri" w:cs="Calibri"/>
                <w:color w:val="000000"/>
              </w:rPr>
              <w:t>Gu (2009A)</w:t>
            </w:r>
          </w:p>
        </w:tc>
        <w:tc>
          <w:tcPr>
            <w:tcW w:w="674" w:type="pct"/>
            <w:tcBorders>
              <w:top w:val="single" w:sz="4" w:space="0" w:color="auto"/>
              <w:left w:val="single" w:sz="12" w:space="0" w:color="auto"/>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Create guidelines for programs of environmental management by larval source reduction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H,M</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46"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P</w:t>
            </w:r>
          </w:p>
        </w:tc>
        <w:tc>
          <w:tcPr>
            <w:tcW w:w="773"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None</w:t>
            </w:r>
          </w:p>
        </w:tc>
        <w:tc>
          <w:tcPr>
            <w:tcW w:w="6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Total mosquito abundance, HBR, entomological inoculation rate (EIR), malaria incidence and prevalence</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Pr>
                <w:rFonts w:ascii="Calibri" w:hAnsi="Calibri" w:cs="Calibri"/>
                <w:color w:val="000000"/>
              </w:rPr>
              <w:t>Various village housing layouts</w:t>
            </w:r>
          </w:p>
        </w:tc>
        <w:tc>
          <w:tcPr>
            <w:tcW w:w="1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fldChar w:fldCharType="begin" w:fldLock="1"/>
            </w:r>
            <w:r>
              <w:rPr>
                <w:rFonts w:ascii="Calibri" w:hAnsi="Calibri" w:cs="Calibri"/>
                <w:color w:val="000000"/>
              </w:rPr>
              <w:instrText>ADDIN CSL_CITATION { "citationItems" : [ { "id" : "ITEM-1", "itemData" : { "DOI" : "10.1016/j.trstmh.2009.01.006.Agent-based", "ISSN" : "00071447", "abstract" : "Traditional environmental management programmes require extensive coverage of larval habitats to reduce drastically the emergence of adult mosquitoes. Recent studies have highlighted the impact of reduced availability of aquatic habitats on mosquito foraging for hosts and oviposition sites. In this study, we developed an agent-based model to track the status and movement of mosquitoes individually. Mosquito foraging was represented as a two-stage process: random flight when the resource was not within the mosquito\u2019s perception range and directional flight to the resource when it was detected. Three scenarios of targeted source reduction were devised to eliminate all aquatic habitats within certain distances of human habitations. For comparison, three conventional source reductions randomly eliminated the same numbers of aquatic habitats as their corresponding targeted scenarios. Our results show that the elimination of habitats within 100 m, 200 m and 300 m of surrounding houses resulted in 13%, 91% and 94% reductions in malaria incidence, respectively; compared with \u22123%, 19% and 44%, respectively, for the corresponding conventional interventions. These findings indicate that source reduction might not require coverage of extensive areas, as previously thought, and that the distance to human habitations can be used for habitat targeting.", "author" : [ { "dropping-particle" : "", "family" : "Gu", "given" : "Weidong", "non-dropping-particle" : "", "parse-names" : false, "suffix" : "" }, { "dropping-particle" : "", "family" : "Novak", "given" : "Robert J", "non-dropping-particle" : "", "parse-names" : false, "suffix" : "" } ], "container-title" : "Transactions of the Royal Society of Tropical Medicine and Hygeine", "id" : "ITEM-1", "issue" : "11", "issued" : { "date-parts" : [ [ "2009" ] ] }, "page" : "1105-1118", "title" : "Agent-based modelling of mosquito foraging behaviour for malaria control", "type" : "article-journal", "volume" : "103" }, "uris" : [ "http://www.mendeley.com/documents/?uuid=6103f57c-dd62-4596-946c-9ad4759547c1" ] } ], "mendeley" : { "formattedCitation" : "(5)", "plainTextFormattedCitation" : "(5)", "previouslyFormattedCitation" : "(5)" }, "properties" : { "noteIndex" : 0 }, "schema" : "https://github.com/citation-style-language/schema/raw/master/csl-citation.json" }</w:instrText>
            </w:r>
            <w:r w:rsidRPr="00E358A3">
              <w:rPr>
                <w:rFonts w:ascii="Calibri" w:hAnsi="Calibri" w:cs="Calibri"/>
                <w:color w:val="000000"/>
              </w:rPr>
              <w:fldChar w:fldCharType="separate"/>
            </w:r>
            <w:r w:rsidRPr="009D01D3">
              <w:rPr>
                <w:rFonts w:ascii="Calibri" w:hAnsi="Calibri" w:cs="Calibri"/>
                <w:noProof/>
                <w:color w:val="000000"/>
              </w:rPr>
              <w:t>(5)</w:t>
            </w:r>
            <w:r w:rsidRPr="00E358A3">
              <w:rPr>
                <w:rFonts w:ascii="Calibri" w:hAnsi="Calibri" w:cs="Calibri"/>
                <w:color w:val="000000"/>
              </w:rPr>
              <w:fldChar w:fldCharType="end"/>
            </w:r>
          </w:p>
        </w:tc>
      </w:tr>
      <w:tr w:rsidR="009D01D3" w:rsidRPr="00E358A3" w:rsidTr="0020168A">
        <w:trPr>
          <w:trHeight w:val="780"/>
        </w:trPr>
        <w:tc>
          <w:tcPr>
            <w:tcW w:w="260" w:type="pct"/>
            <w:tcBorders>
              <w:top w:val="nil"/>
              <w:left w:val="nil"/>
              <w:bottom w:val="single" w:sz="4" w:space="0" w:color="auto"/>
              <w:right w:val="single" w:sz="4" w:space="0" w:color="auto"/>
            </w:tcBorders>
            <w:shd w:val="clear" w:color="auto" w:fill="auto"/>
            <w:vAlign w:val="center"/>
            <w:hideMark/>
          </w:tcPr>
          <w:p w:rsidR="009D01D3" w:rsidRPr="00DC11B8" w:rsidRDefault="009D01D3" w:rsidP="0020168A">
            <w:pPr>
              <w:rPr>
                <w:rFonts w:ascii="Calibri" w:hAnsi="Calibri" w:cs="Calibri"/>
                <w:color w:val="000000"/>
              </w:rPr>
            </w:pPr>
          </w:p>
        </w:tc>
        <w:tc>
          <w:tcPr>
            <w:tcW w:w="360" w:type="pct"/>
            <w:tcBorders>
              <w:top w:val="nil"/>
              <w:left w:val="single" w:sz="4" w:space="0" w:color="auto"/>
              <w:bottom w:val="single" w:sz="4" w:space="0" w:color="auto"/>
              <w:right w:val="single" w:sz="12" w:space="0" w:color="auto"/>
            </w:tcBorders>
            <w:shd w:val="clear" w:color="auto" w:fill="auto"/>
            <w:vAlign w:val="center"/>
            <w:hideMark/>
          </w:tcPr>
          <w:p w:rsidR="009D01D3" w:rsidRPr="00DC11B8" w:rsidRDefault="009D01D3" w:rsidP="0020168A">
            <w:pPr>
              <w:jc w:val="right"/>
              <w:rPr>
                <w:rFonts w:ascii="Calibri" w:hAnsi="Calibri" w:cs="Calibri"/>
                <w:color w:val="000000"/>
              </w:rPr>
            </w:pPr>
            <w:r w:rsidRPr="00DC11B8">
              <w:rPr>
                <w:rFonts w:ascii="Calibri" w:hAnsi="Calibri" w:cs="Calibri"/>
                <w:color w:val="000000"/>
              </w:rPr>
              <w:t>Gu (2009B)</w:t>
            </w:r>
          </w:p>
        </w:tc>
        <w:tc>
          <w:tcPr>
            <w:tcW w:w="674" w:type="pct"/>
            <w:tcBorders>
              <w:top w:val="single" w:sz="4" w:space="0" w:color="auto"/>
              <w:left w:val="single" w:sz="12" w:space="0" w:color="auto"/>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Assess effects of</w:t>
            </w:r>
            <w:r>
              <w:rPr>
                <w:rFonts w:ascii="Calibri" w:hAnsi="Calibri" w:cs="Calibri"/>
                <w:color w:val="000000"/>
              </w:rPr>
              <w:t xml:space="preserve"> insecticide treated nets</w:t>
            </w:r>
            <w:r w:rsidRPr="00E358A3">
              <w:rPr>
                <w:rFonts w:ascii="Calibri" w:hAnsi="Calibri" w:cs="Calibri"/>
                <w:color w:val="000000"/>
              </w:rPr>
              <w:t xml:space="preserve"> </w:t>
            </w:r>
            <w:r>
              <w:rPr>
                <w:rFonts w:ascii="Calibri" w:hAnsi="Calibri" w:cs="Calibri"/>
                <w:color w:val="000000"/>
              </w:rPr>
              <w:t>(</w:t>
            </w:r>
            <w:r w:rsidRPr="00E358A3">
              <w:rPr>
                <w:rFonts w:ascii="Calibri" w:hAnsi="Calibri" w:cs="Calibri"/>
                <w:color w:val="000000"/>
              </w:rPr>
              <w:t>ITNs</w:t>
            </w:r>
            <w:r>
              <w:rPr>
                <w:rFonts w:ascii="Calibri" w:hAnsi="Calibri" w:cs="Calibri"/>
                <w:color w:val="000000"/>
              </w:rPr>
              <w:t>)</w:t>
            </w:r>
            <w:r w:rsidRPr="00E358A3">
              <w:rPr>
                <w:rFonts w:ascii="Calibri" w:hAnsi="Calibri" w:cs="Calibri"/>
                <w:color w:val="000000"/>
              </w:rPr>
              <w:t xml:space="preserve"> on malaria transmission </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H,M</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46"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P,S</w:t>
            </w:r>
          </w:p>
        </w:tc>
        <w:tc>
          <w:tcPr>
            <w:tcW w:w="773"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Outcome parameters</w:t>
            </w:r>
          </w:p>
        </w:tc>
        <w:tc>
          <w:tcPr>
            <w:tcW w:w="650" w:type="pct"/>
            <w:tcBorders>
              <w:top w:val="single" w:sz="4" w:space="0" w:color="auto"/>
              <w:left w:val="nil"/>
              <w:bottom w:val="single" w:sz="4" w:space="0" w:color="auto"/>
              <w:right w:val="nil"/>
            </w:tcBorders>
            <w:shd w:val="clear" w:color="auto" w:fill="auto"/>
            <w:vAlign w:val="center"/>
            <w:hideMark/>
          </w:tcPr>
          <w:p w:rsidR="009D01D3" w:rsidRPr="00C45088" w:rsidRDefault="009D01D3" w:rsidP="0020168A">
            <w:pPr>
              <w:jc w:val="center"/>
              <w:rPr>
                <w:rFonts w:ascii="Calibri" w:hAnsi="Calibri" w:cs="Calibri"/>
                <w:color w:val="000000"/>
                <w:lang w:val="pt-PT"/>
              </w:rPr>
            </w:pPr>
            <w:r w:rsidRPr="00C45088">
              <w:rPr>
                <w:rFonts w:ascii="Calibri" w:hAnsi="Calibri" w:cs="Calibri"/>
                <w:color w:val="000000"/>
                <w:lang w:val="pt-PT"/>
              </w:rPr>
              <w:t>Mosquito populations, EIR, malaria incidence</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Pr>
                <w:rFonts w:ascii="Calibri" w:hAnsi="Calibri" w:cs="Calibri"/>
                <w:color w:val="000000"/>
              </w:rPr>
              <w:t>Various village housing layouts</w:t>
            </w:r>
          </w:p>
        </w:tc>
        <w:tc>
          <w:tcPr>
            <w:tcW w:w="1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fldChar w:fldCharType="begin" w:fldLock="1"/>
            </w:r>
            <w:r>
              <w:rPr>
                <w:rFonts w:ascii="Calibri" w:hAnsi="Calibri" w:cs="Calibri"/>
                <w:color w:val="000000"/>
              </w:rPr>
              <w:instrText>ADDIN CSL_CITATION { "citationItems" : [ { "id" : "ITEM-1", "itemData" : { "DOI" : "10.1186/1475-2875-8-256", "ISBN" : "1475-2875 (Electronic)", "ISSN" : "1475-2875", "PMID" : "19917119", "abstract" : "BACKGROUND: Insecticide-treated bed nets (ITNs), including long-lasting insecticidal nets (LLINs), play a primary role in global campaigns to roll back malaria in tropical Africa. Effectiveness of treated nets depends on direct impacts on individual mosquitoes including killing and excite-repellency, which vary considerably among vector species due to variations in host-seeking behaviours. While monitoring and evaluation programmes of ITNs have focuses on morbidity and all-cause mortality in humans, local entomological context receives little attention. Without knowing the dynamics of local vector species and their responses to treated nets, it is difficult to predict clinical outcomes when ITN applications are scaled up across African continent. Sound model frameworks incorporating intricate interactions between mosquitoes and treated nets are needed to develop the predictive capacity for scale-up applications of ITNs. METHODS: An established agent-based model was extended to incorporate the direct outcomes, e.g. killing and avoidance, of individual mosquitoes exposing to ITNs in a hypothetical village setting with 50 houses and 90 aquatic habitats. Individual mosquitoes were tracked throughout the life cycle across the landscape. Four levels of coverage, i.e. 40, 60, 80 and 100%, were applied at the household level with treated houses having only one bed net. By using Latin hypercube sampling scheme, parameters governing killing, diverting and personal protection of net users were evaluated for their relative roles in containing mosquito populations, entomological inoculation rates (EIRs) and malaria incidence. RESULTS: There were substantial gaps in coverage between households and individual persons, and 100% household coverage resulted in circa 50% coverage of the population. The results show that applications of ITNs could give rise to varying impacts on population-level metrics depending on values of parameters governing interactions of mosquitoes and treated nets at the individual level. The most significant factor in determining effectiveness was killing capability of treated nets. Strong excito-repellent effect of impregnated nets might lead to higher risk exposure to non-bed net users. CONCLUSION: With variabilities of vector mosquitoes in host-seeking behaviours and the responses to treated nets, it is anticipated that scale-up applications of INTs might produce varying degrees of success dependent on local entomological and epidemiological c\u2026", "author" : [ { "dropping-particle" : "", "family" : "Gu", "given" : "Weidong", "non-dropping-particle" : "", "parse-names" : false, "suffix" : "" }, { "dropping-particle" : "", "family" : "Novak", "given" : "Robert J", "non-dropping-particle" : "", "parse-names" : false, "suffix" : "" } ], "container-title" : "Malaria Journal", "id" : "ITEM-1", "issue" : "1", "issued" : { "date-parts" : [ [ "2009" ] ] }, "page" : "256-265", "title" : "Predicting the impact of insecticide-treated bed nets on malaria transmission: the devil is in the detail", "type" : "article-journal", "volume" : "8" }, "uris" : [ "http://www.mendeley.com/documents/?uuid=3eadbc6e-2836-42ad-a432-378dee9cbd9a" ] } ], "mendeley" : { "formattedCitation" : "(6)", "plainTextFormattedCitation" : "(6)", "previouslyFormattedCitation" : "(6)" }, "properties" : { "noteIndex" : 0 }, "schema" : "https://github.com/citation-style-language/schema/raw/master/csl-citation.json" }</w:instrText>
            </w:r>
            <w:r w:rsidRPr="00E358A3">
              <w:rPr>
                <w:rFonts w:ascii="Calibri" w:hAnsi="Calibri" w:cs="Calibri"/>
                <w:color w:val="000000"/>
              </w:rPr>
              <w:fldChar w:fldCharType="separate"/>
            </w:r>
            <w:r w:rsidRPr="009D01D3">
              <w:rPr>
                <w:rFonts w:ascii="Calibri" w:hAnsi="Calibri" w:cs="Calibri"/>
                <w:noProof/>
                <w:color w:val="000000"/>
              </w:rPr>
              <w:t>(6)</w:t>
            </w:r>
            <w:r w:rsidRPr="00E358A3">
              <w:rPr>
                <w:rFonts w:ascii="Calibri" w:hAnsi="Calibri" w:cs="Calibri"/>
                <w:color w:val="000000"/>
              </w:rPr>
              <w:fldChar w:fldCharType="end"/>
            </w:r>
          </w:p>
        </w:tc>
      </w:tr>
      <w:tr w:rsidR="009D01D3" w:rsidRPr="00E358A3" w:rsidTr="0020168A">
        <w:trPr>
          <w:trHeight w:val="671"/>
        </w:trPr>
        <w:tc>
          <w:tcPr>
            <w:tcW w:w="620" w:type="pct"/>
            <w:gridSpan w:val="2"/>
            <w:tcBorders>
              <w:top w:val="single" w:sz="4" w:space="0" w:color="auto"/>
              <w:left w:val="nil"/>
              <w:bottom w:val="single" w:sz="4" w:space="0" w:color="auto"/>
              <w:right w:val="single" w:sz="12" w:space="0" w:color="auto"/>
            </w:tcBorders>
            <w:shd w:val="clear" w:color="auto" w:fill="auto"/>
            <w:vAlign w:val="center"/>
            <w:hideMark/>
          </w:tcPr>
          <w:p w:rsidR="009D01D3" w:rsidRPr="00DC11B8" w:rsidRDefault="009D01D3" w:rsidP="0020168A">
            <w:pPr>
              <w:rPr>
                <w:rFonts w:ascii="Calibri" w:hAnsi="Calibri" w:cs="Calibri"/>
                <w:color w:val="000000"/>
              </w:rPr>
            </w:pPr>
            <w:r w:rsidRPr="00DC11B8">
              <w:rPr>
                <w:rFonts w:ascii="Calibri" w:hAnsi="Calibri" w:cs="Calibri"/>
                <w:color w:val="000000"/>
              </w:rPr>
              <w:t>Depinay (2004)</w:t>
            </w:r>
          </w:p>
        </w:tc>
        <w:tc>
          <w:tcPr>
            <w:tcW w:w="674" w:type="pct"/>
            <w:tcBorders>
              <w:top w:val="single" w:sz="4" w:space="0" w:color="auto"/>
              <w:left w:val="single" w:sz="12" w:space="0" w:color="auto"/>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 xml:space="preserve">Create spatial ABM of </w:t>
            </w:r>
            <w:r w:rsidRPr="00E358A3">
              <w:rPr>
                <w:rFonts w:ascii="Calibri" w:hAnsi="Calibri" w:cs="Calibri"/>
                <w:i/>
                <w:iCs/>
                <w:color w:val="000000"/>
              </w:rPr>
              <w:t xml:space="preserve">Anopheles </w:t>
            </w:r>
            <w:r w:rsidRPr="00E358A3">
              <w:rPr>
                <w:rFonts w:ascii="Calibri" w:hAnsi="Calibri" w:cs="Calibri"/>
                <w:color w:val="000000"/>
              </w:rPr>
              <w:t>life cycle incorporating biological and environmental factors, present usefulness of model in hypothetical simulation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H,M</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46"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P,C,S</w:t>
            </w:r>
          </w:p>
        </w:tc>
        <w:tc>
          <w:tcPr>
            <w:tcW w:w="773"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Temperature, moisture, number of water pools</w:t>
            </w:r>
          </w:p>
        </w:tc>
        <w:tc>
          <w:tcPr>
            <w:tcW w:w="6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Number of mosquitoes</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r w:rsidRPr="00E358A3">
              <w:rPr>
                <w:rFonts w:ascii="Calibri" w:hAnsi="Calibri" w:cs="Calibri"/>
                <w:color w:val="000000"/>
                <w:vertAlign w:val="superscript"/>
              </w:rPr>
              <w:t>**</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 xml:space="preserve">Adult aestivation, predators and pathogens of </w:t>
            </w:r>
            <w:r w:rsidRPr="00E358A3">
              <w:rPr>
                <w:rFonts w:ascii="Calibri" w:hAnsi="Calibri" w:cs="Calibri"/>
                <w:i/>
                <w:iCs/>
                <w:color w:val="000000"/>
              </w:rPr>
              <w:t xml:space="preserve">Anopheles </w:t>
            </w:r>
            <w:r w:rsidRPr="00E358A3">
              <w:rPr>
                <w:rFonts w:ascii="Calibri" w:hAnsi="Calibri" w:cs="Calibri"/>
                <w:color w:val="000000"/>
              </w:rPr>
              <w:t>mosquitoes</w:t>
            </w:r>
          </w:p>
        </w:tc>
        <w:tc>
          <w:tcPr>
            <w:tcW w:w="1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fldChar w:fldCharType="begin" w:fldLock="1"/>
            </w:r>
            <w:r>
              <w:rPr>
                <w:rFonts w:ascii="Calibri" w:hAnsi="Calibri" w:cs="Calibri"/>
                <w:color w:val="000000"/>
              </w:rPr>
              <w:instrText>ADDIN CSL_CITATION { "citationItems" : [ { "id" : "ITEM-1", "itemData" : { "DOI" : "10.1186/1475-2875-3-29", "ISBN" : "1475-2875", "ISSN" : "1475-2875", "PMID" : "15285781", "abstract" : "Background: Malaria is one of the oldest and deadliest infectious diseases in humans. Many mathematical models of malaria have been developed during the past century, and applied to potential interventions. However, malaria remains uncontrolled and is increasing in many areas, as are vector and parasite resistance to insecticides and drugs. Methods: This study presents a simulation model of African malaria vectors. This individual-based model incorporates current knowledge of the mechanisms underlying Anopheles population dynamics and their relations to the environment. One of its main strengths is that it is based on both biological and environmental variables. Results: The model made it possible to structure existing knowledge, assembled in a comprehensive review of the literature, and also pointed out important aspects of basic Anopheles biology about which knowledge is lacking. One simulation showed several patterns similar to those seen in the field, and made it possible to examine different analyses and hypotheses for these patterns; sensitivity analyses on temperature, moisture, predation and preliminary investigations of nutrient competition were also conducted. Conclusions: Although based on some mathematical formulae and parameters, this new tool has been developed in order to be as explicit as possible, transparent in use, close to reality and amenable to direct use by field workers. It allows a better understanding of the mechanisms underlying Anopheles population dynamics in general and also a better understanding of the dynamics in specific local geographic environments. It points out many important areas for new investigations that will be critical to effective, efficient, sustainable interventions.", "author" : [ { "dropping-particle" : "", "family" : "Depinay", "given" : "Jean-Marc O", "non-dropping-particle" : "", "parse-names" : false, "suffix" : "" }, { "dropping-particle" : "", "family" : "Mbogo", "given" : "Charles M", "non-dropping-particle" : "", "parse-names" : false, "suffix" : "" }, { "dropping-particle" : "", "family" : "Killeen", "given" : "Gerry", "non-dropping-particle" : "", "parse-names" : false, "suffix" : "" }, { "dropping-particle" : "", "family" : "Knols", "given" : "Bart", "non-dropping-particle" : "", "parse-names" : false, "suffix" : "" }, { "dropping-particle" : "", "family" : "Beier", "given" : "John", "non-dropping-particle" : "", "parse-names" : false, "suffix" : "" }, { "dropping-particle" : "", "family" : "Carlson", "given" : "John", "non-dropping-particle" : "", "parse-names" : false, "suffix" : "" }, { "dropping-particle" : "", "family" : "Dushoff", "given" : "Jonathan", "non-dropping-particle" : "", "parse-names" : false, "suffix" : "" }, { "dropping-particle" : "", "family" : "Billingsley", "given" : "Peter", "non-dropping-particle" : "", "parse-names" : false, "suffix" : "" }, { "dropping-particle" : "", "family" : "Mwambi", "given" : "Henry", "non-dropping-particle" : "", "parse-names" : false, "suffix" : "" }, { "dropping-particle" : "", "family" : "Githure", "given" : "John", "non-dropping-particle" : "", "parse-names" : false, "suffix" : "" }, { "dropping-particle" : "", "family" : "Toure", "given" : "Abdoulaye M", "non-dropping-particle" : "", "parse-names" : false, "suffix" : "" }, { "dropping-particle" : "", "family" : "McKenzie", "given" : "F Ellis", "non-dropping-particle" : "", "parse-names" : false, "suffix" : "" } ], "container-title" : "Malaria Journal", "id" : "ITEM-1", "issue" : "1", "issued" : { "date-parts" : [ [ "2004" ] ] }, "page" : "29-49", "title" : "A simulation model of African Anopheles ecology and population dynamics for the analysis of malaria transmission", "type" : "article-journal", "volume" : "3" }, "uris" : [ "http://www.mendeley.com/documents/?uuid=340fa488-4747-4302-bd3e-c9ee31fd83fe" ] } ], "mendeley" : { "formattedCitation" : "(7)", "plainTextFormattedCitation" : "(7)", "previouslyFormattedCitation" : "(7)" }, "properties" : { "noteIndex" : 0 }, "schema" : "https://github.com/citation-style-language/schema/raw/master/csl-citation.json" }</w:instrText>
            </w:r>
            <w:r w:rsidRPr="00E358A3">
              <w:rPr>
                <w:rFonts w:ascii="Calibri" w:hAnsi="Calibri" w:cs="Calibri"/>
                <w:color w:val="000000"/>
              </w:rPr>
              <w:fldChar w:fldCharType="separate"/>
            </w:r>
            <w:r w:rsidRPr="009D01D3">
              <w:rPr>
                <w:rFonts w:ascii="Calibri" w:hAnsi="Calibri" w:cs="Calibri"/>
                <w:noProof/>
                <w:color w:val="000000"/>
              </w:rPr>
              <w:t>(7)</w:t>
            </w:r>
            <w:r w:rsidRPr="00E358A3">
              <w:rPr>
                <w:rFonts w:ascii="Calibri" w:hAnsi="Calibri" w:cs="Calibri"/>
                <w:color w:val="000000"/>
              </w:rPr>
              <w:fldChar w:fldCharType="end"/>
            </w:r>
          </w:p>
        </w:tc>
      </w:tr>
      <w:tr w:rsidR="009D01D3" w:rsidRPr="00E358A3" w:rsidTr="0020168A">
        <w:trPr>
          <w:trHeight w:val="42"/>
        </w:trPr>
        <w:tc>
          <w:tcPr>
            <w:tcW w:w="620" w:type="pct"/>
            <w:gridSpan w:val="2"/>
            <w:tcBorders>
              <w:top w:val="single" w:sz="4" w:space="0" w:color="auto"/>
              <w:left w:val="nil"/>
              <w:right w:val="single" w:sz="12" w:space="0" w:color="auto"/>
            </w:tcBorders>
            <w:shd w:val="clear" w:color="auto" w:fill="auto"/>
            <w:vAlign w:val="center"/>
            <w:hideMark/>
          </w:tcPr>
          <w:p w:rsidR="009D01D3" w:rsidRPr="00E358A3" w:rsidRDefault="009D01D3" w:rsidP="0020168A">
            <w:pPr>
              <w:rPr>
                <w:rFonts w:ascii="Calibri" w:hAnsi="Calibri" w:cs="Calibri"/>
                <w:color w:val="000000"/>
              </w:rPr>
            </w:pPr>
            <w:r w:rsidRPr="00E358A3">
              <w:rPr>
                <w:rFonts w:ascii="Calibri" w:hAnsi="Calibri" w:cs="Calibri"/>
                <w:color w:val="000000"/>
              </w:rPr>
              <w:t>Molineaux (2001)</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46"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773"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6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621"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Pr>
                <w:rFonts w:ascii="Calibri" w:hAnsi="Calibri" w:cs="Calibri"/>
                <w:color w:val="000000"/>
              </w:rPr>
              <w:fldChar w:fldCharType="begin" w:fldLock="1"/>
            </w:r>
            <w:r>
              <w:rPr>
                <w:rFonts w:ascii="Calibri" w:hAnsi="Calibri" w:cs="Calibri"/>
                <w:color w:val="000000"/>
              </w:rPr>
              <w:instrText>ADDIN CSL_CITATION { "citationItems" : [ { "id" : "ITEM-1", "itemData" : { "DOI" : "10.1017/S0031182001007533", "ISBN" : "0031-1820 (Print)\\r0031-1820 (Linking)", "ISSN" : "0031-1820", "PMID" : "11315171", "abstract" : "A new mathematical model of Plasmodium falciparum asexual parasitaemia is formulated and fitted to 35 malaria therapy cases making a spontaneous recovery after primary inoculation. Observed and simulated case-histories are compared with respect to 9 descriptive statistics. The simulated courses of parasitaemia are more realistic than any previously published. The model uses a discrete time-step of 2 days. Its realistic behaviour was achieved by the following combination of features (i) intra-clonal antigenic variation, (ii) large variations of the variants' baseline growth rate, depending on both variant and case, (iii) innate autoregulation of the asexual parasite density, variable among cases, (iv) acquired variant-specific immunity and (v) acquired variant-transcending immunity, variable among cases. Aspects of the model's internal behaviour, concerning variant dynamics, as well as the respective contributions of the three control mechanisms (iii) - (v), are displayed. Some implications for pathogenesis and control are discussed.", "author" : [ { "dropping-particle" : "", "family" : "Molineaux", "given" : "L", "non-dropping-particle" : "", "parse-names" : false, "suffix" : "" }, { "dropping-particle" : "", "family" : "Diebner", "given" : "H H", "non-dropping-particle" : "", "parse-names" : false, "suffix" : "" }, { "dropping-particle" : "", "family" : "Eichner", "given" : "M", "non-dropping-particle" : "", "parse-names" : false, "suffix" : "" }, { "dropping-particle" : "", "family" : "Collins", "given" : "W E", "non-dropping-particle" : "", "parse-names" : false, "suffix" : "" }, { "dropping-particle" : "", "family" : "Jeffery", "given" : "G M", "non-dropping-particle" : "", "parse-names" : false, "suffix" : "" }, { "dropping-particle" : "", "family" : "Dietz", "given" : "K", "non-dropping-particle" : "", "parse-names" : false, "suffix" : "" } ], "container-title" : "Parasitology", "id" : "ITEM-1", "issue" : "Pt 4", "issued" : { "date-parts" : [ [ "2001" ] ] }, "page" : "379-391", "title" : "Plasmodium falciparum parasitaemia described by a new mathematical model", "type" : "article-journal", "volume" : "122" }, "uris" : [ "http://www.mendeley.com/documents/?uuid=e56cbd87-289d-44a8-aa0d-2f4feadcd990" ] } ], "mendeley" : { "formattedCitation" : "(8)", "plainTextFormattedCitation" : "(8)", "previouslyFormattedCitation" : "(8)" }, "properties" : { "noteIndex" : 0 }, "schema" : "https://github.com/citation-style-language/schema/raw/master/csl-citation.json" }</w:instrText>
            </w:r>
            <w:r>
              <w:rPr>
                <w:rFonts w:ascii="Calibri" w:hAnsi="Calibri" w:cs="Calibri"/>
                <w:color w:val="000000"/>
              </w:rPr>
              <w:fldChar w:fldCharType="separate"/>
            </w:r>
            <w:r w:rsidRPr="009D01D3">
              <w:rPr>
                <w:rFonts w:ascii="Calibri" w:hAnsi="Calibri" w:cs="Calibri"/>
                <w:noProof/>
                <w:color w:val="000000"/>
              </w:rPr>
              <w:t>(8)</w:t>
            </w:r>
            <w:r>
              <w:rPr>
                <w:rFonts w:ascii="Calibri" w:hAnsi="Calibri" w:cs="Calibri"/>
                <w:color w:val="000000"/>
              </w:rPr>
              <w:fldChar w:fldCharType="end"/>
            </w:r>
          </w:p>
        </w:tc>
      </w:tr>
      <w:tr w:rsidR="009D01D3" w:rsidRPr="00E358A3" w:rsidTr="0020168A">
        <w:trPr>
          <w:trHeight w:val="910"/>
        </w:trPr>
        <w:tc>
          <w:tcPr>
            <w:tcW w:w="260" w:type="pct"/>
            <w:tcBorders>
              <w:top w:val="nil"/>
              <w:left w:val="nil"/>
              <w:bottom w:val="single" w:sz="4" w:space="0" w:color="auto"/>
              <w:right w:val="single" w:sz="4" w:space="0" w:color="auto"/>
            </w:tcBorders>
            <w:shd w:val="clear" w:color="auto" w:fill="auto"/>
            <w:vAlign w:val="center"/>
            <w:hideMark/>
          </w:tcPr>
          <w:p w:rsidR="009D01D3" w:rsidRPr="00E358A3" w:rsidRDefault="009D01D3" w:rsidP="0020168A"/>
        </w:tc>
        <w:tc>
          <w:tcPr>
            <w:tcW w:w="360" w:type="pct"/>
            <w:tcBorders>
              <w:top w:val="nil"/>
              <w:left w:val="single" w:sz="4" w:space="0" w:color="auto"/>
              <w:bottom w:val="single" w:sz="4" w:space="0" w:color="auto"/>
              <w:right w:val="single" w:sz="12" w:space="0" w:color="auto"/>
            </w:tcBorders>
            <w:shd w:val="clear" w:color="auto" w:fill="auto"/>
            <w:vAlign w:val="center"/>
            <w:hideMark/>
          </w:tcPr>
          <w:p w:rsidR="009D01D3" w:rsidRPr="001631E2" w:rsidRDefault="009D01D3" w:rsidP="0020168A">
            <w:pPr>
              <w:jc w:val="right"/>
              <w:rPr>
                <w:rFonts w:ascii="Calibri" w:hAnsi="Calibri" w:cs="Calibri"/>
                <w:color w:val="000000"/>
              </w:rPr>
            </w:pPr>
            <w:r w:rsidRPr="00DC11B8">
              <w:rPr>
                <w:rFonts w:ascii="Calibri" w:hAnsi="Calibri" w:cs="Calibri"/>
                <w:color w:val="000000"/>
              </w:rPr>
              <w:t>Dietz (2006)</w:t>
            </w:r>
          </w:p>
        </w:tc>
        <w:tc>
          <w:tcPr>
            <w:tcW w:w="674" w:type="pct"/>
            <w:tcBorders>
              <w:top w:val="single" w:sz="4" w:space="0" w:color="auto"/>
              <w:left w:val="single" w:sz="12" w:space="0" w:color="auto"/>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Calibrate model of first wave of parasitaemia, estimate vaccine efficacy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H</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46"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C</w:t>
            </w:r>
          </w:p>
        </w:tc>
        <w:tc>
          <w:tcPr>
            <w:tcW w:w="773"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Asexual parasite densities, immune parameters</w:t>
            </w:r>
          </w:p>
        </w:tc>
        <w:tc>
          <w:tcPr>
            <w:tcW w:w="6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Vaccine efficacy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Immune responses</w:t>
            </w:r>
          </w:p>
        </w:tc>
        <w:tc>
          <w:tcPr>
            <w:tcW w:w="1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fldChar w:fldCharType="begin" w:fldLock="1"/>
            </w:r>
            <w:r>
              <w:rPr>
                <w:rFonts w:ascii="Calibri" w:hAnsi="Calibri" w:cs="Calibri"/>
                <w:color w:val="000000"/>
              </w:rPr>
              <w:instrText>ADDIN CSL_CITATION { "citationItems" : [ { "id" : "ITEM-1", "itemData" : { "DOI" : "75/2_suppl/46 [pii]", "ISBN" : "0002-9637 (Print)\\r0002-9637 (Linking)", "ISSN" : "00029637", "PMID" : "16931815", "abstract" : "We present a dynamic model of the highly pathogenic first wave of Plasmodium falciparum asexual parasitemia in non-immune persons. The model was successfully fitted to malaria therapy data. This required four case-specific parameters: the basic two-day multiplication factor, the time of onset of adaptive immunity, and the effective dose 50 densities for the innate and adaptive immune responses, respectively. All four parameters show large case-dependent variation that is mainly attributable to host factors. According to the model, the maximum value of the first wave is controlled mainly by the innate immune response. We used the model to explore the expected effects of vaccines targeting the parasite's asexual blood stages on the basis of what we consider to be the biologically most plausible assumptions concerning the parameter modifications induced by vaccination. According to our simulations, the benefit of antiparasitic vaccination is strongly host dependent and vaccine efficacy at low immunogenicity is much larger against severe disease than against fever. This has implications for the early testing of the protective efficacy of a vaccine in humans.", "author" : [ { "dropping-particle" : "", "family" : "Dietz", "given" : "Klaus", "non-dropping-particle" : "", "parse-names" : false, "suffix" : "" }, { "dropping-particle" : "", "family" : "Raddatz", "given" : "G\u00fcnter", "non-dropping-particle" : "", "parse-names" : false, "suffix" : "" }, { "dropping-particle" : "", "family" : "Molineaux", "given" : "Louis", "non-dropping-particle" : "", "parse-names" : false, "suffix" : "" } ], "container-title" : "American Journal of Tropical Medicine and Hygiene", "id" : "ITEM-1", "issue" : "2 suppl", "issued" : { "date-parts" : [ [ "2006" ] ] }, "page" : "46-55", "title" : "Mathematical model of the first wave of Plasmodium falciparum asexual parasitemia in non-immune and vaccinated individuals", "type" : "article-journal", "volume" : "75" }, "uris" : [ "http://www.mendeley.com/documents/?uuid=dcb74fdc-d45c-44c4-ba4b-9c7b98e12b59" ] } ], "mendeley" : { "formattedCitation" : "(9)", "plainTextFormattedCitation" : "(9)", "previouslyFormattedCitation" : "(9)" }, "properties" : { "noteIndex" : 0 }, "schema" : "https://github.com/citation-style-language/schema/raw/master/csl-citation.json" }</w:instrText>
            </w:r>
            <w:r w:rsidRPr="00E358A3">
              <w:rPr>
                <w:rFonts w:ascii="Calibri" w:hAnsi="Calibri" w:cs="Calibri"/>
                <w:color w:val="000000"/>
              </w:rPr>
              <w:fldChar w:fldCharType="separate"/>
            </w:r>
            <w:r w:rsidRPr="009D01D3">
              <w:rPr>
                <w:rFonts w:ascii="Calibri" w:hAnsi="Calibri" w:cs="Calibri"/>
                <w:noProof/>
                <w:color w:val="000000"/>
              </w:rPr>
              <w:t>(9)</w:t>
            </w:r>
            <w:r w:rsidRPr="00E358A3">
              <w:rPr>
                <w:rFonts w:ascii="Calibri" w:hAnsi="Calibri" w:cs="Calibri"/>
                <w:color w:val="000000"/>
              </w:rPr>
              <w:fldChar w:fldCharType="end"/>
            </w:r>
          </w:p>
        </w:tc>
      </w:tr>
      <w:tr w:rsidR="009D01D3" w:rsidRPr="00E358A3" w:rsidTr="0020168A">
        <w:trPr>
          <w:trHeight w:val="910"/>
        </w:trPr>
        <w:tc>
          <w:tcPr>
            <w:tcW w:w="620" w:type="pct"/>
            <w:gridSpan w:val="2"/>
            <w:tcBorders>
              <w:top w:val="nil"/>
              <w:left w:val="nil"/>
              <w:bottom w:val="single" w:sz="4" w:space="0" w:color="auto"/>
              <w:right w:val="single" w:sz="12" w:space="0" w:color="auto"/>
            </w:tcBorders>
            <w:shd w:val="clear" w:color="auto" w:fill="auto"/>
            <w:vAlign w:val="center"/>
          </w:tcPr>
          <w:p w:rsidR="009D01D3" w:rsidRPr="00C45088" w:rsidRDefault="009D01D3" w:rsidP="0020168A">
            <w:pPr>
              <w:rPr>
                <w:rFonts w:ascii="Calibri" w:hAnsi="Calibri" w:cs="Calibri"/>
                <w:color w:val="000000"/>
              </w:rPr>
            </w:pPr>
            <w:r w:rsidRPr="00C45088">
              <w:rPr>
                <w:rFonts w:ascii="Calibri" w:hAnsi="Calibri" w:cs="Calibri"/>
                <w:color w:val="000000"/>
              </w:rPr>
              <w:t>Rateb (2005)</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Model impact of hypothetical malaria education on malaria transmission in Haiti</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H</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Y</w:t>
            </w:r>
          </w:p>
        </w:tc>
        <w:tc>
          <w:tcPr>
            <w:tcW w:w="146"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P</w:t>
            </w:r>
          </w:p>
        </w:tc>
        <w:tc>
          <w:tcPr>
            <w:tcW w:w="773"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Disease parameters, number of education and health centres</w:t>
            </w:r>
          </w:p>
        </w:tc>
        <w:tc>
          <w:tcPr>
            <w:tcW w:w="6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Average education level, ratio of infected individuals, mortality ratio</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Human breeding, education and hospital location</w:t>
            </w:r>
          </w:p>
        </w:tc>
        <w:tc>
          <w:tcPr>
            <w:tcW w:w="1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Pr>
                <w:rFonts w:ascii="Calibri" w:hAnsi="Calibri" w:cs="Calibri"/>
                <w:color w:val="000000"/>
              </w:rPr>
              <w:fldChar w:fldCharType="begin" w:fldLock="1"/>
            </w:r>
            <w:r>
              <w:rPr>
                <w:rFonts w:ascii="Calibri" w:hAnsi="Calibri" w:cs="Calibri"/>
                <w:color w:val="000000"/>
              </w:rPr>
              <w:instrText>ADDIN CSL_CITATION { "citationItems" : [ { "id" : "ITEM-1", "itemData" : { "DOI" : "10.4018/jiit.2005040102", "ISSN" : "1548-3657", "abstract" : "Malaria is a vector-borne disease that greatly affects social and economic development. We adopt the complex system paradigm in our analysis of the problem. Our aim is to assess the impact of education on malaria healthcare. Multi-agent systems are employed to model the spread of malaria in Haiti, where we introduce malaria education as a possible way of regulating deaths due to the parasite. We launch three experiments, each with environment modifications: three hospitals; three hospitals and 20 schools; and five hospitals and 20 schools. The results of running 10 simulations for each experiment show that there is a reduction in malaria deaths not only when including schools, but in combination with increasing the number of hospitals.", "author" : [ { "dropping-particle" : "", "family" : "Rateb", "given" : "Fatima", "non-dropping-particle" : "", "parse-names" : false, "suffix" : "" }, { "dropping-particle" : "", "family" : "Pavard", "given" : "Bernard", "non-dropping-particle" : "", "parse-names" : false, "suffix" : "" }, { "dropping-particle" : "", "family" : "Bellamine-BenSaoud", "given" : "Narjes", "non-dropping-particle" : "", "parse-names" : false, "suffix" : "" }, { "dropping-particle" : "", "family" : "Merelo", "given" : "J J", "non-dropping-particle" : "", "parse-names" : false, "suffix" : "" }, { "dropping-particle" : "", "family" : "Arenas", "given" : "M G", "non-dropping-particle" : "", "parse-names" : false, "suffix" : "" } ], "container-title" : "International Journal of Intelligent Information Technologies", "id" : "ITEM-1", "issue" : "June", "issued" : { "date-parts" : [ [ "2005" ] ] }, "page" : "17-27", "title" : "Modeling Malaria with Multi-Agent Systems", "type" : "article-journal", "volume" : "1" }, "uris" : [ "http://www.mendeley.com/documents/?uuid=e0bc9602-b652-4fa8-8aa1-400e09b2ecbc" ] } ], "mendeley" : { "formattedCitation" : "(10)", "plainTextFormattedCitation" : "(10)", "previouslyFormattedCitation" : "(10)" }, "properties" : { "noteIndex" : 0 }, "schema" : "https://github.com/citation-style-language/schema/raw/master/csl-citation.json" }</w:instrText>
            </w:r>
            <w:r>
              <w:rPr>
                <w:rFonts w:ascii="Calibri" w:hAnsi="Calibri" w:cs="Calibri"/>
                <w:color w:val="000000"/>
              </w:rPr>
              <w:fldChar w:fldCharType="separate"/>
            </w:r>
            <w:r w:rsidRPr="009D01D3">
              <w:rPr>
                <w:rFonts w:ascii="Calibri" w:hAnsi="Calibri" w:cs="Calibri"/>
                <w:noProof/>
                <w:color w:val="000000"/>
              </w:rPr>
              <w:t>(10)</w:t>
            </w:r>
            <w:r>
              <w:rPr>
                <w:rFonts w:ascii="Calibri" w:hAnsi="Calibri" w:cs="Calibri"/>
                <w:color w:val="000000"/>
              </w:rPr>
              <w:fldChar w:fldCharType="end"/>
            </w:r>
          </w:p>
        </w:tc>
      </w:tr>
      <w:tr w:rsidR="009D01D3" w:rsidRPr="00E358A3" w:rsidTr="0020168A">
        <w:trPr>
          <w:trHeight w:val="1071"/>
        </w:trPr>
        <w:tc>
          <w:tcPr>
            <w:tcW w:w="620" w:type="pct"/>
            <w:gridSpan w:val="2"/>
            <w:tcBorders>
              <w:top w:val="single" w:sz="4" w:space="0" w:color="auto"/>
              <w:left w:val="nil"/>
              <w:right w:val="single" w:sz="12" w:space="0" w:color="auto"/>
            </w:tcBorders>
            <w:shd w:val="clear" w:color="auto" w:fill="auto"/>
            <w:vAlign w:val="center"/>
            <w:hideMark/>
          </w:tcPr>
          <w:p w:rsidR="009D01D3" w:rsidRPr="00DC11B8" w:rsidRDefault="009D01D3" w:rsidP="0020168A">
            <w:pPr>
              <w:rPr>
                <w:rFonts w:ascii="Calibri" w:hAnsi="Calibri" w:cs="Calibri"/>
                <w:color w:val="000000"/>
              </w:rPr>
            </w:pPr>
            <w:r w:rsidRPr="00DC11B8">
              <w:rPr>
                <w:rFonts w:ascii="Calibri" w:hAnsi="Calibri" w:cs="Calibri"/>
                <w:color w:val="000000"/>
              </w:rPr>
              <w:t>Smith (2006A)</w:t>
            </w:r>
          </w:p>
        </w:tc>
        <w:tc>
          <w:tcPr>
            <w:tcW w:w="674" w:type="pct"/>
            <w:tcBorders>
              <w:top w:val="single" w:sz="4" w:space="0" w:color="auto"/>
              <w:left w:val="single" w:sz="12" w:space="0" w:color="auto"/>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 xml:space="preserve">Overview of multi-purpose dynamical model, particularly </w:t>
            </w:r>
            <w:r w:rsidRPr="00E358A3">
              <w:rPr>
                <w:rFonts w:ascii="Calibri" w:hAnsi="Calibri" w:cs="Calibri"/>
                <w:color w:val="000000"/>
              </w:rPr>
              <w:lastRenderedPageBreak/>
              <w:t>regarding vaccine efficacy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lastRenderedPageBreak/>
              <w:t>H</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46"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w:t>
            </w:r>
          </w:p>
        </w:tc>
        <w:tc>
          <w:tcPr>
            <w:tcW w:w="773"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w:t>
            </w:r>
          </w:p>
        </w:tc>
        <w:tc>
          <w:tcPr>
            <w:tcW w:w="6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p>
        </w:tc>
        <w:tc>
          <w:tcPr>
            <w:tcW w:w="1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fldChar w:fldCharType="begin" w:fldLock="1"/>
            </w:r>
            <w:r>
              <w:rPr>
                <w:rFonts w:ascii="Calibri" w:hAnsi="Calibri" w:cs="Calibri"/>
                <w:color w:val="000000"/>
              </w:rPr>
              <w:instrText>ADDIN CSL_CITATION { "citationItems" : [ { "id" : "ITEM-1", "itemData" : { "ISBN" : "0002-9637", "author" : [ { "dropping-particle" : "", "family" : "Smith", "given" : "Thomas", "non-dropping-particle" : "", "parse-names" : false, "suffix" : "" }, { "dropping-particle" : "", "family" : "Killeen", "given" : "Gerry F", "non-dropping-particle" : "", "parse-names" : false, "suffix" : "" }, { "dropping-particle" : "", "family" : "Maire", "given" : "Nicolas", "non-dropping-particle" : "", "parse-names" : false, "suffix" : "" }, { "dropping-particle" : "", "family" : "Ross", "given" : "Amanda", "non-dropping-particle" : "", "parse-names" : false, "suffix" : "" }, { "dropping-particle" : "", "family" : "Molineaux", "given" : "Louis", "non-dropping-particle" : "", "parse-names" : false, "suffix" : "" }, { "dropping-particle" : "", "family" : "Tediosi", "given" : "Fabrizio", "non-dropping-particle" : "", "parse-names" : false, "suffix" : "" }, { "dropping-particle" : "", "family" : "Hutton", "given" : "Guy", "non-dropping-particle" : "", "parse-names" : false, "suffix" : "" }, { "dropping-particle" : "", "family" : "Utzinger", "given" : "J\u00fcrg", "non-dropping-particle" : "", "parse-names" : false, "suffix" : "" }, { "dropping-particle" : "", "family" : "Dietz", "given" : "Klaus", "non-dropping-particle" : "", "parse-names" : false, "suffix" : "" }, { "dropping-particle" : "", "family" : "Tanner", "given" : "Marcel", "non-dropping-particle" : "", "parse-names" : false, "suffix" : "" } ], "container-title" : "The American journal of tropical medicine and hygiene", "id" : "ITEM-1", "issue" : "2 suppl", "issued" : { "date-parts" : [ [ "2006" ] ] }, "page" : "1-10", "title" : "Mathematical modeling of the impact of malaria vaccines on the clinical epidemiology and natural history of Plasmodium falciparum malaria: Overview", "type" : "article-journal", "volume" : "75" }, "uris" : [ "http://www.mendeley.com/documents/?uuid=66daa581-eaf5-4234-b2ce-2ea20810ab93" ] } ], "mendeley" : { "formattedCitation" : "(11)", "plainTextFormattedCitation" : "(11)", "previouslyFormattedCitation" : "(11)" }, "properties" : { "noteIndex" : 0 }, "schema" : "https://github.com/citation-style-language/schema/raw/master/csl-citation.json" }</w:instrText>
            </w:r>
            <w:r w:rsidRPr="00E358A3">
              <w:rPr>
                <w:rFonts w:ascii="Calibri" w:hAnsi="Calibri" w:cs="Calibri"/>
                <w:color w:val="000000"/>
              </w:rPr>
              <w:fldChar w:fldCharType="separate"/>
            </w:r>
            <w:r w:rsidRPr="009D01D3">
              <w:rPr>
                <w:rFonts w:ascii="Calibri" w:hAnsi="Calibri" w:cs="Calibri"/>
                <w:noProof/>
                <w:color w:val="000000"/>
              </w:rPr>
              <w:t>(11)</w:t>
            </w:r>
            <w:r w:rsidRPr="00E358A3">
              <w:rPr>
                <w:rFonts w:ascii="Calibri" w:hAnsi="Calibri" w:cs="Calibri"/>
                <w:color w:val="000000"/>
              </w:rPr>
              <w:fldChar w:fldCharType="end"/>
            </w:r>
          </w:p>
        </w:tc>
      </w:tr>
      <w:tr w:rsidR="009D01D3" w:rsidRPr="00E358A3" w:rsidTr="0020168A">
        <w:trPr>
          <w:trHeight w:val="1160"/>
        </w:trPr>
        <w:tc>
          <w:tcPr>
            <w:tcW w:w="260" w:type="pct"/>
            <w:tcBorders>
              <w:top w:val="nil"/>
              <w:left w:val="nil"/>
              <w:bottom w:val="nil"/>
              <w:right w:val="single" w:sz="4" w:space="0" w:color="auto"/>
            </w:tcBorders>
            <w:shd w:val="clear" w:color="auto" w:fill="auto"/>
            <w:vAlign w:val="center"/>
            <w:hideMark/>
          </w:tcPr>
          <w:p w:rsidR="009D01D3" w:rsidRPr="00DC11B8" w:rsidRDefault="009D01D3" w:rsidP="0020168A">
            <w:pPr>
              <w:rPr>
                <w:rFonts w:ascii="Calibri" w:hAnsi="Calibri" w:cs="Calibri"/>
                <w:color w:val="000000"/>
              </w:rPr>
            </w:pPr>
          </w:p>
        </w:tc>
        <w:tc>
          <w:tcPr>
            <w:tcW w:w="360" w:type="pct"/>
            <w:tcBorders>
              <w:top w:val="nil"/>
              <w:left w:val="single" w:sz="4" w:space="0" w:color="auto"/>
              <w:bottom w:val="nil"/>
              <w:right w:val="single" w:sz="12" w:space="0" w:color="auto"/>
            </w:tcBorders>
            <w:shd w:val="clear" w:color="auto" w:fill="auto"/>
            <w:vAlign w:val="center"/>
            <w:hideMark/>
          </w:tcPr>
          <w:p w:rsidR="009D01D3" w:rsidRPr="00EF1D3C" w:rsidRDefault="009D01D3" w:rsidP="0020168A">
            <w:pPr>
              <w:jc w:val="right"/>
              <w:rPr>
                <w:rFonts w:ascii="Calibri" w:hAnsi="Calibri" w:cs="Calibri"/>
                <w:color w:val="000000"/>
              </w:rPr>
            </w:pPr>
            <w:r w:rsidRPr="001631E2">
              <w:rPr>
                <w:rFonts w:ascii="Calibri" w:hAnsi="Calibri" w:cs="Calibri"/>
                <w:color w:val="000000"/>
              </w:rPr>
              <w:t>Smith (2006B)</w:t>
            </w:r>
          </w:p>
        </w:tc>
        <w:tc>
          <w:tcPr>
            <w:tcW w:w="674" w:type="pct"/>
            <w:tcBorders>
              <w:top w:val="single" w:sz="4" w:space="0" w:color="auto"/>
              <w:left w:val="single" w:sz="12" w:space="0" w:color="auto"/>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 xml:space="preserve">Model relationship between EIR for </w:t>
            </w:r>
            <w:r w:rsidRPr="00E358A3">
              <w:rPr>
                <w:rFonts w:ascii="Calibri" w:hAnsi="Calibri" w:cs="Calibri"/>
                <w:i/>
                <w:iCs/>
                <w:color w:val="000000"/>
              </w:rPr>
              <w:t>P. falciparum</w:t>
            </w:r>
            <w:r w:rsidRPr="00E358A3">
              <w:rPr>
                <w:rFonts w:ascii="Calibri" w:hAnsi="Calibri" w:cs="Calibri"/>
                <w:color w:val="000000"/>
              </w:rPr>
              <w:t xml:space="preserve"> malaria and force of infection in endemic areas</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H</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46"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P,C,V</w:t>
            </w:r>
          </w:p>
        </w:tc>
        <w:tc>
          <w:tcPr>
            <w:tcW w:w="773"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EIR</w:t>
            </w:r>
          </w:p>
        </w:tc>
        <w:tc>
          <w:tcPr>
            <w:tcW w:w="6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Survival probabilities, force of infection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Natural immunity</w:t>
            </w:r>
            <w:r w:rsidRPr="00E358A3">
              <w:rPr>
                <w:rFonts w:ascii="Calibri" w:hAnsi="Calibri" w:cs="Calibri"/>
                <w:color w:val="000000"/>
              </w:rPr>
              <w:br/>
              <w:t>Liver stages of parasite</w:t>
            </w:r>
          </w:p>
        </w:tc>
        <w:tc>
          <w:tcPr>
            <w:tcW w:w="1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fldChar w:fldCharType="begin" w:fldLock="1"/>
            </w:r>
            <w:r>
              <w:rPr>
                <w:rFonts w:ascii="Calibri" w:hAnsi="Calibri" w:cs="Calibri"/>
                <w:color w:val="000000"/>
              </w:rPr>
              <w:instrText>ADDIN CSL_CITATION { "citationItems" : [ { "id" : "ITEM-1", "itemData" : { "DOI" : "75/2_suppl/11 [pii]", "ISBN" : "0002-9637", "ISSN" : "00029637", "PMID" : "16931811", "abstract" : "We propose a stochastic model for the relationship between the entomologic inoculation rate (EIR) for Plasmodium falciparum malaria and the force of infection in endemic areas. The model incorporates effects of increased exposure to mosquito bites as a result of the growth in body surface area with the age of the host, naturally acquired pre-erythrocytic immunity, and the reduction in the proportion of entomologically assessed inoculations leading to infection, as the EIR increases. It is fitted to multiple datasets from field studies of the relationship between malaria infection and the EIR. We propose that this model can account for non-monotonic relationships between the age of the host and the parasite prevalence and incidence of disease. It provides a parsimonious explanation for the faster acquisition of natural immunity in adults than in children exposed to high EIRs. This forms one component of a new stochastic model for the entire transmission cycle of P. falciparum that we have derived to estimate the potential epidemiologic impact of malaria vaccines and other malaria control interventions.", "author" : [ { "dropping-particle" : "", "family" : "Smith", "given" : "Thomas", "non-dropping-particle" : "", "parse-names" : false, "suffix" : "" }, { "dropping-particle" : "", "family" : "Maire", "given" : "Nicolas", "non-dropping-particle" : "", "parse-names" : false, "suffix" : "" }, { "dropping-particle" : "", "family" : "Dietz", "given" : "Klaus", "non-dropping-particle" : "", "parse-names" : false, "suffix" : "" }, { "dropping-particle" : "", "family" : "Killeen", "given" : "Gerry F", "non-dropping-particle" : "", "parse-names" : false, "suffix" : "" }, { "dropping-particle" : "", "family" : "Vounatsou", "given" : "Penelope", "non-dropping-particle" : "", "parse-names" : false, "suffix" : "" }, { "dropping-particle" : "", "family" : "Molineaux", "given" : "Louis", "non-dropping-particle" : "", "parse-names" : false, "suffix" : "" }, { "dropping-particle" : "", "family" : "Tanner", "given" : "Marcel", "non-dropping-particle" : "", "parse-names" : false, "suffix" : "" } ], "container-title" : "American Journal of Tropical Medicine and Hygiene", "id" : "ITEM-1", "issue" : "2 suppl", "issued" : { "date-parts" : [ [ "2006" ] ] }, "page" : "11-18", "title" : "Relationship between the entomologic inoculation rate and the force of infection for Plasmodium falciparum malaria", "type" : "article-journal", "volume" : "75" }, "uris" : [ "http://www.mendeley.com/documents/?uuid=4b486fe1-0714-44e6-92a2-8d8b62e22857" ] } ], "mendeley" : { "formattedCitation" : "(12)", "plainTextFormattedCitation" : "(12)", "previouslyFormattedCitation" : "(12)" }, "properties" : { "noteIndex" : 0 }, "schema" : "https://github.com/citation-style-language/schema/raw/master/csl-citation.json" }</w:instrText>
            </w:r>
            <w:r w:rsidRPr="00E358A3">
              <w:rPr>
                <w:rFonts w:ascii="Calibri" w:hAnsi="Calibri" w:cs="Calibri"/>
                <w:color w:val="000000"/>
              </w:rPr>
              <w:fldChar w:fldCharType="separate"/>
            </w:r>
            <w:r w:rsidRPr="009D01D3">
              <w:rPr>
                <w:rFonts w:ascii="Calibri" w:hAnsi="Calibri" w:cs="Calibri"/>
                <w:noProof/>
                <w:color w:val="000000"/>
              </w:rPr>
              <w:t>(12)</w:t>
            </w:r>
            <w:r w:rsidRPr="00E358A3">
              <w:rPr>
                <w:rFonts w:ascii="Calibri" w:hAnsi="Calibri" w:cs="Calibri"/>
                <w:color w:val="000000"/>
              </w:rPr>
              <w:fldChar w:fldCharType="end"/>
            </w:r>
          </w:p>
        </w:tc>
      </w:tr>
      <w:tr w:rsidR="009D01D3" w:rsidRPr="00E358A3" w:rsidTr="0020168A">
        <w:trPr>
          <w:trHeight w:val="580"/>
        </w:trPr>
        <w:tc>
          <w:tcPr>
            <w:tcW w:w="260" w:type="pct"/>
            <w:tcBorders>
              <w:top w:val="nil"/>
              <w:left w:val="nil"/>
              <w:bottom w:val="nil"/>
              <w:right w:val="single" w:sz="4" w:space="0" w:color="auto"/>
            </w:tcBorders>
            <w:shd w:val="clear" w:color="auto" w:fill="auto"/>
            <w:vAlign w:val="center"/>
            <w:hideMark/>
          </w:tcPr>
          <w:p w:rsidR="009D01D3" w:rsidRPr="00DC11B8" w:rsidRDefault="009D01D3" w:rsidP="0020168A"/>
        </w:tc>
        <w:tc>
          <w:tcPr>
            <w:tcW w:w="360" w:type="pct"/>
            <w:tcBorders>
              <w:top w:val="nil"/>
              <w:left w:val="single" w:sz="4" w:space="0" w:color="auto"/>
              <w:bottom w:val="nil"/>
              <w:right w:val="single" w:sz="12" w:space="0" w:color="auto"/>
            </w:tcBorders>
            <w:shd w:val="clear" w:color="auto" w:fill="auto"/>
            <w:vAlign w:val="center"/>
            <w:hideMark/>
          </w:tcPr>
          <w:p w:rsidR="009D01D3" w:rsidRPr="00EF1D3C" w:rsidRDefault="009D01D3" w:rsidP="0020168A">
            <w:pPr>
              <w:jc w:val="right"/>
              <w:rPr>
                <w:rFonts w:ascii="Calibri" w:hAnsi="Calibri" w:cs="Calibri"/>
                <w:color w:val="000000"/>
              </w:rPr>
            </w:pPr>
            <w:r w:rsidRPr="001631E2">
              <w:rPr>
                <w:rFonts w:ascii="Calibri" w:hAnsi="Calibri" w:cs="Calibri"/>
                <w:color w:val="000000"/>
              </w:rPr>
              <w:t>Maire (2006A)</w:t>
            </w:r>
          </w:p>
        </w:tc>
        <w:tc>
          <w:tcPr>
            <w:tcW w:w="674" w:type="pct"/>
            <w:tcBorders>
              <w:top w:val="single" w:sz="4" w:space="0" w:color="auto"/>
              <w:left w:val="single" w:sz="12" w:space="0" w:color="auto"/>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Assess effects of acquired immunity on parasite densities</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H</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46"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P,C</w:t>
            </w:r>
            <w:r>
              <w:rPr>
                <w:rFonts w:ascii="Calibri" w:hAnsi="Calibri" w:cs="Calibri"/>
                <w:color w:val="000000"/>
              </w:rPr>
              <w:t>,</w:t>
            </w:r>
            <w:r w:rsidRPr="00A33E2C">
              <w:rPr>
                <w:rFonts w:ascii="Calibri" w:hAnsi="Calibri" w:cs="Calibri"/>
                <w:color w:val="000000"/>
              </w:rPr>
              <w:t>V</w:t>
            </w:r>
          </w:p>
        </w:tc>
        <w:tc>
          <w:tcPr>
            <w:tcW w:w="773"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EIR</w:t>
            </w:r>
          </w:p>
        </w:tc>
        <w:tc>
          <w:tcPr>
            <w:tcW w:w="6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Parasite densities by age</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Natural immunity</w:t>
            </w:r>
          </w:p>
        </w:tc>
        <w:tc>
          <w:tcPr>
            <w:tcW w:w="1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fldChar w:fldCharType="begin" w:fldLock="1"/>
            </w:r>
            <w:r>
              <w:rPr>
                <w:rFonts w:ascii="Calibri" w:hAnsi="Calibri" w:cs="Calibri"/>
                <w:color w:val="000000"/>
              </w:rPr>
              <w:instrText>ADDIN CSL_CITATION { "citationItems" : [ { "id" : "ITEM-1", "itemData" : { "DOI" : "75/2_suppl/19 [pii]", "ISBN" : "0002-9637 (Print)", "ISSN" : "0002-9637", "PMID" : "16931812", "abstract" : "Most mathematical models for acquired immunity to Plasmodium falciparum consider effects of immunity on duration of infection and infectiousness, but do not consider the most evident effect of immunity, which is to reduce parasite densities. Few attempts have been made to fit such models to field data. We propose a stochastic simulation model to predict the distributions of P. falciparum parasite densities in endemic areas, in which acquired immunity acts by reducing parasite densities. We have fitted this model to age-specific prevalence and geometric mean densities from settings in Ghana, Nigeria, and Tanzania. The model appears to reproduce reasonably well the parasitologic patterns seen in malariologic surveys in endemic areas and is appropriate for predicting the impact of interventions such as vaccination in the context of continual exposure to P. falciparum.", "author" : [ { "dropping-particle" : "", "family" : "Maire", "given" : "Nicolas", "non-dropping-particle" : "", "parse-names" : false, "suffix" : "" }, { "dropping-particle" : "", "family" : "Smith", "given" : "Thomas", "non-dropping-particle" : "", "parse-names" : false, "suffix" : "" }, { "dropping-particle" : "", "family" : "Ross", "given" : "Amanda", "non-dropping-particle" : "", "parse-names" : false, "suffix" : "" }, { "dropping-particle" : "", "family" : "Owusu-Agyei", "given" : "Seth", "non-dropping-particle" : "", "parse-names" : false, "suffix" : "" }, { "dropping-particle" : "", "family" : "Dietz", "given" : "Klaus", "non-dropping-particle" : "", "parse-names" : false, "suffix" : "" }, { "dropping-particle" : "", "family" : "Molineaux", "given" : "Louis", "non-dropping-particle" : "", "parse-names" : false, "suffix" : "" } ], "container-title" : "The American journal of tropical medicine and hygiene", "id" : "ITEM-1", "issue" : "2 Suppl", "issued" : { "date-parts" : [ [ "2006" ] ] }, "page" : "19-31", "title" : "A model for natural immunity to asexual blood stages of Plasmodium falciparum malaria in endemic areas.", "type" : "article-journal", "volume" : "75" }, "uris" : [ "http://www.mendeley.com/documents/?uuid=ec758e86-a67b-4d8b-bd61-ee9f46eef637" ] } ], "mendeley" : { "formattedCitation" : "(13)", "plainTextFormattedCitation" : "(13)", "previouslyFormattedCitation" : "(13)" }, "properties" : { "noteIndex" : 0 }, "schema" : "https://github.com/citation-style-language/schema/raw/master/csl-citation.json" }</w:instrText>
            </w:r>
            <w:r w:rsidRPr="00E358A3">
              <w:rPr>
                <w:rFonts w:ascii="Calibri" w:hAnsi="Calibri" w:cs="Calibri"/>
                <w:color w:val="000000"/>
              </w:rPr>
              <w:fldChar w:fldCharType="separate"/>
            </w:r>
            <w:r w:rsidRPr="009D01D3">
              <w:rPr>
                <w:rFonts w:ascii="Calibri" w:hAnsi="Calibri" w:cs="Calibri"/>
                <w:noProof/>
                <w:color w:val="000000"/>
              </w:rPr>
              <w:t>(13)</w:t>
            </w:r>
            <w:r w:rsidRPr="00E358A3">
              <w:rPr>
                <w:rFonts w:ascii="Calibri" w:hAnsi="Calibri" w:cs="Calibri"/>
                <w:color w:val="000000"/>
              </w:rPr>
              <w:fldChar w:fldCharType="end"/>
            </w:r>
          </w:p>
        </w:tc>
      </w:tr>
      <w:tr w:rsidR="009D01D3" w:rsidRPr="00E358A3" w:rsidTr="0020168A">
        <w:trPr>
          <w:trHeight w:val="1361"/>
        </w:trPr>
        <w:tc>
          <w:tcPr>
            <w:tcW w:w="260" w:type="pct"/>
            <w:tcBorders>
              <w:top w:val="nil"/>
              <w:left w:val="nil"/>
              <w:bottom w:val="nil"/>
              <w:right w:val="single" w:sz="4" w:space="0" w:color="auto"/>
            </w:tcBorders>
            <w:shd w:val="clear" w:color="auto" w:fill="auto"/>
            <w:vAlign w:val="center"/>
            <w:hideMark/>
          </w:tcPr>
          <w:p w:rsidR="009D01D3" w:rsidRPr="00DC11B8" w:rsidRDefault="009D01D3" w:rsidP="0020168A"/>
        </w:tc>
        <w:tc>
          <w:tcPr>
            <w:tcW w:w="360" w:type="pct"/>
            <w:tcBorders>
              <w:top w:val="nil"/>
              <w:left w:val="single" w:sz="4" w:space="0" w:color="auto"/>
              <w:bottom w:val="nil"/>
              <w:right w:val="single" w:sz="12" w:space="0" w:color="auto"/>
            </w:tcBorders>
            <w:shd w:val="clear" w:color="auto" w:fill="auto"/>
            <w:vAlign w:val="center"/>
            <w:hideMark/>
          </w:tcPr>
          <w:p w:rsidR="009D01D3" w:rsidRPr="00EF1D3C" w:rsidRDefault="009D01D3" w:rsidP="0020168A">
            <w:pPr>
              <w:jc w:val="right"/>
              <w:rPr>
                <w:rFonts w:ascii="Calibri" w:hAnsi="Calibri" w:cs="Calibri"/>
                <w:color w:val="000000"/>
              </w:rPr>
            </w:pPr>
            <w:r w:rsidRPr="001631E2">
              <w:rPr>
                <w:rFonts w:ascii="Calibri" w:hAnsi="Calibri" w:cs="Calibri"/>
                <w:color w:val="000000"/>
              </w:rPr>
              <w:t>Ross (2006A)</w:t>
            </w:r>
          </w:p>
        </w:tc>
        <w:tc>
          <w:tcPr>
            <w:tcW w:w="674" w:type="pct"/>
            <w:tcBorders>
              <w:top w:val="single" w:sz="4" w:space="0" w:color="auto"/>
              <w:left w:val="single" w:sz="12" w:space="0" w:color="auto"/>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 xml:space="preserve">Describe relationship between host infectivity and </w:t>
            </w:r>
            <w:r w:rsidRPr="00E358A3">
              <w:rPr>
                <w:rFonts w:ascii="Calibri" w:hAnsi="Calibri" w:cs="Calibri"/>
                <w:i/>
                <w:iCs/>
                <w:color w:val="000000"/>
              </w:rPr>
              <w:t>P. falciparum</w:t>
            </w:r>
            <w:r w:rsidRPr="00E358A3">
              <w:rPr>
                <w:rFonts w:ascii="Calibri" w:hAnsi="Calibri" w:cs="Calibri"/>
                <w:color w:val="000000"/>
              </w:rPr>
              <w:t xml:space="preserve"> asexual parasite density in the human host</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H</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46"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P,C,V,S</w:t>
            </w:r>
          </w:p>
        </w:tc>
        <w:tc>
          <w:tcPr>
            <w:tcW w:w="773"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EIR</w:t>
            </w:r>
          </w:p>
        </w:tc>
        <w:tc>
          <w:tcPr>
            <w:tcW w:w="6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pPr>
            <w:r w:rsidRPr="00E358A3">
              <w:t>Host infectivity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Sex of gametocytes</w:t>
            </w:r>
          </w:p>
        </w:tc>
        <w:tc>
          <w:tcPr>
            <w:tcW w:w="1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pPr>
            <w:r w:rsidRPr="00E358A3">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pPr>
            <w:r w:rsidRPr="00E358A3">
              <w:fldChar w:fldCharType="begin" w:fldLock="1"/>
            </w:r>
            <w:r>
              <w:instrText>ADDIN CSL_CITATION { "citationItems" : [ { "id" : "ITEM-1", "itemData" : { "DOI" : "75/2_suppl/32 [pii]", "ISBN" : "0002-9637", "ISSN" : "00029637", "PMID" : "16931813", "abstract" : "We describe a statistical model for the relationship between asexual parasite densities of Plasmodium falciparum and the infectivity of the host to mosquitoes. The model takes into account the delay between asexual parasitemia and infectivity resulting from the time course of gametocytemia. It also allows for the need for the blood meal to contain gametocytes of both sexes if infection is to take place. We show that by fitting this model to data from malariatherapy patients it can explain observed patterns of infectiousness of the human host and is consistent with distributions of gametocyte densities in malariatherapy patients. By integrating this model into an individual-based simulation of human populations exposed to endemic P. falciparum transmission, we are able to predict the contributions of different host age groups to the infectious reservoir. Comparison of model predictions with published estimates of this quantity confirms that infected adults hosts are likely to make a significant contribution to the reservoir of transmission, and points to the need for improved population-based estimates of this age-dependence in infectivity of humans in endemic areas.", "author" : [ { "dropping-particle" : "", "family" : "Ross", "given" : "Amanda", "non-dropping-particle" : "", "parse-names" : false, "suffix" : "" }, { "dropping-particle" : "", "family" : "Killeen", "given" : "Gerry", "non-dropping-particle" : "", "parse-names" : false, "suffix" : "" }, { "dropping-particle" : "", "family" : "Smith", "given" : "Thomas", "non-dropping-particle" : "", "parse-names" : false, "suffix" : "" } ], "container-title" : "American Journal of Tropical Medicine and Hygiene", "id" : "ITEM-1", "issue" : "2 suppl", "issued" : { "date-parts" : [ [ "2006" ] ] }, "page" : "32-37", "title" : "Relationships between host infectivity to mosquitoes and asexual parasite density in Plasmodium falciparum", "type" : "article-journal", "volume" : "75" }, "uris" : [ "http://www.mendeley.com/documents/?uuid=5be782ae-e68c-49c9-85af-608a3eef0e6b" ] } ], "mendeley" : { "formattedCitation" : "(14)", "plainTextFormattedCitation" : "(14)", "previouslyFormattedCitation" : "(14)" }, "properties" : { "noteIndex" : 0 }, "schema" : "https://github.com/citation-style-language/schema/raw/master/csl-citation.json" }</w:instrText>
            </w:r>
            <w:r w:rsidRPr="00E358A3">
              <w:fldChar w:fldCharType="separate"/>
            </w:r>
            <w:r w:rsidRPr="009D01D3">
              <w:rPr>
                <w:noProof/>
              </w:rPr>
              <w:t>(14)</w:t>
            </w:r>
            <w:r w:rsidRPr="00E358A3">
              <w:fldChar w:fldCharType="end"/>
            </w:r>
          </w:p>
        </w:tc>
      </w:tr>
      <w:tr w:rsidR="009D01D3" w:rsidRPr="00E358A3" w:rsidTr="0020168A">
        <w:trPr>
          <w:trHeight w:val="1096"/>
        </w:trPr>
        <w:tc>
          <w:tcPr>
            <w:tcW w:w="260" w:type="pct"/>
            <w:tcBorders>
              <w:top w:val="nil"/>
              <w:left w:val="nil"/>
              <w:bottom w:val="nil"/>
              <w:right w:val="single" w:sz="4" w:space="0" w:color="auto"/>
            </w:tcBorders>
            <w:shd w:val="clear" w:color="auto" w:fill="auto"/>
            <w:vAlign w:val="center"/>
            <w:hideMark/>
          </w:tcPr>
          <w:p w:rsidR="009D01D3" w:rsidRPr="00DC11B8" w:rsidRDefault="009D01D3" w:rsidP="0020168A"/>
        </w:tc>
        <w:tc>
          <w:tcPr>
            <w:tcW w:w="360" w:type="pct"/>
            <w:tcBorders>
              <w:top w:val="nil"/>
              <w:left w:val="single" w:sz="4" w:space="0" w:color="auto"/>
              <w:bottom w:val="nil"/>
              <w:right w:val="single" w:sz="12" w:space="0" w:color="auto"/>
            </w:tcBorders>
            <w:shd w:val="clear" w:color="auto" w:fill="auto"/>
            <w:vAlign w:val="center"/>
            <w:hideMark/>
          </w:tcPr>
          <w:p w:rsidR="009D01D3" w:rsidRPr="001631E2" w:rsidRDefault="009D01D3" w:rsidP="0020168A">
            <w:pPr>
              <w:jc w:val="right"/>
              <w:rPr>
                <w:rFonts w:ascii="Calibri" w:hAnsi="Calibri" w:cs="Calibri"/>
                <w:color w:val="000000"/>
              </w:rPr>
            </w:pPr>
            <w:r w:rsidRPr="001631E2">
              <w:rPr>
                <w:rFonts w:ascii="Calibri" w:hAnsi="Calibri" w:cs="Calibri"/>
                <w:color w:val="000000"/>
              </w:rPr>
              <w:t>Killeen (2006)</w:t>
            </w:r>
          </w:p>
        </w:tc>
        <w:tc>
          <w:tcPr>
            <w:tcW w:w="674" w:type="pct"/>
            <w:tcBorders>
              <w:top w:val="single" w:sz="4" w:space="0" w:color="auto"/>
              <w:left w:val="single" w:sz="12" w:space="0" w:color="auto"/>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Validate model from Ross (2006A) against data from Africa and Papua New Guinea</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H</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46"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P,C,V</w:t>
            </w:r>
          </w:p>
        </w:tc>
        <w:tc>
          <w:tcPr>
            <w:tcW w:w="773"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EIR</w:t>
            </w:r>
          </w:p>
        </w:tc>
        <w:tc>
          <w:tcPr>
            <w:tcW w:w="6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Mean infectiousness of human population to mosquitoes</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p>
        </w:tc>
        <w:tc>
          <w:tcPr>
            <w:tcW w:w="1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pPr>
            <w:r w:rsidRPr="00E358A3">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pPr>
            <w:r w:rsidRPr="00E358A3">
              <w:fldChar w:fldCharType="begin" w:fldLock="1"/>
            </w:r>
            <w:r>
              <w:instrText>ADDIN CSL_CITATION { "citationItems" : [ { "id" : "ITEM-1", "itemData" : { "ISBN" : "0002-9637", "author" : [ { "dropping-particle" : "", "family" : "Killeen", "given" : "Gerry F", "non-dropping-particle" : "", "parse-names" : false, "suffix" : "" }, { "dropping-particle" : "", "family" : "Ross", "given" : "Amanda", "non-dropping-particle" : "", "parse-names" : false, "suffix" : "" }, { "dropping-particle" : "", "family" : "Smith", "given" : "Thomas", "non-dropping-particle" : "", "parse-names" : false, "suffix" : "" } ], "container-title" : "The American journal of tropical medicine and hygiene", "id" : "ITEM-1", "issue" : "2 Suppl", "issued" : { "date-parts" : [ [ "2006" ] ] }, "page" : "38-45", "title" : "Infectiousness of malaria-endemic human populations to vectors", "type" : "article-journal", "volume" : "75" }, "uris" : [ "http://www.mendeley.com/documents/?uuid=41491bd0-1d66-4e13-8c0d-8a63217aeb73" ] } ], "mendeley" : { "formattedCitation" : "(15)", "plainTextFormattedCitation" : "(15)", "previouslyFormattedCitation" : "(15)" }, "properties" : { "noteIndex" : 0 }, "schema" : "https://github.com/citation-style-language/schema/raw/master/csl-citation.json" }</w:instrText>
            </w:r>
            <w:r w:rsidRPr="00E358A3">
              <w:fldChar w:fldCharType="separate"/>
            </w:r>
            <w:r w:rsidRPr="009D01D3">
              <w:rPr>
                <w:noProof/>
              </w:rPr>
              <w:t>(15)</w:t>
            </w:r>
            <w:r w:rsidRPr="00E358A3">
              <w:fldChar w:fldCharType="end"/>
            </w:r>
          </w:p>
        </w:tc>
      </w:tr>
      <w:tr w:rsidR="009D01D3" w:rsidRPr="00E358A3" w:rsidTr="0020168A">
        <w:trPr>
          <w:trHeight w:val="49"/>
        </w:trPr>
        <w:tc>
          <w:tcPr>
            <w:tcW w:w="260" w:type="pct"/>
            <w:tcBorders>
              <w:top w:val="nil"/>
              <w:left w:val="nil"/>
              <w:bottom w:val="nil"/>
              <w:right w:val="single" w:sz="4" w:space="0" w:color="auto"/>
            </w:tcBorders>
            <w:shd w:val="clear" w:color="auto" w:fill="auto"/>
            <w:vAlign w:val="center"/>
            <w:hideMark/>
          </w:tcPr>
          <w:p w:rsidR="009D01D3" w:rsidRPr="00DC11B8" w:rsidRDefault="009D01D3" w:rsidP="0020168A"/>
        </w:tc>
        <w:tc>
          <w:tcPr>
            <w:tcW w:w="360" w:type="pct"/>
            <w:tcBorders>
              <w:top w:val="nil"/>
              <w:left w:val="single" w:sz="4" w:space="0" w:color="auto"/>
              <w:bottom w:val="nil"/>
              <w:right w:val="single" w:sz="12" w:space="0" w:color="auto"/>
            </w:tcBorders>
            <w:shd w:val="clear" w:color="auto" w:fill="auto"/>
            <w:vAlign w:val="center"/>
            <w:hideMark/>
          </w:tcPr>
          <w:p w:rsidR="009D01D3" w:rsidRPr="001631E2" w:rsidRDefault="009D01D3" w:rsidP="0020168A">
            <w:pPr>
              <w:jc w:val="right"/>
              <w:rPr>
                <w:rFonts w:ascii="Calibri" w:hAnsi="Calibri" w:cs="Calibri"/>
                <w:color w:val="000000"/>
              </w:rPr>
            </w:pPr>
            <w:r w:rsidRPr="001631E2">
              <w:rPr>
                <w:rFonts w:ascii="Calibri" w:hAnsi="Calibri" w:cs="Calibri"/>
                <w:color w:val="000000"/>
              </w:rPr>
              <w:t>Smith (2006C)</w:t>
            </w:r>
          </w:p>
        </w:tc>
        <w:tc>
          <w:tcPr>
            <w:tcW w:w="674" w:type="pct"/>
            <w:tcBorders>
              <w:top w:val="single" w:sz="4" w:space="0" w:color="auto"/>
              <w:left w:val="single" w:sz="12" w:space="0" w:color="auto"/>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 xml:space="preserve">Predict pyrogenic thresholds of acute illness in </w:t>
            </w:r>
            <w:r w:rsidRPr="00E358A3">
              <w:rPr>
                <w:rFonts w:ascii="Calibri" w:hAnsi="Calibri" w:cs="Calibri"/>
                <w:i/>
                <w:iCs/>
                <w:color w:val="000000"/>
              </w:rPr>
              <w:t>P. falciparum</w:t>
            </w:r>
            <w:r w:rsidRPr="00E358A3">
              <w:rPr>
                <w:rFonts w:ascii="Calibri" w:hAnsi="Calibri" w:cs="Calibri"/>
                <w:color w:val="000000"/>
              </w:rPr>
              <w:t xml:space="preserve"> malaria</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H</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46"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P,C</w:t>
            </w:r>
          </w:p>
        </w:tc>
        <w:tc>
          <w:tcPr>
            <w:tcW w:w="773"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EIR</w:t>
            </w:r>
          </w:p>
        </w:tc>
        <w:tc>
          <w:tcPr>
            <w:tcW w:w="6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Incidence of clinical malaria; individual pyrogenic thresholds</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Pyrogenic thresholds</w:t>
            </w:r>
          </w:p>
        </w:tc>
        <w:tc>
          <w:tcPr>
            <w:tcW w:w="1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fldChar w:fldCharType="begin" w:fldLock="1"/>
            </w:r>
            <w:r>
              <w:rPr>
                <w:rFonts w:ascii="Calibri" w:hAnsi="Calibri" w:cs="Calibri"/>
                <w:color w:val="000000"/>
              </w:rPr>
              <w:instrText>ADDIN CSL_CITATION { "citationItems" : [ { "id" : "ITEM-1", "itemData" : { "DOI" : "75/2_suppl/56 [pii]", "ISBN" : "0002-9637 (Print)\\r0002-9637 (Linking)", "ISSN" : "0002-9637 (Print)", "PMID" : "16931816", "abstract" : "We propose a stochastic model for simulating malaria tolerance. The model relates the probability of a clinical attack of malaria to the peripheral parasite densities via a pyrogenic threshold that itself responds dynamically to the parasite load. The parameters of the model have been estimated by fitting it to the relationship between incidence of clinical episodes and the entomologic inoculation rate, using age-specific incidence data from two villages in Senegal and one village in Tanzania. The model reproduces the shifts in age distribution of clinical episodes associated with variation in transmission intensity, and in keeping with the data, predicts a slightly higher lifetime number of episodes in the mesoendemic village of Ndiop than in the holoendemic village of Dielmo. This model provides a parsimonious explanation of counter-intuitive relationships between the overall incidence of clinical malaria and transmission intensity. In contrast to the theory of endemic stability, recently proposed to apply to P. falciparum, it does not assume any intrinsic age dependence in the outcome of infection. This model can be used to explore the consequences for predictions of the effects of different anti-malarial interventions on the incidence of clinical malaria.", "author" : [ { "dropping-particle" : "", "family" : "Smith", "given" : "Thomas", "non-dropping-particle" : "", "parse-names" : false, "suffix" : "" }, { "dropping-particle" : "", "family" : "Ross", "given" : "Amanda", "non-dropping-particle" : "", "parse-names" : false, "suffix" : "" }, { "dropping-particle" : "", "family" : "Maire", "given" : "Nicolas", "non-dropping-particle" : "", "parse-names" : false, "suffix" : "" }, { "dropping-particle" : "", "family" : "Rogier", "given" : "Christophe", "non-dropping-particle" : "", "parse-names" : false, "suffix" : "" }, { "dropping-particle" : "", "family" : "Trape", "given" : "Jean-Francois", "non-dropping-particle" : "", "parse-names" : false, "suffix" : "" }, { "dropping-particle" : "", "family" : "Molineaux", "given" : "Louis", "non-dropping-particle" : "", "parse-names" : false, "suffix" : "" } ], "container-title" : "Am J Trop Med Hyg", "id" : "ITEM-1", "issue" : "2 suppl", "issued" : { "date-parts" : [ [ "2006" ] ] }, "page" : "56-62", "title" : "An epidemiologic model of the incidence of acute illness in Plasmodium falciparum malaria.", "type" : "article-journal", "volume" : "75" }, "uris" : [ "http://www.mendeley.com/documents/?uuid=a8c0dde1-5d75-40cb-acec-55e55574fecf" ] } ], "mendeley" : { "formattedCitation" : "(16)", "plainTextFormattedCitation" : "(16)", "previouslyFormattedCitation" : "(16)" }, "properties" : { "noteIndex" : 0 }, "schema" : "https://github.com/citation-style-language/schema/raw/master/csl-citation.json" }</w:instrText>
            </w:r>
            <w:r w:rsidRPr="00E358A3">
              <w:rPr>
                <w:rFonts w:ascii="Calibri" w:hAnsi="Calibri" w:cs="Calibri"/>
                <w:color w:val="000000"/>
              </w:rPr>
              <w:fldChar w:fldCharType="separate"/>
            </w:r>
            <w:r w:rsidRPr="009D01D3">
              <w:rPr>
                <w:rFonts w:ascii="Calibri" w:hAnsi="Calibri" w:cs="Calibri"/>
                <w:noProof/>
                <w:color w:val="000000"/>
              </w:rPr>
              <w:t>(16)</w:t>
            </w:r>
            <w:r w:rsidRPr="00E358A3">
              <w:rPr>
                <w:rFonts w:ascii="Calibri" w:hAnsi="Calibri" w:cs="Calibri"/>
                <w:color w:val="000000"/>
              </w:rPr>
              <w:fldChar w:fldCharType="end"/>
            </w:r>
          </w:p>
        </w:tc>
      </w:tr>
      <w:tr w:rsidR="009D01D3" w:rsidRPr="00E358A3" w:rsidTr="0020168A">
        <w:trPr>
          <w:trHeight w:val="1450"/>
        </w:trPr>
        <w:tc>
          <w:tcPr>
            <w:tcW w:w="260" w:type="pct"/>
            <w:tcBorders>
              <w:top w:val="nil"/>
              <w:left w:val="nil"/>
              <w:bottom w:val="nil"/>
              <w:right w:val="single" w:sz="4" w:space="0" w:color="auto"/>
            </w:tcBorders>
            <w:shd w:val="clear" w:color="auto" w:fill="auto"/>
            <w:vAlign w:val="center"/>
            <w:hideMark/>
          </w:tcPr>
          <w:p w:rsidR="009D01D3" w:rsidRPr="00DC11B8" w:rsidRDefault="009D01D3" w:rsidP="0020168A"/>
        </w:tc>
        <w:tc>
          <w:tcPr>
            <w:tcW w:w="360" w:type="pct"/>
            <w:tcBorders>
              <w:top w:val="nil"/>
              <w:left w:val="single" w:sz="4" w:space="0" w:color="auto"/>
              <w:bottom w:val="nil"/>
              <w:right w:val="single" w:sz="12" w:space="0" w:color="auto"/>
            </w:tcBorders>
            <w:shd w:val="clear" w:color="auto" w:fill="auto"/>
            <w:vAlign w:val="center"/>
            <w:hideMark/>
          </w:tcPr>
          <w:p w:rsidR="009D01D3" w:rsidRPr="00EF1D3C" w:rsidRDefault="009D01D3" w:rsidP="0020168A">
            <w:pPr>
              <w:jc w:val="right"/>
              <w:rPr>
                <w:rFonts w:ascii="Calibri" w:hAnsi="Calibri" w:cs="Calibri"/>
                <w:color w:val="000000"/>
              </w:rPr>
            </w:pPr>
            <w:r w:rsidRPr="001631E2">
              <w:rPr>
                <w:rFonts w:ascii="Calibri" w:hAnsi="Calibri" w:cs="Calibri"/>
                <w:color w:val="000000"/>
              </w:rPr>
              <w:t>Ross (2006B)</w:t>
            </w:r>
          </w:p>
        </w:tc>
        <w:tc>
          <w:tcPr>
            <w:tcW w:w="674" w:type="pct"/>
            <w:tcBorders>
              <w:top w:val="single" w:sz="4" w:space="0" w:color="auto"/>
              <w:left w:val="single" w:sz="12" w:space="0" w:color="auto"/>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Assess malaria-attributable morbidity and mortality, model age-specific patterns in morbidity and mortality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H</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46"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P,C</w:t>
            </w:r>
          </w:p>
        </w:tc>
        <w:tc>
          <w:tcPr>
            <w:tcW w:w="773"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Relative incidence of severe malaria, entomologic data, malaria-specific mortality rates</w:t>
            </w:r>
          </w:p>
        </w:tc>
        <w:tc>
          <w:tcPr>
            <w:tcW w:w="6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Incidence of severe malaria, episodes of clinical malaria, death rates</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Natural immunity</w:t>
            </w:r>
            <w:r w:rsidRPr="00E358A3">
              <w:rPr>
                <w:rFonts w:ascii="Calibri" w:hAnsi="Calibri" w:cs="Calibri"/>
                <w:color w:val="000000"/>
              </w:rPr>
              <w:br/>
            </w:r>
            <w:r>
              <w:rPr>
                <w:rFonts w:ascii="Calibri" w:hAnsi="Calibri" w:cs="Calibri"/>
                <w:color w:val="000000"/>
              </w:rPr>
              <w:t>c</w:t>
            </w:r>
            <w:r w:rsidRPr="00E358A3">
              <w:rPr>
                <w:rFonts w:ascii="Calibri" w:hAnsi="Calibri" w:cs="Calibri"/>
                <w:color w:val="000000"/>
              </w:rPr>
              <w:t>o-morbidities</w:t>
            </w:r>
          </w:p>
        </w:tc>
        <w:tc>
          <w:tcPr>
            <w:tcW w:w="1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fldChar w:fldCharType="begin" w:fldLock="1"/>
            </w:r>
            <w:r>
              <w:rPr>
                <w:rFonts w:ascii="Calibri" w:hAnsi="Calibri" w:cs="Calibri"/>
                <w:color w:val="000000"/>
              </w:rPr>
              <w:instrText>ADDIN CSL_CITATION { "citationItems" : [ { "id" : "ITEM-1", "itemData" : { "DOI" : "75/2_suppl/63 [pii]", "ISBN" : "0002-9637 (Print)", "ISSN" : "0002-9637", "PMID" : "16931817", "abstract" : "The intensity of Plasmodium falciparum transmission has multifarious and sometimes counter-intuitive effects on age-specific rates of severe morbidity and mortality in endemic areas. This has led to conflicting speculations about the likely impact of malaria control interventions. We propose a quantitative framework to reconcile the various apparently contradictory observations relating morbidity and mortality rates to malaria transmission. Our model considers two sub-categories of severe malaria episodes. These comprise episodes with extremely high parasite densities in hosts with little previous exposure, and acute malaria episodes accompanied by co-morbidity or other risk factors enhancing susceptibility. In addition to direct malaria mortality from severe malaria episodes, the model also considers the enhanced risk of indirect mortality following acute episodes accompanied by co-morbidity after the parasites have been cleared. We fit this model to summaries of field data from endemic areas of Africa, and show that it can account for the observed age- and exposure-specific patterns of pediatric severe malaria and malaria-associated mortality in children. This model will allow us to make predictions of the long-term impact of potential malaria interventions. Predictions for children will be more reliable than those for older people because there is a paucity of epidemiologic studies of adults and adolescents.", "author" : [ { "dropping-particle" : "", "family" : "Ross", "given" : "Amanda", "non-dropping-particle" : "", "parse-names" : false, "suffix" : "" }, { "dropping-particle" : "", "family" : "Maire", "given" : "Nicolas", "non-dropping-particle" : "", "parse-names" : false, "suffix" : "" }, { "dropping-particle" : "", "family" : "Molineaux", "given" : "Louis", "non-dropping-particle" : "", "parse-names" : false, "suffix" : "" }, { "dropping-particle" : "", "family" : "Smith", "given" : "Thomas", "non-dropping-particle" : "", "parse-names" : false, "suffix" : "" } ], "container-title" : "The American journal of tropical medicine and hygiene", "id" : "ITEM-1", "issue" : "2 suppl", "issued" : { "date-parts" : [ [ "2006" ] ] }, "page" : "63-73", "title" : "An epidemiologic model of severe morbidity and mortality caused by Plasmodium falciparum.", "type" : "article-journal", "volume" : "75" }, "uris" : [ "http://www.mendeley.com/documents/?uuid=fc9b0bd0-3228-44a4-848a-6d28d631b62d" ] } ], "mendeley" : { "formattedCitation" : "(17)", "plainTextFormattedCitation" : "(17)", "previouslyFormattedCitation" : "(17)" }, "properties" : { "noteIndex" : 0 }, "schema" : "https://github.com/citation-style-language/schema/raw/master/csl-citation.json" }</w:instrText>
            </w:r>
            <w:r w:rsidRPr="00E358A3">
              <w:rPr>
                <w:rFonts w:ascii="Calibri" w:hAnsi="Calibri" w:cs="Calibri"/>
                <w:color w:val="000000"/>
              </w:rPr>
              <w:fldChar w:fldCharType="separate"/>
            </w:r>
            <w:r w:rsidRPr="009D01D3">
              <w:rPr>
                <w:rFonts w:ascii="Calibri" w:hAnsi="Calibri" w:cs="Calibri"/>
                <w:noProof/>
                <w:color w:val="000000"/>
              </w:rPr>
              <w:t>(17)</w:t>
            </w:r>
            <w:r w:rsidRPr="00E358A3">
              <w:rPr>
                <w:rFonts w:ascii="Calibri" w:hAnsi="Calibri" w:cs="Calibri"/>
                <w:color w:val="000000"/>
              </w:rPr>
              <w:fldChar w:fldCharType="end"/>
            </w:r>
          </w:p>
        </w:tc>
      </w:tr>
      <w:tr w:rsidR="009D01D3" w:rsidRPr="00E358A3" w:rsidTr="0020168A">
        <w:trPr>
          <w:trHeight w:val="1450"/>
        </w:trPr>
        <w:tc>
          <w:tcPr>
            <w:tcW w:w="260" w:type="pct"/>
            <w:tcBorders>
              <w:top w:val="nil"/>
              <w:left w:val="nil"/>
              <w:bottom w:val="nil"/>
              <w:right w:val="single" w:sz="4" w:space="0" w:color="auto"/>
            </w:tcBorders>
            <w:shd w:val="clear" w:color="auto" w:fill="auto"/>
            <w:vAlign w:val="center"/>
            <w:hideMark/>
          </w:tcPr>
          <w:p w:rsidR="009D01D3" w:rsidRPr="00DC11B8" w:rsidRDefault="009D01D3" w:rsidP="0020168A"/>
        </w:tc>
        <w:tc>
          <w:tcPr>
            <w:tcW w:w="360" w:type="pct"/>
            <w:tcBorders>
              <w:top w:val="nil"/>
              <w:left w:val="single" w:sz="4" w:space="0" w:color="auto"/>
              <w:bottom w:val="nil"/>
              <w:right w:val="single" w:sz="12" w:space="0" w:color="auto"/>
            </w:tcBorders>
            <w:shd w:val="clear" w:color="auto" w:fill="auto"/>
            <w:vAlign w:val="center"/>
            <w:hideMark/>
          </w:tcPr>
          <w:p w:rsidR="009D01D3" w:rsidRPr="001631E2" w:rsidRDefault="009D01D3" w:rsidP="0020168A">
            <w:pPr>
              <w:jc w:val="right"/>
              <w:rPr>
                <w:rFonts w:ascii="Calibri" w:hAnsi="Calibri" w:cs="Calibri"/>
                <w:color w:val="000000"/>
              </w:rPr>
            </w:pPr>
            <w:r w:rsidRPr="001631E2">
              <w:rPr>
                <w:rFonts w:ascii="Calibri" w:hAnsi="Calibri" w:cs="Calibri"/>
                <w:color w:val="000000"/>
              </w:rPr>
              <w:t>Tediosi (2006A)</w:t>
            </w:r>
          </w:p>
        </w:tc>
        <w:tc>
          <w:tcPr>
            <w:tcW w:w="674" w:type="pct"/>
            <w:tcBorders>
              <w:top w:val="single" w:sz="4" w:space="0" w:color="auto"/>
              <w:left w:val="single" w:sz="12" w:space="0" w:color="auto"/>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Predict incidence of clinical episodes and mortality, assess effects of case management</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H</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46"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P,C,S</w:t>
            </w:r>
          </w:p>
        </w:tc>
        <w:tc>
          <w:tcPr>
            <w:tcW w:w="773"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EIR</w:t>
            </w:r>
          </w:p>
        </w:tc>
        <w:tc>
          <w:tcPr>
            <w:tcW w:w="6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 xml:space="preserve">Death, sequelae, parasites, </w:t>
            </w:r>
            <w:r>
              <w:rPr>
                <w:rFonts w:ascii="Calibri" w:hAnsi="Calibri" w:cs="Calibri"/>
                <w:color w:val="000000"/>
              </w:rPr>
              <w:t>d</w:t>
            </w:r>
            <w:r w:rsidRPr="00E358A3">
              <w:rPr>
                <w:rFonts w:ascii="Calibri" w:hAnsi="Calibri" w:cs="Calibri"/>
                <w:color w:val="000000"/>
              </w:rPr>
              <w:t xml:space="preserve">isability-adjusted life years/ years of life lost (DALYs/YLLs), </w:t>
            </w:r>
            <w:r w:rsidRPr="00E358A3">
              <w:rPr>
                <w:rFonts w:ascii="Calibri" w:hAnsi="Calibri" w:cs="Calibri"/>
                <w:color w:val="000000"/>
              </w:rPr>
              <w:lastRenderedPageBreak/>
              <w:t>treatment costs per capita</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lastRenderedPageBreak/>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621"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Health care system capacities</w:t>
            </w:r>
            <w:r>
              <w:rPr>
                <w:rFonts w:ascii="Calibri" w:hAnsi="Calibri" w:cs="Calibri"/>
                <w:color w:val="000000"/>
              </w:rPr>
              <w:t>, decision tree approach to treatment</w:t>
            </w:r>
          </w:p>
        </w:tc>
        <w:tc>
          <w:tcPr>
            <w:tcW w:w="1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fldChar w:fldCharType="begin" w:fldLock="1"/>
            </w:r>
            <w:r>
              <w:rPr>
                <w:rFonts w:ascii="Calibri" w:hAnsi="Calibri" w:cs="Calibri"/>
                <w:color w:val="000000"/>
              </w:rPr>
              <w:instrText>ADDIN CSL_CITATION { "citationItems" : [ { "id" : "ITEM-1", "itemData" : { "ISBN" : "0002-9637", "ISSN" : "0002-9637", "PMID" : "16931820", "abstract" : "An important shortcoming of existing methods for estimating the cost-effectiveness of malaria control interventions is that the incidence of illness and transmission dynamics are assumed to be independent of the case management system. We have developed a model for case management and integrated it into a stochastic simulation of Plasmodium falciparum malaria dynamics. This allows us to predict the incidence of clinical episodes and of mortality while incorporating effects of case management on persistence of parasites and transmission. We make predictions for a range of different transmission intensities in sub-Saharan Africa and simulate a range of case management scenarios with different coverage rates. The model predicts that high treatment rates have a proportionately greater epidemiologic impact at low transmission levels. Further development is needed for models for health-seeking behavior and referral patterns. The current model is a first step towards useful predictions of the epidemiologic and economic consequences of introducing and/or scaling-up of malaria control interventions.", "author" : [ { "dropping-particle" : "", "family" : "Tediosi", "given" : "Fabrizio", "non-dropping-particle" : "", "parse-names" : false, "suffix" : "" }, { "dropping-particle" : "", "family" : "Maire", "given" : "Nicolas", "non-dropping-particle" : "", "parse-names" : false, "suffix" : "" }, { "dropping-particle" : "", "family" : "Smith", "given" : "Thomas", "non-dropping-particle" : "", "parse-names" : false, "suffix" : "" }, { "dropping-particle" : "", "family" : "Hutton", "given" : "Guy", "non-dropping-particle" : "", "parse-names" : false, "suffix" : "" }, { "dropping-particle" : "", "family" : "Utzinger", "given" : "J\u00fcrg", "non-dropping-particle" : "", "parse-names" : false, "suffix" : "" }, { "dropping-particle" : "", "family" : "Ross", "given" : "Amanda", "non-dropping-particle" : "", "parse-names" : false, "suffix" : "" }, { "dropping-particle" : "", "family" : "Tanner", "given" : "Marcel", "non-dropping-particle" : "", "parse-names" : false, "suffix" : "" } ], "container-title" : "The American journal of tropical medicine and hygiene", "id" : "ITEM-1", "issue" : "2 Suppl", "issued" : { "date-parts" : [ [ "2006" ] ] }, "page" : "90-103", "title" : "An approach to model the costs and effects of case management of Plasmodium falciparum malaria in sub-saharan Africa.", "type" : "article-journal", "volume" : "75" }, "uris" : [ "http://www.mendeley.com/documents/?uuid=58a6e1cf-2cad-4e07-a2a8-b7f6de8f0b46" ] } ], "mendeley" : { "formattedCitation" : "(18)", "plainTextFormattedCitation" : "(18)", "previouslyFormattedCitation" : "(18)" }, "properties" : { "noteIndex" : 0 }, "schema" : "https://github.com/citation-style-language/schema/raw/master/csl-citation.json" }</w:instrText>
            </w:r>
            <w:r w:rsidRPr="00E358A3">
              <w:rPr>
                <w:rFonts w:ascii="Calibri" w:hAnsi="Calibri" w:cs="Calibri"/>
                <w:color w:val="000000"/>
              </w:rPr>
              <w:fldChar w:fldCharType="separate"/>
            </w:r>
            <w:r w:rsidRPr="009D01D3">
              <w:rPr>
                <w:rFonts w:ascii="Calibri" w:hAnsi="Calibri" w:cs="Calibri"/>
                <w:noProof/>
                <w:color w:val="000000"/>
              </w:rPr>
              <w:t>(18)</w:t>
            </w:r>
            <w:r w:rsidRPr="00E358A3">
              <w:rPr>
                <w:rFonts w:ascii="Calibri" w:hAnsi="Calibri" w:cs="Calibri"/>
                <w:color w:val="000000"/>
              </w:rPr>
              <w:fldChar w:fldCharType="end"/>
            </w:r>
          </w:p>
        </w:tc>
      </w:tr>
      <w:tr w:rsidR="009D01D3" w:rsidRPr="00E358A3" w:rsidTr="0020168A">
        <w:trPr>
          <w:trHeight w:val="580"/>
        </w:trPr>
        <w:tc>
          <w:tcPr>
            <w:tcW w:w="260" w:type="pct"/>
            <w:tcBorders>
              <w:top w:val="nil"/>
              <w:left w:val="nil"/>
              <w:bottom w:val="nil"/>
              <w:right w:val="single" w:sz="4" w:space="0" w:color="auto"/>
            </w:tcBorders>
            <w:shd w:val="clear" w:color="auto" w:fill="auto"/>
            <w:vAlign w:val="center"/>
            <w:hideMark/>
          </w:tcPr>
          <w:p w:rsidR="009D01D3" w:rsidRPr="00DC11B8" w:rsidRDefault="009D01D3" w:rsidP="0020168A">
            <w:pPr>
              <w:rPr>
                <w:rFonts w:ascii="Calibri" w:hAnsi="Calibri" w:cs="Calibri"/>
                <w:color w:val="000000"/>
              </w:rPr>
            </w:pPr>
          </w:p>
        </w:tc>
        <w:tc>
          <w:tcPr>
            <w:tcW w:w="360" w:type="pct"/>
            <w:tcBorders>
              <w:top w:val="nil"/>
              <w:left w:val="single" w:sz="4" w:space="0" w:color="auto"/>
              <w:bottom w:val="nil"/>
              <w:right w:val="single" w:sz="12" w:space="0" w:color="auto"/>
            </w:tcBorders>
            <w:shd w:val="clear" w:color="auto" w:fill="auto"/>
            <w:vAlign w:val="center"/>
            <w:hideMark/>
          </w:tcPr>
          <w:p w:rsidR="009D01D3" w:rsidRPr="00EF1D3C" w:rsidRDefault="009D01D3" w:rsidP="0020168A">
            <w:pPr>
              <w:jc w:val="right"/>
              <w:rPr>
                <w:rFonts w:ascii="Calibri" w:hAnsi="Calibri" w:cs="Calibri"/>
                <w:color w:val="000000"/>
              </w:rPr>
            </w:pPr>
            <w:r w:rsidRPr="001631E2">
              <w:rPr>
                <w:rFonts w:ascii="Calibri" w:hAnsi="Calibri" w:cs="Calibri"/>
                <w:color w:val="000000"/>
              </w:rPr>
              <w:t>Maire (2006B)</w:t>
            </w:r>
          </w:p>
        </w:tc>
        <w:tc>
          <w:tcPr>
            <w:tcW w:w="674" w:type="pct"/>
            <w:tcBorders>
              <w:top w:val="single" w:sz="4" w:space="0" w:color="auto"/>
              <w:left w:val="single" w:sz="12" w:space="0" w:color="auto"/>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Validate Smith (2006A) against vaccine trial data</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H</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46"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Pr>
                <w:rFonts w:ascii="Calibri" w:hAnsi="Calibri" w:cs="Calibri"/>
                <w:color w:val="000000"/>
              </w:rPr>
              <w:t>C,</w:t>
            </w:r>
            <w:r w:rsidRPr="00E358A3">
              <w:rPr>
                <w:rFonts w:ascii="Calibri" w:hAnsi="Calibri" w:cs="Calibri"/>
                <w:color w:val="000000"/>
              </w:rPr>
              <w:t>V</w:t>
            </w:r>
          </w:p>
        </w:tc>
        <w:tc>
          <w:tcPr>
            <w:tcW w:w="773"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EIR</w:t>
            </w:r>
          </w:p>
        </w:tc>
        <w:tc>
          <w:tcPr>
            <w:tcW w:w="6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Time to first episode of clinical malaria</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p>
        </w:tc>
        <w:tc>
          <w:tcPr>
            <w:tcW w:w="1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fldChar w:fldCharType="begin" w:fldLock="1"/>
            </w:r>
            <w:r>
              <w:rPr>
                <w:rFonts w:ascii="Calibri" w:hAnsi="Calibri" w:cs="Calibri"/>
                <w:color w:val="000000"/>
              </w:rPr>
              <w:instrText>ADDIN CSL_CITATION { "citationItems" : [ { "id" : "ITEM-1", "itemData" : { "DOI" : "75/2_suppl/104 [pii]", "ISBN" : "0002-9637 (Print)\\r0002-9637 (Linking)", "ISSN" : "00029637", "PMID" : "16931821", "abstract" : "A double-blind, phase IIb, randomized controlled trial of the malaria vaccine RTS,S/AS02A showed an efficacy of 45.0% in reducing the force of infection for Plasmodium falciparum and of 29.9% in reducing incidence of clinical malaria in children 1-4 years of age in Manhi\u00e7a, Mozambique. We simulate this trial using a stochastic model of P. falciparum epidemiology, and the setting-specific seasonal pattern of entomologic inoculations as input. The simulated incidence curve for the control group was comparable with that observed in the trial. To reproduce the observed efficacy in extending time to first infection, the model needed to assume an efficacy of 52% in reducing the force of infection. This bias arises as a result of acquired partial immunity against blood stages, thus suggesting an explanation for the lower efficacy observed in a previous trial in semi-immune adult men in The Gambia. The shape of the incidence of infection curve for the vaccine cohort in Manhi\u00e7a indicates that the vaccine provides incomplete protection to a large proportion of the vaccinees, rather than offering complete protection to some recipients and none to others. This behavior is compatible with a model of no decay in efficacy over the six-month surveillance period of the trial. The model accurately reproduced the lower efficacy against clinical disease than against infection. In the simulations this finding resulted from loss of acquired clinical immunity as a result of a reduction in the force of infection in the vaccinated cohort. The model also predicted greater efficacy against severe diseases than against clinical disease. The success of the simulation model in reproducing the results of the Manhi\u00e7a trial encourages us to apply the same model to predict the potential public health and economic impact if RTS,S/AS02A were to be introduced into the existing expanded program on immunization.", "author" : [ { "dropping-particle" : "", "family" : "Maire", "given" : "Nicolas", "non-dropping-particle" : "", "parse-names" : false, "suffix" : "" }, { "dropping-particle" : "", "family" : "Aponte", "given" : "John J.", "non-dropping-particle" : "", "parse-names" : false, "suffix" : "" }, { "dropping-particle" : "", "family" : "Ross", "given" : "Amanda", "non-dropping-particle" : "", "parse-names" : false, "suffix" : "" }, { "dropping-particle" : "", "family" : "Thompson", "given" : "Ricardo", "non-dropping-particle" : "", "parse-names" : false, "suffix" : "" }, { "dropping-particle" : "", "family" : "Alonso", "given" : "Pedro", "non-dropping-particle" : "", "parse-names" : false, "suffix" : "" }, { "dropping-particle" : "", "family" : "Utzinger", "given" : "J\u00fcrg", "non-dropping-particle" : "", "parse-names" : false, "suffix" : "" }, { "dropping-particle" : "", "family" : "Tanner", "given" : "Marcel", "non-dropping-particle" : "", "parse-names" : false, "suffix" : "" }, { "dropping-particle" : "", "family" : "Smith", "given" : "Thomas", "non-dropping-particle" : "", "parse-names" : false, "suffix" : "" } ], "container-title" : "American Journal of Tropical Medicine and Hygiene", "id" : "ITEM-1", "issue" : "2 suppl", "issued" : { "date-parts" : [ [ "2006" ] ] }, "page" : "104-110", "title" : "Modeling A Field Trial of the RTS,S/AS02A Malaria Vaccine", "type" : "article-journal", "volume" : "75" }, "uris" : [ "http://www.mendeley.com/documents/?uuid=f604eb1a-3c64-459f-9f5a-393a8d28c812" ] } ], "mendeley" : { "formattedCitation" : "(19)", "plainTextFormattedCitation" : "(19)", "previouslyFormattedCitation" : "(19)" }, "properties" : { "noteIndex" : 0 }, "schema" : "https://github.com/citation-style-language/schema/raw/master/csl-citation.json" }</w:instrText>
            </w:r>
            <w:r w:rsidRPr="00E358A3">
              <w:rPr>
                <w:rFonts w:ascii="Calibri" w:hAnsi="Calibri" w:cs="Calibri"/>
                <w:color w:val="000000"/>
              </w:rPr>
              <w:fldChar w:fldCharType="separate"/>
            </w:r>
            <w:r w:rsidRPr="009D01D3">
              <w:rPr>
                <w:rFonts w:ascii="Calibri" w:hAnsi="Calibri" w:cs="Calibri"/>
                <w:noProof/>
                <w:color w:val="000000"/>
              </w:rPr>
              <w:t>(19)</w:t>
            </w:r>
            <w:r w:rsidRPr="00E358A3">
              <w:rPr>
                <w:rFonts w:ascii="Calibri" w:hAnsi="Calibri" w:cs="Calibri"/>
                <w:color w:val="000000"/>
              </w:rPr>
              <w:fldChar w:fldCharType="end"/>
            </w:r>
          </w:p>
        </w:tc>
      </w:tr>
      <w:tr w:rsidR="009D01D3" w:rsidRPr="00E358A3" w:rsidTr="0020168A">
        <w:trPr>
          <w:trHeight w:val="1740"/>
        </w:trPr>
        <w:tc>
          <w:tcPr>
            <w:tcW w:w="260" w:type="pct"/>
            <w:tcBorders>
              <w:top w:val="nil"/>
              <w:left w:val="nil"/>
              <w:bottom w:val="nil"/>
              <w:right w:val="single" w:sz="4" w:space="0" w:color="auto"/>
            </w:tcBorders>
            <w:shd w:val="clear" w:color="auto" w:fill="auto"/>
            <w:vAlign w:val="center"/>
            <w:hideMark/>
          </w:tcPr>
          <w:p w:rsidR="009D01D3" w:rsidRPr="00DC11B8" w:rsidRDefault="009D01D3" w:rsidP="0020168A">
            <w:pPr>
              <w:rPr>
                <w:rFonts w:ascii="Calibri" w:hAnsi="Calibri" w:cs="Calibri"/>
                <w:color w:val="000000"/>
              </w:rPr>
            </w:pPr>
          </w:p>
        </w:tc>
        <w:tc>
          <w:tcPr>
            <w:tcW w:w="360" w:type="pct"/>
            <w:tcBorders>
              <w:top w:val="nil"/>
              <w:left w:val="single" w:sz="4" w:space="0" w:color="auto"/>
              <w:bottom w:val="nil"/>
              <w:right w:val="single" w:sz="12" w:space="0" w:color="auto"/>
            </w:tcBorders>
            <w:shd w:val="clear" w:color="auto" w:fill="auto"/>
            <w:vAlign w:val="center"/>
            <w:hideMark/>
          </w:tcPr>
          <w:p w:rsidR="009D01D3" w:rsidRPr="001631E2" w:rsidRDefault="009D01D3" w:rsidP="0020168A">
            <w:pPr>
              <w:jc w:val="right"/>
              <w:rPr>
                <w:rFonts w:ascii="Calibri" w:hAnsi="Calibri" w:cs="Calibri"/>
                <w:color w:val="000000"/>
              </w:rPr>
            </w:pPr>
            <w:r w:rsidRPr="001631E2">
              <w:rPr>
                <w:rFonts w:ascii="Calibri" w:hAnsi="Calibri" w:cs="Calibri"/>
                <w:color w:val="000000"/>
              </w:rPr>
              <w:t>Maire (2006C)</w:t>
            </w:r>
          </w:p>
        </w:tc>
        <w:tc>
          <w:tcPr>
            <w:tcW w:w="674" w:type="pct"/>
            <w:tcBorders>
              <w:top w:val="single" w:sz="4" w:space="0" w:color="auto"/>
              <w:left w:val="single" w:sz="12" w:space="0" w:color="auto"/>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Predict effects of RTS,S/AS02A vaccine in expanded program on immunisation (EPI) in sub-Saharan Africa (SSA)</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H</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46"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P,C,V,S</w:t>
            </w:r>
          </w:p>
        </w:tc>
        <w:tc>
          <w:tcPr>
            <w:tcW w:w="773"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EIR, vaccine profile parameters</w:t>
            </w:r>
          </w:p>
        </w:tc>
        <w:tc>
          <w:tcPr>
            <w:tcW w:w="6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Uncomplicated cases, severe cases, mortality, patent parasitaemia, anaemia, cumulative vaccine effectiveness</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Acquired immunity</w:t>
            </w:r>
          </w:p>
        </w:tc>
        <w:tc>
          <w:tcPr>
            <w:tcW w:w="1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fldChar w:fldCharType="begin" w:fldLock="1"/>
            </w:r>
            <w:r>
              <w:rPr>
                <w:rFonts w:ascii="Calibri" w:hAnsi="Calibri" w:cs="Calibri"/>
                <w:color w:val="000000"/>
              </w:rPr>
              <w:instrText>ADDIN CSL_CITATION { "citationItems" : [ { "id" : "ITEM-1", "itemData" : { "DOI" : "75/2_suppl/111 [pii]", "ISBN" : "0002-9637 (Print)\\r0002-9637 (Linking)", "ISSN" : "00029637", "PMID" : "16931822", "abstract" : "We predict the effects of introduction of a pre-erythrocytic vaccine against Plasmodium falciparum into a malaria-endemic population in Africa. We use a stochastic simulation model that includes components of transmission, parasitology, and clinical epidemiology of malaria and was validated using the results of field trials of the RTS,S/AS02A vaccine. The results suggest that vaccines with efficacy similar to that of RTS,S/AS02A have a substantial impact on malaria morbidity and mortality during the first decade after their introduction, but have negligible effects on malaria transmission at levels of endemicity typical for sub-Saharan Africa. The main benefits result from prevention of morbidity and mortality in the first years of life. Vaccines with very short half-life or low efficacy may have little overall effect on incidence of severe malaria. A similar approach can be used to make predictions for other strategies for deployment of the vaccine and to other types of malaria vaccines and interventions.", "author" : [ { "dropping-particle" : "", "family" : "Maire", "given" : "Nicolas", "non-dropping-particle" : "", "parse-names" : false, "suffix" : "" }, { "dropping-particle" : "", "family" : "Tediosi", "given" : "Fabrizio", "non-dropping-particle" : "", "parse-names" : false, "suffix" : "" }, { "dropping-particle" : "", "family" : "Ross", "given" : "Amanda", "non-dropping-particle" : "", "parse-names" : false, "suffix" : "" }, { "dropping-particle" : "", "family" : "Smith", "given" : "Thomas", "non-dropping-particle" : "", "parse-names" : false, "suffix" : "" } ], "container-title" : "American Journal of Tropical Medicine and Hygiene", "id" : "ITEM-1", "issue" : "2 suppl", "issued" : { "date-parts" : [ [ "2006" ] ] }, "page" : "111-118", "title" : "Predictions of the epidemiologic impact of introducing a pre-erythrocytic vaccine into the expanded program on immunization in sub-Saharan Africa", "type" : "article-journal", "volume" : "75" }, "uris" : [ "http://www.mendeley.com/documents/?uuid=ca077208-c0c3-4213-8b75-a32608a64703" ] } ], "mendeley" : { "formattedCitation" : "(20)", "plainTextFormattedCitation" : "(20)", "previouslyFormattedCitation" : "(20)" }, "properties" : { "noteIndex" : 0 }, "schema" : "https://github.com/citation-style-language/schema/raw/master/csl-citation.json" }</w:instrText>
            </w:r>
            <w:r w:rsidRPr="00E358A3">
              <w:rPr>
                <w:rFonts w:ascii="Calibri" w:hAnsi="Calibri" w:cs="Calibri"/>
                <w:color w:val="000000"/>
              </w:rPr>
              <w:fldChar w:fldCharType="separate"/>
            </w:r>
            <w:r w:rsidRPr="009D01D3">
              <w:rPr>
                <w:rFonts w:ascii="Calibri" w:hAnsi="Calibri" w:cs="Calibri"/>
                <w:noProof/>
                <w:color w:val="000000"/>
              </w:rPr>
              <w:t>(20)</w:t>
            </w:r>
            <w:r w:rsidRPr="00E358A3">
              <w:rPr>
                <w:rFonts w:ascii="Calibri" w:hAnsi="Calibri" w:cs="Calibri"/>
                <w:color w:val="000000"/>
              </w:rPr>
              <w:fldChar w:fldCharType="end"/>
            </w:r>
          </w:p>
        </w:tc>
      </w:tr>
      <w:tr w:rsidR="009D01D3" w:rsidRPr="00E358A3" w:rsidTr="0020168A">
        <w:trPr>
          <w:trHeight w:val="1450"/>
        </w:trPr>
        <w:tc>
          <w:tcPr>
            <w:tcW w:w="260" w:type="pct"/>
            <w:tcBorders>
              <w:top w:val="nil"/>
              <w:left w:val="nil"/>
              <w:bottom w:val="nil"/>
              <w:right w:val="single" w:sz="4" w:space="0" w:color="auto"/>
            </w:tcBorders>
            <w:shd w:val="clear" w:color="auto" w:fill="auto"/>
            <w:vAlign w:val="center"/>
            <w:hideMark/>
          </w:tcPr>
          <w:p w:rsidR="009D01D3" w:rsidRPr="00DC11B8" w:rsidRDefault="009D01D3" w:rsidP="0020168A"/>
        </w:tc>
        <w:tc>
          <w:tcPr>
            <w:tcW w:w="360" w:type="pct"/>
            <w:tcBorders>
              <w:top w:val="nil"/>
              <w:left w:val="single" w:sz="4" w:space="0" w:color="auto"/>
              <w:bottom w:val="nil"/>
              <w:right w:val="single" w:sz="12" w:space="0" w:color="auto"/>
            </w:tcBorders>
            <w:shd w:val="clear" w:color="auto" w:fill="auto"/>
            <w:vAlign w:val="center"/>
            <w:hideMark/>
          </w:tcPr>
          <w:p w:rsidR="009D01D3" w:rsidRPr="001631E2" w:rsidRDefault="009D01D3" w:rsidP="0020168A">
            <w:pPr>
              <w:jc w:val="right"/>
              <w:rPr>
                <w:rFonts w:ascii="Calibri" w:hAnsi="Calibri" w:cs="Calibri"/>
                <w:color w:val="000000"/>
              </w:rPr>
            </w:pPr>
            <w:r w:rsidRPr="001631E2">
              <w:rPr>
                <w:rFonts w:ascii="Calibri" w:hAnsi="Calibri" w:cs="Calibri"/>
                <w:color w:val="000000"/>
              </w:rPr>
              <w:t>Tediosi (2006B)</w:t>
            </w:r>
          </w:p>
        </w:tc>
        <w:tc>
          <w:tcPr>
            <w:tcW w:w="674" w:type="pct"/>
            <w:tcBorders>
              <w:top w:val="single" w:sz="4" w:space="0" w:color="auto"/>
              <w:left w:val="single" w:sz="12" w:space="0" w:color="auto"/>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Assess cost-effectiveness of adding RTS,S/AS02 vaccine into EPI</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H</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46"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P,S</w:t>
            </w:r>
          </w:p>
        </w:tc>
        <w:tc>
          <w:tcPr>
            <w:tcW w:w="773"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Predicted cost per dose delivered, cost per fully immunized child (FIC)</w:t>
            </w:r>
          </w:p>
        </w:tc>
        <w:tc>
          <w:tcPr>
            <w:tcW w:w="6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DALYs, YLL, direct costs, productivity gains</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621"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p>
        </w:tc>
        <w:tc>
          <w:tcPr>
            <w:tcW w:w="1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pPr>
            <w:r w:rsidRPr="00E358A3">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pPr>
            <w:r w:rsidRPr="00E358A3">
              <w:fldChar w:fldCharType="begin" w:fldLock="1"/>
            </w:r>
            <w:r>
              <w:instrText>ADDIN CSL_CITATION { "citationItems" : [ { "id" : "ITEM-1", "itemData" : { "DOI" : "75/2_suppl/111 [pii]", "ISBN" : "0002-9637 (Print)\\r0002-9637 (Linking)", "ISSN" : "00029637", "PMID" : "16931822", "abstract" : "We model the cost-effectiveness of the introduction of a pre-erythrocytic malaria vaccine into the Ex- panded Program on Immunization. We use a dynamic stochastic simulation model of the epidemiology of Plasmodium falciparum in malaria-endemic areas and of case management in Tanzania.Weconsider a range of vaccine characteristics and a range of transmission settings. At low vaccine prices, the cost-effectiveness of such vaccines may be similar to that of other established preventative and curative interventions against malaria. The cost-effectiveness ratio increases rapidly and approximately linearly with vaccine cost per dose. The approach can be adopted for comparative analyses of the cost effectiveness of different vaccines and other intervention strategies.", "author" : [ { "dropping-particle" : "", "family" : "Tediosi", "given" : "Fabrizio", "non-dropping-particle" : "", "parse-names" : false, "suffix" : "" }, { "dropping-particle" : "", "family" : "Hutton", "given" : "Guy", "non-dropping-particle" : "", "parse-names" : false, "suffix" : "" }, { "dropping-particle" : "", "family" : "Maire", "given" : "Nicolas", "non-dropping-particle" : "", "parse-names" : false, "suffix" : "" }, { "dropping-particle" : "", "family" : "Smith", "given" : "Thomas A", "non-dropping-particle" : "", "parse-names" : false, "suffix" : "" }, { "dropping-particle" : "", "family" : "Ross", "given" : "Amanda", "non-dropping-particle" : "", "parse-names" : false, "suffix" : "" }, { "dropping-particle" : "", "family" : "Tanner", "given" : "Marcel", "non-dropping-particle" : "", "parse-names" : false, "suffix" : "" } ], "container-title" : "American Journal of Tropical Medicine and Hygiene", "id" : "ITEM-1", "issue" : "2 suppl", "issued" : { "date-parts" : [ [ "2006" ] ] }, "page" : "119-130", "title" : "Predicting the Cost-Effectiveness of Introducing a Pre-Erythrocytic Malaria Vaccine Into the Expanded Program on Immunization in Tanzania", "type" : "article-journal", "volume" : "75" }, "uris" : [ "http://www.mendeley.com/documents/?uuid=7b8af203-999b-4f03-a103-7c25fe2b10cb" ] } ], "mendeley" : { "formattedCitation" : "(21)", "plainTextFormattedCitation" : "(21)", "previouslyFormattedCitation" : "(21)" }, "properties" : { "noteIndex" : 0 }, "schema" : "https://github.com/citation-style-language/schema/raw/master/csl-citation.json" }</w:instrText>
            </w:r>
            <w:r w:rsidRPr="00E358A3">
              <w:fldChar w:fldCharType="separate"/>
            </w:r>
            <w:r w:rsidRPr="009D01D3">
              <w:rPr>
                <w:noProof/>
              </w:rPr>
              <w:t>(21)</w:t>
            </w:r>
            <w:r w:rsidRPr="00E358A3">
              <w:fldChar w:fldCharType="end"/>
            </w:r>
          </w:p>
        </w:tc>
      </w:tr>
      <w:tr w:rsidR="009D01D3" w:rsidRPr="00E358A3" w:rsidTr="0020168A">
        <w:trPr>
          <w:trHeight w:val="580"/>
        </w:trPr>
        <w:tc>
          <w:tcPr>
            <w:tcW w:w="260" w:type="pct"/>
            <w:tcBorders>
              <w:top w:val="nil"/>
              <w:left w:val="nil"/>
              <w:bottom w:val="nil"/>
              <w:right w:val="single" w:sz="4" w:space="0" w:color="auto"/>
            </w:tcBorders>
            <w:shd w:val="clear" w:color="auto" w:fill="auto"/>
            <w:vAlign w:val="center"/>
            <w:hideMark/>
          </w:tcPr>
          <w:p w:rsidR="009D01D3" w:rsidRPr="00E358A3" w:rsidRDefault="009D01D3" w:rsidP="0020168A"/>
        </w:tc>
        <w:tc>
          <w:tcPr>
            <w:tcW w:w="360" w:type="pct"/>
            <w:tcBorders>
              <w:top w:val="nil"/>
              <w:left w:val="single" w:sz="4" w:space="0" w:color="auto"/>
              <w:bottom w:val="nil"/>
              <w:right w:val="single" w:sz="12" w:space="0" w:color="auto"/>
            </w:tcBorders>
            <w:shd w:val="clear" w:color="auto" w:fill="auto"/>
            <w:vAlign w:val="center"/>
            <w:hideMark/>
          </w:tcPr>
          <w:p w:rsidR="009D01D3" w:rsidRPr="00EF1D3C" w:rsidRDefault="009D01D3" w:rsidP="0020168A">
            <w:pPr>
              <w:jc w:val="right"/>
              <w:rPr>
                <w:rFonts w:ascii="Calibri" w:hAnsi="Calibri" w:cs="Calibri"/>
                <w:color w:val="000000"/>
              </w:rPr>
            </w:pPr>
            <w:r w:rsidRPr="005470B2">
              <w:rPr>
                <w:rFonts w:ascii="Calibri" w:hAnsi="Calibri" w:cs="Calibri"/>
                <w:color w:val="000000"/>
              </w:rPr>
              <w:t>Smith (2008</w:t>
            </w:r>
            <w:r w:rsidRPr="001631E2">
              <w:rPr>
                <w:rFonts w:ascii="Calibri" w:hAnsi="Calibri" w:cs="Calibri"/>
                <w:color w:val="000000"/>
              </w:rPr>
              <w:t>)</w:t>
            </w:r>
          </w:p>
        </w:tc>
        <w:tc>
          <w:tcPr>
            <w:tcW w:w="674" w:type="pct"/>
            <w:tcBorders>
              <w:top w:val="single" w:sz="4" w:space="0" w:color="auto"/>
              <w:left w:val="single" w:sz="12" w:space="0" w:color="auto"/>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Overview of extensions to Smith (2006A) model</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H</w:t>
            </w:r>
          </w:p>
        </w:tc>
        <w:tc>
          <w:tcPr>
            <w:tcW w:w="152" w:type="pct"/>
            <w:tcBorders>
              <w:top w:val="single" w:sz="4" w:space="0" w:color="auto"/>
              <w:left w:val="nil"/>
              <w:bottom w:val="single" w:sz="4" w:space="0" w:color="auto"/>
              <w:right w:val="nil"/>
            </w:tcBorders>
            <w:shd w:val="clear" w:color="auto" w:fill="auto"/>
            <w:vAlign w:val="center"/>
            <w:hideMark/>
          </w:tcPr>
          <w:p w:rsidR="009D01D3" w:rsidRPr="006B70A8" w:rsidRDefault="009D01D3" w:rsidP="0020168A">
            <w:pPr>
              <w:jc w:val="center"/>
              <w:rPr>
                <w:rFonts w:ascii="Calibri" w:hAnsi="Calibri" w:cs="Calibri"/>
                <w:color w:val="000000"/>
                <w:vertAlign w:val="superscript"/>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r w:rsidRPr="00BC5994">
              <w:rPr>
                <w:rFonts w:ascii="Calibri" w:hAnsi="Calibri" w:cs="Calibri"/>
                <w:color w:val="000000"/>
                <w:vertAlign w:val="superscript"/>
              </w:rPr>
              <w:t>‡</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46"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w:t>
            </w:r>
          </w:p>
        </w:tc>
        <w:tc>
          <w:tcPr>
            <w:tcW w:w="773"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w:t>
            </w:r>
          </w:p>
        </w:tc>
        <w:tc>
          <w:tcPr>
            <w:tcW w:w="6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w:t>
            </w:r>
          </w:p>
        </w:tc>
        <w:tc>
          <w:tcPr>
            <w:tcW w:w="621"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w:t>
            </w:r>
          </w:p>
        </w:tc>
        <w:tc>
          <w:tcPr>
            <w:tcW w:w="1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Pr>
                <w:rFonts w:ascii="Calibri" w:hAnsi="Calibri" w:cs="Calibri"/>
                <w:color w:val="000000"/>
              </w:rPr>
              <w:t>*</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fldChar w:fldCharType="begin" w:fldLock="1"/>
            </w:r>
            <w:r>
              <w:rPr>
                <w:rFonts w:ascii="Calibri" w:hAnsi="Calibri" w:cs="Calibri"/>
                <w:color w:val="000000"/>
              </w:rPr>
              <w:instrText>ADDIN CSL_CITATION { "citationItems" : [ { "id" : "ITEM-1", "itemData" : { "DOI" : "10.1017/S0031182008000371", "ISBN" : "1469-8161 (Electronic)\\n0031-1820 (Linking)", "ISSN" : "0031-1820", "PMID" : "18694530", "abstract" : "Planning of the control of Plasmodium falciparum malaria leads to a need for models of malaria epidemiology that provide realistic quantitative prediction of likely epidemiological outcomes of a wide range of control strategies. Predictions of the effects of control often ignore medium- and long-term dynamics. The complexities of the Plasmodium life-cycle, and of within-host dynamics, limit the applicability of conventional deterministic malaria models. We use individual-based stochastic simulations of malaria epidemiology to predict the impacts of interventions on infection, morbidity, mortality, health services use and costs. Individual infections are simulated by stochastic series of parasite densities, and naturally acquired immunity acts by reducing densities. Morbidity and mortality risks, and infectiousness to vectors, depend on parasite densities. The simulated infections are nested within simulations of individuals in human populations, and linked to models of interventions and health systems. We use numerous field datasets to optimise parameter estimates. By using a volunteer computing system we obtain the enormous computational power required for model fitting, sensitivity analysis, and exploration of many different intervention strategies. The project thus provides a general platform for comparing, fitting, and evaluating different model structures, and for quantitative prediction of effects of different interventions and integrated control programmes.", "author" : [ { "dropping-particle" : "", "family" : "Smith", "given" : "T", "non-dropping-particle" : "", "parse-names" : false, "suffix" : "" }, { "dropping-particle" : "", "family" : "Maire", "given" : "N", "non-dropping-particle" : "", "parse-names" : false, "suffix" : "" }, { "dropping-particle" : "", "family" : "Ross", "given" : "A", "non-dropping-particle" : "", "parse-names" : false, "suffix" : "" }, { "dropping-particle" : "", "family" : "Penny", "given" : "M", "non-dropping-particle" : "", "parse-names" : false, "suffix" : "" }, { "dropping-particle" : "", "family" : "Chitnis", "given" : "N", "non-dropping-particle" : "", "parse-names" : false, "suffix" : "" }, { "dropping-particle" : "", "family" : "Schapira", "given" : "A", "non-dropping-particle" : "", "parse-names" : false, "suffix" : "" }, { "dropping-particle" : "", "family" : "Studer", "given" : "A", "non-dropping-particle" : "", "parse-names" : false, "suffix" : "" }, { "dropping-particle" : "", "family" : "Genton", "given" : "B", "non-dropping-particle" : "", "parse-names" : false, "suffix" : "" }, { "dropping-particle" : "", "family" : "Lengeler", "given" : "C", "non-dropping-particle" : "", "parse-names" : false, "suffix" : "" }, { "dropping-particle" : "", "family" : "Tediosi", "given" : "F", "non-dropping-particle" : "", "parse-names" : false, "suffix" : "" }, { "dropping-particle" : "", "family" : "Savigny", "given" : "D", "non-dropping-particle" : "de", "parse-names" : false, "suffix" : "" }, { "dropping-particle" : "", "family" : "Tanner", "given" : "M", "non-dropping-particle" : "", "parse-names" : false, "suffix" : "" } ], "container-title" : "Parasitology", "id" : "ITEM-1", "issue" : "13", "issued" : { "date-parts" : [ [ "2008" ] ] }, "page" : "1507-1516", "title" : "Towards a comprehensive simulation model of malaria epidemiology and control", "type" : "article-journal", "volume" : "135" }, "uris" : [ "http://www.mendeley.com/documents/?uuid=7a4fc5a5-6c30-44b3-b3ee-3d7e7b91960d" ] } ], "mendeley" : { "formattedCitation" : "(22)", "plainTextFormattedCitation" : "(22)", "previouslyFormattedCitation" : "(22)" }, "properties" : { "noteIndex" : 0 }, "schema" : "https://github.com/citation-style-language/schema/raw/master/csl-citation.json" }</w:instrText>
            </w:r>
            <w:r w:rsidRPr="00E358A3">
              <w:rPr>
                <w:rFonts w:ascii="Calibri" w:hAnsi="Calibri" w:cs="Calibri"/>
                <w:color w:val="000000"/>
              </w:rPr>
              <w:fldChar w:fldCharType="separate"/>
            </w:r>
            <w:r w:rsidRPr="009D01D3">
              <w:rPr>
                <w:rFonts w:ascii="Calibri" w:hAnsi="Calibri" w:cs="Calibri"/>
                <w:noProof/>
                <w:color w:val="000000"/>
              </w:rPr>
              <w:t>(22)</w:t>
            </w:r>
            <w:r w:rsidRPr="00E358A3">
              <w:rPr>
                <w:rFonts w:ascii="Calibri" w:hAnsi="Calibri" w:cs="Calibri"/>
                <w:color w:val="000000"/>
              </w:rPr>
              <w:fldChar w:fldCharType="end"/>
            </w:r>
          </w:p>
        </w:tc>
      </w:tr>
      <w:tr w:rsidR="009D01D3" w:rsidRPr="00E358A3" w:rsidTr="0020168A">
        <w:trPr>
          <w:trHeight w:val="1160"/>
        </w:trPr>
        <w:tc>
          <w:tcPr>
            <w:tcW w:w="260" w:type="pct"/>
            <w:tcBorders>
              <w:top w:val="nil"/>
              <w:left w:val="nil"/>
              <w:bottom w:val="nil"/>
              <w:right w:val="single" w:sz="4" w:space="0" w:color="auto"/>
            </w:tcBorders>
            <w:shd w:val="clear" w:color="auto" w:fill="auto"/>
            <w:vAlign w:val="center"/>
            <w:hideMark/>
          </w:tcPr>
          <w:p w:rsidR="009D01D3" w:rsidRPr="00E358A3" w:rsidRDefault="009D01D3" w:rsidP="0020168A">
            <w:pPr>
              <w:rPr>
                <w:rFonts w:ascii="Calibri" w:hAnsi="Calibri" w:cs="Calibri"/>
                <w:color w:val="000000"/>
              </w:rPr>
            </w:pPr>
            <w:r w:rsidRPr="00E358A3">
              <w:rPr>
                <w:rFonts w:ascii="Calibri" w:hAnsi="Calibri" w:cs="Calibri"/>
                <w:color w:val="000000"/>
              </w:rPr>
              <w:t> </w:t>
            </w:r>
          </w:p>
        </w:tc>
        <w:tc>
          <w:tcPr>
            <w:tcW w:w="360" w:type="pct"/>
            <w:tcBorders>
              <w:top w:val="nil"/>
              <w:left w:val="single" w:sz="4" w:space="0" w:color="auto"/>
              <w:bottom w:val="nil"/>
              <w:right w:val="single" w:sz="12" w:space="0" w:color="auto"/>
            </w:tcBorders>
            <w:shd w:val="clear" w:color="auto" w:fill="auto"/>
            <w:vAlign w:val="center"/>
            <w:hideMark/>
          </w:tcPr>
          <w:p w:rsidR="009D01D3" w:rsidRPr="00C45088" w:rsidRDefault="009D01D3" w:rsidP="0020168A">
            <w:pPr>
              <w:jc w:val="right"/>
              <w:rPr>
                <w:rFonts w:ascii="Calibri" w:hAnsi="Calibri" w:cs="Calibri"/>
                <w:color w:val="000000"/>
                <w:highlight w:val="yellow"/>
              </w:rPr>
            </w:pPr>
            <w:r w:rsidRPr="005470B2">
              <w:rPr>
                <w:rFonts w:ascii="Calibri" w:hAnsi="Calibri" w:cs="Calibri"/>
                <w:color w:val="000000"/>
              </w:rPr>
              <w:t>Ross (2008)</w:t>
            </w:r>
          </w:p>
        </w:tc>
        <w:tc>
          <w:tcPr>
            <w:tcW w:w="674" w:type="pct"/>
            <w:tcBorders>
              <w:top w:val="single" w:sz="4" w:space="0" w:color="auto"/>
              <w:left w:val="single" w:sz="12" w:space="0" w:color="auto"/>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Investigate potential mechanisms of action of IPT in infants (IPTi), predict likely impact on morbidity and mortality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H</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46"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P,C,V</w:t>
            </w:r>
          </w:p>
        </w:tc>
        <w:tc>
          <w:tcPr>
            <w:tcW w:w="773"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Transmission intensity, treatment coverage</w:t>
            </w:r>
          </w:p>
        </w:tc>
        <w:tc>
          <w:tcPr>
            <w:tcW w:w="6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Clinical episodes</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i/>
                <w:iCs/>
                <w:color w:val="000000"/>
              </w:rPr>
            </w:pPr>
            <w:r w:rsidRPr="00E358A3">
              <w:rPr>
                <w:rFonts w:ascii="Calibri" w:hAnsi="Calibri" w:cs="Calibri"/>
                <w:i/>
                <w:iCs/>
                <w:color w:val="000000"/>
              </w:rPr>
              <w:t>dhfr</w:t>
            </w:r>
            <w:r w:rsidRPr="00E358A3">
              <w:rPr>
                <w:rFonts w:ascii="Calibri" w:hAnsi="Calibri" w:cs="Calibri"/>
                <w:color w:val="000000"/>
              </w:rPr>
              <w:t xml:space="preserve"> mutations that impact treatment failure</w:t>
            </w:r>
          </w:p>
        </w:tc>
        <w:tc>
          <w:tcPr>
            <w:tcW w:w="1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fldChar w:fldCharType="begin" w:fldLock="1"/>
            </w:r>
            <w:r>
              <w:rPr>
                <w:rFonts w:ascii="Calibri" w:hAnsi="Calibri" w:cs="Calibri"/>
                <w:color w:val="000000"/>
              </w:rPr>
              <w:instrText>ADDIN CSL_CITATION { "citationItems" : [ { "id" : "ITEM-1", "itemData" : { "DOI" : "10.1371/journal.pone.0002661", "ISBN" : "1932-6203", "ISSN" : "19326203", "PMID" : "18628828", "abstract" : "BACKGROUND: Trials of intermittent preventive treatment against malaria in infants (IPTi) using sulphadoxine-pyrimethamine (SP) have shown a positive, albeit variable, protective efficacy against clinical malaria episodes. The impact of IPTi in different epidemiological settings and over time is unknown and predictions are hampered by the lack of knowledge about how IPTi works. We investigated mechanisms proposed for the action of IPTi and made predictions of the likely impact on morbidity and mortality. METHODS/PRINCIPAL FINDINGS: We used a comprehensive, individual-based, stochastic model of malaria epidemiology to simulate recently published trials of IPTi using SP with site-specific characteristics as inputs. This baseline model was then modified to represent hypotheses concerning the duration of action of SP, the temporal pattern of fevers caused by individual infections, potential benefits of avoiding fevers on immunity and the effect of sub-therapeutic levels of SP on parasite dynamics. The baseline model reproduced the pattern of results reasonably well. None of the models based on alternative hypotheses improved the fit between the model predictions and observed data. Predictions suggest that IPTi would have a beneficial effect across a range of transmission intensities. IPTi was predicted to avert a greater number of episodes where IPTi coverage was higher, the health system treatment coverage lower, and for drugs which were more efficacious and had longer prophylactic periods. The predicted cumulative benefits were proportionately slightly greater for severe malaria episodes and malaria-attributable mortality than for acute episodes in the settings modelled. Modest increased susceptibility was predicted between doses and following the last dose, but these were outweighed by the cumulative benefits. The impact on transmission intensity was negligible. CONCLUSIONS: The pattern of trial results can be accounted for by differences between the trial sites together with known features of malaria epidemiology and the action of SP. Predictions suggest that IPTi would have a beneficial impact across a variety of epidemiological settings.", "author" : [ { "dropping-particle" : "", "family" : "Ross", "given" : "Amanda", "non-dropping-particle" : "", "parse-names" : false, "suffix" : "" }, { "dropping-particle" : "", "family" : "Penny", "given" : "Melissa", "non-dropping-particle" : "", "parse-names" : false, "suffix" : "" }, { "dropping-particle" : "", "family" : "Maire", "given" : "Nicolas", "non-dropping-particle" : "", "parse-names" : false, "suffix" : "" }, { "dropping-particle" : "", "family" : "Studer", "given" : "Alain", "non-dropping-particle" : "", "parse-names" : false, "suffix" : "" }, { "dropping-particle" : "", "family" : "Carneiro", "given" : "Ilona", "non-dropping-particle" : "", "parse-names" : false, "suffix" : "" }, { "dropping-particle" : "", "family" : "Schellenberg", "given" : "David", "non-dropping-particle" : "", "parse-names" : false, "suffix" : "" }, { "dropping-particle" : "", "family" : "Greenwood", "given" : "Brian", "non-dropping-particle" : "", "parse-names" : false, "suffix" : "" }, { "dropping-particle" : "", "family" : "Tanner", "given" : "Marcel", "non-dropping-particle" : "", "parse-names" : false, "suffix" : "" }, { "dropping-particle" : "", "family" : "Smith", "given" : "Thomas", "non-dropping-particle" : "", "parse-names" : false, "suffix" : "" } ], "container-title" : "PLoS ONE", "id" : "ITEM-1", "issue" : "7", "issued" : { "date-parts" : [ [ "2008" ] ] }, "page" : "e2661", "title" : "Modelling the epidemiological impact of intermittent preventive treatment against malaria in infants", "type" : "article-journal", "volume" : "3" }, "uris" : [ "http://www.mendeley.com/documents/?uuid=d2270146-bdab-48b9-9545-08a3d81b1f6d" ] } ], "mendeley" : { "formattedCitation" : "(23)", "plainTextFormattedCitation" : "(23)", "previouslyFormattedCitation" : "(23)" }, "properties" : { "noteIndex" : 0 }, "schema" : "https://github.com/citation-style-language/schema/raw/master/csl-citation.json" }</w:instrText>
            </w:r>
            <w:r w:rsidRPr="00E358A3">
              <w:rPr>
                <w:rFonts w:ascii="Calibri" w:hAnsi="Calibri" w:cs="Calibri"/>
                <w:color w:val="000000"/>
              </w:rPr>
              <w:fldChar w:fldCharType="separate"/>
            </w:r>
            <w:r w:rsidRPr="009D01D3">
              <w:rPr>
                <w:rFonts w:ascii="Calibri" w:hAnsi="Calibri" w:cs="Calibri"/>
                <w:noProof/>
                <w:color w:val="000000"/>
              </w:rPr>
              <w:t>(23)</w:t>
            </w:r>
            <w:r w:rsidRPr="00E358A3">
              <w:rPr>
                <w:rFonts w:ascii="Calibri" w:hAnsi="Calibri" w:cs="Calibri"/>
                <w:color w:val="000000"/>
              </w:rPr>
              <w:fldChar w:fldCharType="end"/>
            </w:r>
          </w:p>
        </w:tc>
      </w:tr>
      <w:tr w:rsidR="009D01D3" w:rsidRPr="00E358A3" w:rsidTr="0020168A">
        <w:trPr>
          <w:trHeight w:val="1160"/>
        </w:trPr>
        <w:tc>
          <w:tcPr>
            <w:tcW w:w="260" w:type="pct"/>
            <w:tcBorders>
              <w:top w:val="nil"/>
              <w:left w:val="nil"/>
              <w:bottom w:val="nil"/>
              <w:right w:val="single" w:sz="4" w:space="0" w:color="auto"/>
            </w:tcBorders>
            <w:shd w:val="clear" w:color="auto" w:fill="auto"/>
            <w:vAlign w:val="center"/>
          </w:tcPr>
          <w:p w:rsidR="009D01D3" w:rsidRPr="00E358A3" w:rsidRDefault="009D01D3" w:rsidP="0020168A">
            <w:pPr>
              <w:rPr>
                <w:rFonts w:ascii="Calibri" w:hAnsi="Calibri" w:cs="Calibri"/>
                <w:color w:val="000000"/>
              </w:rPr>
            </w:pPr>
          </w:p>
        </w:tc>
        <w:tc>
          <w:tcPr>
            <w:tcW w:w="360" w:type="pct"/>
            <w:tcBorders>
              <w:top w:val="nil"/>
              <w:left w:val="single" w:sz="4" w:space="0" w:color="auto"/>
              <w:bottom w:val="nil"/>
              <w:right w:val="single" w:sz="12" w:space="0" w:color="auto"/>
            </w:tcBorders>
            <w:shd w:val="clear" w:color="auto" w:fill="auto"/>
            <w:vAlign w:val="center"/>
          </w:tcPr>
          <w:p w:rsidR="009D01D3" w:rsidRPr="00C45088" w:rsidRDefault="009D01D3" w:rsidP="0020168A">
            <w:pPr>
              <w:jc w:val="right"/>
              <w:rPr>
                <w:rFonts w:ascii="Calibri" w:hAnsi="Calibri" w:cs="Calibri"/>
                <w:color w:val="000000"/>
              </w:rPr>
            </w:pPr>
            <w:r w:rsidRPr="004518FB">
              <w:rPr>
                <w:rFonts w:ascii="Calibri" w:hAnsi="Calibri" w:cs="Calibri"/>
                <w:color w:val="000000"/>
              </w:rPr>
              <w:t>Penny (2008)</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Predict population effects of malaria vaccines on transmission, morbidity, mortality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H</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N</w:t>
            </w:r>
          </w:p>
        </w:tc>
        <w:tc>
          <w:tcPr>
            <w:tcW w:w="146"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P,C</w:t>
            </w:r>
          </w:p>
        </w:tc>
        <w:tc>
          <w:tcPr>
            <w:tcW w:w="773"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EIR, vaccine delivery modality and coverage, vaccine properties</w:t>
            </w:r>
          </w:p>
        </w:tc>
        <w:tc>
          <w:tcPr>
            <w:tcW w:w="6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Proportion of vectors infected at each feed, time to local elimination, severe cases and deaths averted</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tcPr>
          <w:p w:rsidR="009D01D3" w:rsidRPr="00C45088" w:rsidRDefault="009D01D3" w:rsidP="0020168A">
            <w:pPr>
              <w:jc w:val="center"/>
              <w:rPr>
                <w:rFonts w:ascii="Calibri" w:hAnsi="Calibri" w:cs="Calibri"/>
                <w:iCs/>
                <w:color w:val="000000"/>
              </w:rPr>
            </w:pPr>
            <w:r>
              <w:rPr>
                <w:rFonts w:ascii="Calibri" w:hAnsi="Calibri" w:cs="Calibri"/>
                <w:iCs/>
                <w:color w:val="000000"/>
              </w:rPr>
              <w:t>Multiple vaccine delivery modalities and vaccine types</w:t>
            </w:r>
          </w:p>
        </w:tc>
        <w:tc>
          <w:tcPr>
            <w:tcW w:w="1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Pr>
                <w:rFonts w:ascii="Calibri" w:hAnsi="Calibri" w:cs="Calibri"/>
                <w:color w:val="000000"/>
              </w:rPr>
              <w:fldChar w:fldCharType="begin" w:fldLock="1"/>
            </w:r>
            <w:r>
              <w:rPr>
                <w:rFonts w:ascii="Calibri" w:hAnsi="Calibri" w:cs="Calibri"/>
                <w:color w:val="000000"/>
              </w:rPr>
              <w:instrText>ADDIN CSL_CITATION { "citationItems" : [ { "id" : "ITEM-1", "itemData" : { "DOI" : "10.1371/journal.pone.0003193", "ISBN" : "1932-6203 (Electronic)\\n1932-6203 (Linking)", "ISSN" : "19326203", "PMID" : "18784833", "abstract" : "A number of different malaria vaccine candidates are currently in pre-clinical or clinical development. Even though they vary greatly in their characteristics, it is unlikely that any of them will provide long-lasting sterilizing immunity against the malaria parasite. There is great uncertainty about what the minimal vaccine profile should be before registration is worthwhile; how to allocate resources between different candidates with different profiles; which candidates to consider combining; and what deployment strategies to consider.", "author" : [ { "dropping-particle" : "", "family" : "Penny", "given" : "Melissa A.", "non-dropping-particle" : "", "parse-names" : false, "suffix" : "" }, { "dropping-particle" : "", "family" : "Maire", "given" : "Nicolas", "non-dropping-particle" : "", "parse-names" : false, "suffix" : "" }, { "dropping-particle" : "", "family" : "Studer", "given" : "Alain", "non-dropping-particle" : "", "parse-names" : false, "suffix" : "" }, { "dropping-particle" : "", "family" : "Schapira", "given" : "Allan", "non-dropping-particle" : "", "parse-names" : false, "suffix" : "" }, { "dropping-particle" : "", "family" : "Smith", "given" : "Thomas A.", "non-dropping-particle" : "", "parse-names" : false, "suffix" : "" } ], "container-title" : "PLoS ONE", "id" : "ITEM-1", "issue" : "9", "issued" : { "date-parts" : [ [ "2008" ] ] }, "title" : "What should vaccine developers ask? Simulation of the effectiveness of malaria vaccines", "type" : "article-journal", "volume" : "3" }, "uris" : [ "http://www.mendeley.com/documents/?uuid=e3731cc8-b1d2-47b9-84a8-57ff743a6823" ] } ], "mendeley" : { "formattedCitation" : "(24)", "plainTextFormattedCitation" : "(24)", "previouslyFormattedCitation" : "(24)" }, "properties" : { "noteIndex" : 0 }, "schema" : "https://github.com/citation-style-language/schema/raw/master/csl-citation.json" }</w:instrText>
            </w:r>
            <w:r>
              <w:rPr>
                <w:rFonts w:ascii="Calibri" w:hAnsi="Calibri" w:cs="Calibri"/>
                <w:color w:val="000000"/>
              </w:rPr>
              <w:fldChar w:fldCharType="separate"/>
            </w:r>
            <w:r w:rsidRPr="009D01D3">
              <w:rPr>
                <w:rFonts w:ascii="Calibri" w:hAnsi="Calibri" w:cs="Calibri"/>
                <w:noProof/>
                <w:color w:val="000000"/>
              </w:rPr>
              <w:t>(24)</w:t>
            </w:r>
            <w:r>
              <w:rPr>
                <w:rFonts w:ascii="Calibri" w:hAnsi="Calibri" w:cs="Calibri"/>
                <w:color w:val="000000"/>
              </w:rPr>
              <w:fldChar w:fldCharType="end"/>
            </w:r>
          </w:p>
        </w:tc>
      </w:tr>
      <w:tr w:rsidR="009D01D3" w:rsidRPr="00E358A3" w:rsidTr="0020168A">
        <w:trPr>
          <w:trHeight w:val="1160"/>
        </w:trPr>
        <w:tc>
          <w:tcPr>
            <w:tcW w:w="260" w:type="pct"/>
            <w:tcBorders>
              <w:top w:val="nil"/>
              <w:left w:val="nil"/>
              <w:bottom w:val="nil"/>
              <w:right w:val="single" w:sz="4" w:space="0" w:color="auto"/>
            </w:tcBorders>
            <w:shd w:val="clear" w:color="auto" w:fill="auto"/>
            <w:vAlign w:val="center"/>
            <w:hideMark/>
          </w:tcPr>
          <w:p w:rsidR="009D01D3" w:rsidRPr="00E358A3" w:rsidRDefault="009D01D3" w:rsidP="0020168A"/>
        </w:tc>
        <w:tc>
          <w:tcPr>
            <w:tcW w:w="360" w:type="pct"/>
            <w:tcBorders>
              <w:top w:val="nil"/>
              <w:left w:val="single" w:sz="4" w:space="0" w:color="auto"/>
              <w:bottom w:val="nil"/>
              <w:right w:val="single" w:sz="12" w:space="0" w:color="auto"/>
            </w:tcBorders>
            <w:shd w:val="clear" w:color="auto" w:fill="auto"/>
            <w:vAlign w:val="center"/>
            <w:hideMark/>
          </w:tcPr>
          <w:p w:rsidR="009D01D3" w:rsidRPr="001631E2" w:rsidRDefault="009D01D3" w:rsidP="0020168A">
            <w:pPr>
              <w:jc w:val="right"/>
              <w:rPr>
                <w:rFonts w:ascii="Calibri" w:hAnsi="Calibri" w:cs="Calibri"/>
                <w:color w:val="000000"/>
              </w:rPr>
            </w:pPr>
            <w:r w:rsidRPr="005470B2">
              <w:rPr>
                <w:rFonts w:ascii="Calibri" w:hAnsi="Calibri" w:cs="Calibri"/>
                <w:color w:val="000000"/>
              </w:rPr>
              <w:t>Tediosi (2009)</w:t>
            </w:r>
          </w:p>
        </w:tc>
        <w:tc>
          <w:tcPr>
            <w:tcW w:w="674" w:type="pct"/>
            <w:tcBorders>
              <w:top w:val="single" w:sz="4" w:space="0" w:color="auto"/>
              <w:left w:val="single" w:sz="12" w:space="0" w:color="auto"/>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Pr>
                <w:rFonts w:ascii="Calibri" w:hAnsi="Calibri" w:cs="Calibri"/>
                <w:color w:val="000000"/>
              </w:rPr>
              <w:t>Cost-effectiveness analysis (</w:t>
            </w:r>
            <w:r w:rsidRPr="00E358A3">
              <w:rPr>
                <w:rFonts w:ascii="Calibri" w:hAnsi="Calibri" w:cs="Calibri"/>
                <w:color w:val="000000"/>
              </w:rPr>
              <w:t>CEA</w:t>
            </w:r>
            <w:r>
              <w:rPr>
                <w:rFonts w:ascii="Calibri" w:hAnsi="Calibri" w:cs="Calibri"/>
                <w:color w:val="000000"/>
              </w:rPr>
              <w:t>)</w:t>
            </w:r>
            <w:r w:rsidRPr="00E358A3">
              <w:rPr>
                <w:rFonts w:ascii="Calibri" w:hAnsi="Calibri" w:cs="Calibri"/>
                <w:color w:val="000000"/>
              </w:rPr>
              <w:t xml:space="preserve"> of varying vaccine types, prices and delivery modalities</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H</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46"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P,S</w:t>
            </w:r>
          </w:p>
        </w:tc>
        <w:tc>
          <w:tcPr>
            <w:tcW w:w="773"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Vaccine delivery costs, case management costs</w:t>
            </w:r>
          </w:p>
        </w:tc>
        <w:tc>
          <w:tcPr>
            <w:tcW w:w="6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 xml:space="preserve">Cost per uncomplicated episode, severe </w:t>
            </w:r>
            <w:r w:rsidRPr="00E358A3">
              <w:rPr>
                <w:rFonts w:ascii="Calibri" w:hAnsi="Calibri" w:cs="Calibri"/>
                <w:color w:val="000000"/>
              </w:rPr>
              <w:lastRenderedPageBreak/>
              <w:t>episode, and DALY averted</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lastRenderedPageBreak/>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621"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Delivery modalities,</w:t>
            </w:r>
            <w:r w:rsidRPr="00E358A3">
              <w:rPr>
                <w:rFonts w:ascii="Calibri" w:hAnsi="Calibri" w:cs="Calibri"/>
                <w:color w:val="000000"/>
              </w:rPr>
              <w:br/>
              <w:t>varied vaccine costs</w:t>
            </w:r>
          </w:p>
        </w:tc>
        <w:tc>
          <w:tcPr>
            <w:tcW w:w="1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fldChar w:fldCharType="begin" w:fldLock="1"/>
            </w:r>
            <w:r>
              <w:rPr>
                <w:rFonts w:ascii="Calibri" w:hAnsi="Calibri" w:cs="Calibri"/>
                <w:color w:val="000000"/>
              </w:rPr>
              <w:instrText>ADDIN CSL_CITATION { "citationItems" : [ { "id" : "ITEM-1", "itemData" : { "DOI" : "10.1186/1475-2875-8-127", "ISBN" : "1475-2875 (Electronic)\\r1475-2875 (Linking)", "ISSN" : "1475-2875", "PMID" : "19505328", "abstract" : "BACKGROUND: A wide range of possible malaria vaccines is being considered and there is a need to identify which vaccines should be prioritized for clinical development. An important element of the information needed for this prioritization is a prediction of the cost-effectiveness of potential vaccines in the transmission settings in which they are likely to be deployed. This analysis needs to consider a range of delivery modalities to ensure that clinical development plans can be aligned with the most appropriate deployment strategies. METHODS: The simulations are based on a previously published individual-based stochastic model for the natural history and epidemiology of Plasmodium falciparum malaria. Three different vaccine types: pre- erythrocytic vaccines (PEV), blood stage vaccines (BSV), mosquito-stage transmission-blocking vaccines (MSTBV), and combinations of these, are considered each delivered via a range of delivery modalities (Expanded Programme of Immunization \u2013 EPI-, EPI with booster, and mass vaccination combined with EPI). The cost-effectiveness ratios presented are calculated for four health outcomes, for assumed vaccine prices of US$2 or US$10 per dose, projected over a 10-year period. RESULTS: The simulations suggest that PEV will be more cost-effective in low transmission settings, while BSV at higher transmission settings. Combinations of BSV and PEV are more efficient than PEV, especially in moderate to high transmission settings, while compared to BSV they are more cost-effective in moderate to low transmission settings. Combinations of MSTBV and PEV or PEV and BSV improve the effectiveness and the cost-effectiveness compared to PEV and BSV alone only when applied with EPI and mass vaccinations. Adding booster doses to the EPI is unlikely to be a cost-effective alternative to delivering vaccines via the EPI for any vaccine, while mass vaccination improves effectiveness, especially in low transmission settings, and is often a more efficient alternative to the EPI. However, the costs of increasing the coverage of mass vaccination over 50% often exceed the benefits. CONCLUSION: The simulations indicate malaria vaccines might be efficient malaria control interventions, and that both transmission setting and vaccine delivery modality are important to their cost-effectiveness. Alternative vaccine delivery modalities to the EPI may be more efficient than the EPI. Mass vaccination is predicted to provide substantial health benefits at lo\u2026", "author" : [ { "dropping-particle" : "", "family" : "Tediosi", "given" : "Fabrizio", "non-dropping-particle" : "", "parse-names" : false, "suffix" : "" }, { "dropping-particle" : "", "family" : "Maire", "given" : "Nicolas", "non-dropping-particle" : "", "parse-names" : false, "suffix" : "" }, { "dropping-particle" : "", "family" : "Penny", "given" : "Melissa", "non-dropping-particle" : "", "parse-names" : false, "suffix" : "" }, { "dropping-particle" : "", "family" : "Studer", "given" : "Alain", "non-dropping-particle" : "", "parse-names" : false, "suffix" : "" }, { "dropping-particle" : "", "family" : "Smith", "given" : "Thomas A", "non-dropping-particle" : "", "parse-names" : false, "suffix" : "" } ], "container-title" : "Malaria Journal", "id" : "ITEM-1", "issue" : "1", "issued" : { "date-parts" : [ [ "2009" ] ] }, "page" : "127-143", "title" : "Simulation of the cost-effectiveness of malaria vaccines", "type" : "article-journal", "volume" : "8" }, "uris" : [ "http://www.mendeley.com/documents/?uuid=34f844cf-3c74-4f08-9e82-df1fe4fa4389" ] } ], "mendeley" : { "formattedCitation" : "(25)", "plainTextFormattedCitation" : "(25)", "previouslyFormattedCitation" : "(25)" }, "properties" : { "noteIndex" : 0 }, "schema" : "https://github.com/citation-style-language/schema/raw/master/csl-citation.json" }</w:instrText>
            </w:r>
            <w:r w:rsidRPr="00E358A3">
              <w:rPr>
                <w:rFonts w:ascii="Calibri" w:hAnsi="Calibri" w:cs="Calibri"/>
                <w:color w:val="000000"/>
              </w:rPr>
              <w:fldChar w:fldCharType="separate"/>
            </w:r>
            <w:r w:rsidRPr="009D01D3">
              <w:rPr>
                <w:rFonts w:ascii="Calibri" w:hAnsi="Calibri" w:cs="Calibri"/>
                <w:noProof/>
                <w:color w:val="000000"/>
              </w:rPr>
              <w:t>(25)</w:t>
            </w:r>
            <w:r w:rsidRPr="00E358A3">
              <w:rPr>
                <w:rFonts w:ascii="Calibri" w:hAnsi="Calibri" w:cs="Calibri"/>
                <w:color w:val="000000"/>
              </w:rPr>
              <w:fldChar w:fldCharType="end"/>
            </w:r>
          </w:p>
        </w:tc>
      </w:tr>
      <w:tr w:rsidR="009D01D3" w:rsidRPr="00E358A3" w:rsidTr="0020168A">
        <w:trPr>
          <w:trHeight w:val="2320"/>
        </w:trPr>
        <w:tc>
          <w:tcPr>
            <w:tcW w:w="260" w:type="pct"/>
            <w:tcBorders>
              <w:top w:val="nil"/>
              <w:left w:val="nil"/>
              <w:bottom w:val="nil"/>
              <w:right w:val="single" w:sz="4" w:space="0" w:color="auto"/>
            </w:tcBorders>
            <w:shd w:val="clear" w:color="auto" w:fill="auto"/>
            <w:vAlign w:val="center"/>
            <w:hideMark/>
          </w:tcPr>
          <w:p w:rsidR="009D01D3" w:rsidRPr="00E358A3" w:rsidRDefault="009D01D3" w:rsidP="0020168A">
            <w:pPr>
              <w:rPr>
                <w:rFonts w:ascii="Calibri" w:hAnsi="Calibri" w:cs="Calibri"/>
                <w:color w:val="000000"/>
              </w:rPr>
            </w:pPr>
          </w:p>
        </w:tc>
        <w:tc>
          <w:tcPr>
            <w:tcW w:w="360" w:type="pct"/>
            <w:tcBorders>
              <w:top w:val="nil"/>
              <w:left w:val="single" w:sz="4" w:space="0" w:color="auto"/>
              <w:bottom w:val="nil"/>
              <w:right w:val="single" w:sz="12" w:space="0" w:color="auto"/>
            </w:tcBorders>
            <w:shd w:val="clear" w:color="auto" w:fill="auto"/>
            <w:vAlign w:val="center"/>
            <w:hideMark/>
          </w:tcPr>
          <w:p w:rsidR="009D01D3" w:rsidRPr="001631E2" w:rsidRDefault="009D01D3" w:rsidP="0020168A">
            <w:pPr>
              <w:jc w:val="right"/>
              <w:rPr>
                <w:rFonts w:ascii="Calibri" w:hAnsi="Calibri" w:cs="Calibri"/>
                <w:color w:val="000000"/>
              </w:rPr>
            </w:pPr>
            <w:r w:rsidRPr="005470B2">
              <w:rPr>
                <w:rFonts w:ascii="Calibri" w:hAnsi="Calibri" w:cs="Calibri"/>
                <w:color w:val="000000"/>
              </w:rPr>
              <w:t>Ross (2010)</w:t>
            </w:r>
          </w:p>
        </w:tc>
        <w:tc>
          <w:tcPr>
            <w:tcW w:w="674" w:type="pct"/>
            <w:tcBorders>
              <w:top w:val="single" w:sz="4" w:space="0" w:color="auto"/>
              <w:left w:val="single" w:sz="12" w:space="0" w:color="auto"/>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Simulate effects of heterogeneity on malaria burden,</w:t>
            </w:r>
            <w:r w:rsidRPr="00E358A3">
              <w:rPr>
                <w:rFonts w:ascii="Calibri" w:hAnsi="Calibri" w:cs="Calibri"/>
                <w:color w:val="000000"/>
              </w:rPr>
              <w:br/>
              <w:t>age-prevalence and incidence</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H</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46"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P,C,S</w:t>
            </w:r>
          </w:p>
        </w:tc>
        <w:tc>
          <w:tcPr>
            <w:tcW w:w="773"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EIR,</w:t>
            </w:r>
            <w:r w:rsidRPr="00E358A3">
              <w:rPr>
                <w:rFonts w:ascii="Calibri" w:hAnsi="Calibri" w:cs="Calibri"/>
                <w:color w:val="000000"/>
              </w:rPr>
              <w:br/>
              <w:t>treatment-seeking rate</w:t>
            </w:r>
          </w:p>
        </w:tc>
        <w:tc>
          <w:tcPr>
            <w:tcW w:w="6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Age-curves for parasite prevalence, uncomplicated and severe episodes, direct and indirect mortality</w:t>
            </w:r>
            <w:r>
              <w:rPr>
                <w:rFonts w:ascii="Calibri" w:hAnsi="Calibri" w:cs="Calibri"/>
                <w:color w:val="000000"/>
              </w:rPr>
              <w:t>,</w:t>
            </w:r>
            <w:r w:rsidRPr="00E358A3">
              <w:rPr>
                <w:rFonts w:ascii="Calibri" w:hAnsi="Calibri" w:cs="Calibri"/>
                <w:color w:val="000000"/>
              </w:rPr>
              <w:t>treatment</w:t>
            </w:r>
            <w:r>
              <w:rPr>
                <w:rFonts w:ascii="Calibri" w:hAnsi="Calibri" w:cs="Calibri"/>
                <w:color w:val="000000"/>
              </w:rPr>
              <w:t xml:space="preserve"> episode</w:t>
            </w:r>
            <w:r w:rsidRPr="00E358A3">
              <w:rPr>
                <w:rFonts w:ascii="Calibri" w:hAnsi="Calibri" w:cs="Calibri"/>
                <w:color w:val="000000"/>
              </w:rPr>
              <w:t>s</w:t>
            </w:r>
            <w:r>
              <w:rPr>
                <w:rFonts w:ascii="Calibri" w:hAnsi="Calibri" w:cs="Calibri"/>
                <w:color w:val="000000"/>
              </w:rPr>
              <w:t>,</w:t>
            </w:r>
            <w:r w:rsidRPr="00E358A3">
              <w:rPr>
                <w:rFonts w:ascii="Calibri" w:hAnsi="Calibri" w:cs="Calibri"/>
                <w:color w:val="000000"/>
              </w:rPr>
              <w:t xml:space="preserve"> hospital admissions</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Natural immunity, episode severity, infectivity to mosquitoes</w:t>
            </w:r>
          </w:p>
        </w:tc>
        <w:tc>
          <w:tcPr>
            <w:tcW w:w="1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fldChar w:fldCharType="begin" w:fldLock="1"/>
            </w:r>
            <w:r>
              <w:rPr>
                <w:rFonts w:ascii="Calibri" w:hAnsi="Calibri" w:cs="Calibri"/>
                <w:color w:val="000000"/>
              </w:rPr>
              <w:instrText>ADDIN CSL_CITATION { "citationItems" : [ { "id" : "ITEM-1", "itemData" : { "DOI" : "10.1186/1475-2875-9-132", "ISBN" : "1475-2875", "ISSN" : "1475-2875", "PMID" : "20478060", "abstract" : "BACKGROUND: Individuals in a malaria endemic community differ from one another. Many of these differences, such as heterogeneities in transmission or treatment-seeking behaviour, affect malaria epidemiology. The different kinds of heterogeneity are likely to be correlated. Little is known about their impact on the shape of age-prevalence and incidence curves. In this study, the effects of heterogeneity in transmission, treatment-seeking and risk of co-morbidity were simulated. METHODS: Simple patterns of heterogeneity were incorporated into a comprehensive individual-based model of Plasmodium falciparum malaria epidemiology. The different types of heterogeneity were systematically simulated individually, and in independent and co-varying pairs. The effects on age-curves for parasite prevalence, uncomplicated and severe episodes, direct and indirect mortality and first-line treatments and hospital admissions were examined. RESULTS: Different heterogeneities affected different outcomes with large effects reserved for outcomes which are directly affected by the action of the heterogeneity rather than via feedback on acquired immunity or fever thresholds. Transmission heterogeneity affected the age-curves for all outcomes. The peak parasite prevalence was reduced and all age-incidence curves crossed those of the reference scenario with a lower incidence in younger children and higher in older age-groups. Heterogeneity in the probability of seeking treatment reduced the peak incidence of first-line treatment and hospital admissions. Heterogeneity in co-morbidity risk showed little overall effect, but high and low values cancelled out for outcomes directly affected by its action. Independently varying pairs of heterogeneities produced additive effects. More variable results were produced for co-varying heterogeneities, with striking differences compared to independent pairs for some outcomes which were affected by both heterogeneities individually. CONCLUSIONS: Different kinds of heterogeneity both have different effects and affect different outcomes. Patterns of co-variation are also important. Alongside the absolute levels of different factors affecting age-curves, patterns of heterogeneity should be considered when parameterizing or validating models, interpreting data and inferring from one outcome to another.", "author" : [ { "dropping-particle" : "", "family" : "Ross", "given" : "Amanda", "non-dropping-particle" : "", "parse-names" : false, "suffix" : "" }, { "dropping-particle" : "", "family" : "Smith", "given" : "Thomas", "non-dropping-particle" : "", "parse-names" : false, "suffix" : "" } ], "container-title" : "Malaria Journal", "id" : "ITEM-1", "issue" : "1", "issued" : { "date-parts" : [ [ "2010" ] ] }, "page" : "132-140", "title" : "Interpreting malaria age-prevalence and incidence curves: a simulation study of the effects of different types of heterogeneity.", "type" : "article-journal", "volume" : "9" }, "uris" : [ "http://www.mendeley.com/documents/?uuid=2a9e5e43-3b5b-47f7-80a0-0d9e494872e6" ] } ], "mendeley" : { "formattedCitation" : "(26)", "plainTextFormattedCitation" : "(26)", "previouslyFormattedCitation" : "(26)" }, "properties" : { "noteIndex" : 0 }, "schema" : "https://github.com/citation-style-language/schema/raw/master/csl-citation.json" }</w:instrText>
            </w:r>
            <w:r w:rsidRPr="00E358A3">
              <w:rPr>
                <w:rFonts w:ascii="Calibri" w:hAnsi="Calibri" w:cs="Calibri"/>
                <w:color w:val="000000"/>
              </w:rPr>
              <w:fldChar w:fldCharType="separate"/>
            </w:r>
            <w:r w:rsidRPr="009D01D3">
              <w:rPr>
                <w:rFonts w:ascii="Calibri" w:hAnsi="Calibri" w:cs="Calibri"/>
                <w:noProof/>
                <w:color w:val="000000"/>
              </w:rPr>
              <w:t>(26)</w:t>
            </w:r>
            <w:r w:rsidRPr="00E358A3">
              <w:rPr>
                <w:rFonts w:ascii="Calibri" w:hAnsi="Calibri" w:cs="Calibri"/>
                <w:color w:val="000000"/>
              </w:rPr>
              <w:fldChar w:fldCharType="end"/>
            </w:r>
          </w:p>
        </w:tc>
      </w:tr>
      <w:tr w:rsidR="009D01D3" w:rsidRPr="00E358A3" w:rsidTr="0020168A">
        <w:trPr>
          <w:trHeight w:val="2430"/>
        </w:trPr>
        <w:tc>
          <w:tcPr>
            <w:tcW w:w="260" w:type="pct"/>
            <w:tcBorders>
              <w:top w:val="nil"/>
              <w:left w:val="nil"/>
              <w:right w:val="single" w:sz="4" w:space="0" w:color="auto"/>
            </w:tcBorders>
            <w:shd w:val="clear" w:color="auto" w:fill="auto"/>
            <w:vAlign w:val="center"/>
            <w:hideMark/>
          </w:tcPr>
          <w:p w:rsidR="009D01D3" w:rsidRPr="00E358A3" w:rsidRDefault="009D01D3" w:rsidP="0020168A">
            <w:pPr>
              <w:rPr>
                <w:rFonts w:ascii="Calibri" w:hAnsi="Calibri" w:cs="Calibri"/>
                <w:color w:val="000000"/>
              </w:rPr>
            </w:pPr>
          </w:p>
        </w:tc>
        <w:tc>
          <w:tcPr>
            <w:tcW w:w="360" w:type="pct"/>
            <w:tcBorders>
              <w:top w:val="nil"/>
              <w:left w:val="single" w:sz="4" w:space="0" w:color="auto"/>
              <w:right w:val="single" w:sz="12" w:space="0" w:color="auto"/>
            </w:tcBorders>
            <w:shd w:val="clear" w:color="auto" w:fill="auto"/>
            <w:vAlign w:val="center"/>
            <w:hideMark/>
          </w:tcPr>
          <w:p w:rsidR="009D01D3" w:rsidRPr="001631E2" w:rsidRDefault="009D01D3" w:rsidP="0020168A">
            <w:pPr>
              <w:jc w:val="right"/>
              <w:rPr>
                <w:rFonts w:ascii="Calibri" w:hAnsi="Calibri" w:cs="Calibri"/>
                <w:color w:val="000000"/>
              </w:rPr>
            </w:pPr>
            <w:r w:rsidRPr="005470B2">
              <w:rPr>
                <w:rFonts w:ascii="Calibri" w:hAnsi="Calibri" w:cs="Calibri"/>
                <w:color w:val="000000"/>
              </w:rPr>
              <w:t>Ross (2011)</w:t>
            </w:r>
          </w:p>
        </w:tc>
        <w:tc>
          <w:tcPr>
            <w:tcW w:w="674" w:type="pct"/>
            <w:tcBorders>
              <w:top w:val="single" w:sz="4" w:space="0" w:color="auto"/>
              <w:left w:val="single" w:sz="12" w:space="0" w:color="auto"/>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Determine cost-effectiveness of intermittent preventive treatment for malaria in infants and children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H</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46"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P,C,V,S</w:t>
            </w:r>
          </w:p>
        </w:tc>
        <w:tc>
          <w:tcPr>
            <w:tcW w:w="773"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Cost of interventions, target age group, delivery channel, seasonal or year- round delivery, transmission intensity, seasonality, timing of first IPT dose for seasonal delivery, coverage levels of treatment</w:t>
            </w:r>
          </w:p>
        </w:tc>
        <w:tc>
          <w:tcPr>
            <w:tcW w:w="6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DALYs averted, cost per DALY averted, transmission intensity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621"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Drug resistance</w:t>
            </w:r>
          </w:p>
        </w:tc>
        <w:tc>
          <w:tcPr>
            <w:tcW w:w="1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fldChar w:fldCharType="begin" w:fldLock="1"/>
            </w:r>
            <w:r>
              <w:rPr>
                <w:rFonts w:ascii="Calibri" w:hAnsi="Calibri" w:cs="Calibri"/>
                <w:color w:val="000000"/>
              </w:rPr>
              <w:instrText>ADDIN CSL_CITATION { "citationItems" : [ { "id" : "ITEM-1", "itemData" : { "DOI" : "10.1371/journal.pone.0018391", "ISBN" : "1932-6203", "ISSN" : "19326203", "PMID" : "21490967", "abstract" : "BACKGROUND: Trials of intermittent preventive treatment in infants (IPTi) and children (IPTc) have shown promising results in reducing malaria episodes but with varying efficacy and cost-effectiveness. The effects of different intervention and setting characteristics are not well known. We simulate the effects of the different target age groups and delivery channels, seasonal or year-round delivery, transmission intensity, seasonality, proportions of malaria fevers treated and drug characteristics. METHODS: We use a dynamic, individual-based simulation model of Plasmodium falciparum malaria epidemiology, antimalarial drug action and case management to simulate DALYs averted and the cost per DALY averted by IPTi and IPTc. IPT cost components were estimated from economic studies alongside trials. RESULTS: IPTi and IPTc were predicted to be cost-effective in most of the scenarios modelled. The cost-effectiveness is driven by the impact on DALYs, particularly for IPTc, and the low costs, particularly for IPTi which uses the existing delivery strategy, EPI. Cost-effectiveness was predicted to decrease with low transmission, badly timed seasonal delivery in a seasonal setting, short-acting and more expensive drugs, high frequencies of drug resistance and high levels of treatment of malaria fevers. Seasonal delivery was more cost-effective in seasonal settings, and year-round in constant transmission settings. The difference was more pronounced for IPTc than IPTi due to the different proportions of fixed costs and also different assumed drug spacing during the transmission season. The number of DALYs averted was predicted to decrease as a target five-year age-band for IPTc was shifted from children under 5 years into older ages, except at low transmission intensities. CONCLUSIONS: Modelling can extend the information available by predicting impact and cost-effectiveness for scenarios, for outcomes and for multiple strategies where, for practical reasons, trials cannot be carried out. Both IPTi and IPTc are generally cost-effective but could be rendered cost-ineffective by characteristics of the setting, drug or implementation.", "author" : [ { "dropping-particle" : "", "family" : "Ross", "given" : "Amanda", "non-dropping-particle" : "", "parse-names" : false, "suffix" : "" }, { "dropping-particle" : "", "family" : "Maire", "given" : "Nicolas", "non-dropping-particle" : "", "parse-names" : false, "suffix" : "" }, { "dropping-particle" : "", "family" : "Sicuri", "given" : "Elisa", "non-dropping-particle" : "", "parse-names" : false, "suffix" : "" }, { "dropping-particle" : "", "family" : "Smith", "given" : "Thomas", "non-dropping-particle" : "", "parse-names" : false, "suffix" : "" }, { "dropping-particle" : "", "family" : "Conteh", "given" : "Lesong", "non-dropping-particle" : "", "parse-names" : false, "suffix" : "" } ], "container-title" : "PLoS ONE", "id" : "ITEM-1", "issue" : "4", "issued" : { "date-parts" : [ [ "2011" ] ] }, "page" : "e18391", "title" : "Determinants of the cost-effectiveness of intermittent preventive treatment for malaria in infants and children", "type" : "article-journal", "volume" : "6" }, "uris" : [ "http://www.mendeley.com/documents/?uuid=35fcfd4f-0476-481c-ad1e-61562b3bd71c" ] } ], "mendeley" : { "formattedCitation" : "(27)", "plainTextFormattedCitation" : "(27)", "previouslyFormattedCitation" : "(27)" }, "properties" : { "noteIndex" : 0 }, "schema" : "https://github.com/citation-style-language/schema/raw/master/csl-citation.json" }</w:instrText>
            </w:r>
            <w:r w:rsidRPr="00E358A3">
              <w:rPr>
                <w:rFonts w:ascii="Calibri" w:hAnsi="Calibri" w:cs="Calibri"/>
                <w:color w:val="000000"/>
              </w:rPr>
              <w:fldChar w:fldCharType="separate"/>
            </w:r>
            <w:r w:rsidRPr="009D01D3">
              <w:rPr>
                <w:rFonts w:ascii="Calibri" w:hAnsi="Calibri" w:cs="Calibri"/>
                <w:noProof/>
                <w:color w:val="000000"/>
              </w:rPr>
              <w:t>(27)</w:t>
            </w:r>
            <w:r w:rsidRPr="00E358A3">
              <w:rPr>
                <w:rFonts w:ascii="Calibri" w:hAnsi="Calibri" w:cs="Calibri"/>
                <w:color w:val="000000"/>
              </w:rPr>
              <w:fldChar w:fldCharType="end"/>
            </w:r>
          </w:p>
        </w:tc>
      </w:tr>
      <w:tr w:rsidR="009D01D3" w:rsidRPr="00E358A3" w:rsidTr="0020168A">
        <w:trPr>
          <w:trHeight w:val="530"/>
        </w:trPr>
        <w:tc>
          <w:tcPr>
            <w:tcW w:w="260" w:type="pct"/>
            <w:tcBorders>
              <w:top w:val="nil"/>
              <w:left w:val="nil"/>
              <w:right w:val="single" w:sz="4" w:space="0" w:color="auto"/>
            </w:tcBorders>
            <w:shd w:val="clear" w:color="auto" w:fill="auto"/>
            <w:vAlign w:val="center"/>
          </w:tcPr>
          <w:p w:rsidR="009D01D3" w:rsidRPr="00E358A3" w:rsidRDefault="009D01D3" w:rsidP="0020168A">
            <w:pPr>
              <w:rPr>
                <w:rFonts w:ascii="Calibri" w:hAnsi="Calibri" w:cs="Calibri"/>
                <w:color w:val="000000"/>
              </w:rPr>
            </w:pPr>
          </w:p>
        </w:tc>
        <w:tc>
          <w:tcPr>
            <w:tcW w:w="360" w:type="pct"/>
            <w:tcBorders>
              <w:top w:val="nil"/>
              <w:left w:val="single" w:sz="4" w:space="0" w:color="auto"/>
              <w:right w:val="single" w:sz="12" w:space="0" w:color="auto"/>
            </w:tcBorders>
            <w:shd w:val="clear" w:color="auto" w:fill="auto"/>
            <w:vAlign w:val="center"/>
          </w:tcPr>
          <w:p w:rsidR="009D01D3" w:rsidRPr="00C45088" w:rsidRDefault="009D01D3" w:rsidP="0020168A">
            <w:pPr>
              <w:jc w:val="right"/>
              <w:rPr>
                <w:rFonts w:ascii="Calibri" w:hAnsi="Calibri" w:cs="Calibri"/>
                <w:color w:val="000000"/>
                <w:highlight w:val="yellow"/>
              </w:rPr>
            </w:pPr>
            <w:r w:rsidRPr="005470B2">
              <w:rPr>
                <w:rFonts w:ascii="Calibri" w:hAnsi="Calibri" w:cs="Calibri"/>
                <w:color w:val="000000"/>
              </w:rPr>
              <w:t>Maire (2011)</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Analysis of uncertainties in vaccine cost-effectiveness</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H</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46"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P,C,S</w:t>
            </w:r>
          </w:p>
        </w:tc>
        <w:tc>
          <w:tcPr>
            <w:tcW w:w="773"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Age-prevalence</w:t>
            </w:r>
          </w:p>
        </w:tc>
        <w:tc>
          <w:tcPr>
            <w:tcW w:w="6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Incremental cost-effectiveness ratios (ICERs), expected value of perfect information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621"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Transmission levels, expected value of perfect information</w:t>
            </w:r>
          </w:p>
        </w:tc>
        <w:tc>
          <w:tcPr>
            <w:tcW w:w="1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fldChar w:fldCharType="begin" w:fldLock="1"/>
            </w:r>
            <w:r>
              <w:rPr>
                <w:rFonts w:ascii="Calibri" w:hAnsi="Calibri" w:cs="Calibri"/>
                <w:color w:val="000000"/>
              </w:rPr>
              <w:instrText>ADDIN CSL_CITATION { "citationItems" : [ { "id" : "ITEM-1", "itemData" : { "DOI" : "10.1016/j.jval.2011.06.004", "ISBN" : "1524-4733 (Electronic)\\r1098-3015 (Linking)", "ISSN" : "10983015", "PMID" : "22152171", "abstract" : "OBJECTIVE: To evaluate the cost-effectiveness of introducing the RTS,S malaria vaccine into the Expanded Programme on Immunization (EPI) in Sub-Saharan Africa (SSA), the contributions of different sources of uncertainty, and the associated expected value of perfect information (EVPI). METHODS: Vaccination was simulated in populations of 100,000 people at 10 different entomological inoculation rates (EIRs), using an existing stochastic model and a 10-year time horizon. Incremental cost-effectiveness ratios (ICERs) and EVPI were computed from weighted averages of outputs using two different assignments of the EIR distribution in 2007. Uncertainty was evaluated by resampling of epidemiological, vaccination, and health systems model parameters. RESULTS: Health benefits were predicted consistently only at low transmission, and program costs always substantially exceeded case management savings. Optimal cost-effectiveness was at EIR of about 10 infectious bites per annum (ibpa). Main contributors to ICER uncertainty were uncertainty in transmission intensity, price per vaccine dose, decay rate of the vaccine effect, degree of homogeneity in host response, and some epidemiological model parameters. Other health system costs were unimportant. With a ceiling ratio of 207 international dollars per disability-adjusted life-year averted, 52.4% of parameterizations predicted cost-effectiveness in the primary analysis. CONCLUSIONS: Cost-effectiveness of RTS,S will be maximal in low endemicity settings (EIR 2-20 ibpa). Widespread deployment of other transmission-reducing interventions will thus improve cost-effectiveness, suggesting a selective introduction strategy. EVPI is substantial. Accrual of up-to-date information on local endemicity to guide deployment decisions would be highly efficient.", "author" : [ { "dropping-particle" : "", "family" : "Maire", "given" : "Nicolas", "non-dropping-particle" : "", "parse-names" : false, "suffix" : "" }, { "dropping-particle" : "", "family" : "Shillcutt", "given" : "Samuel D.", "non-dropping-particle" : "", "parse-names" : false, "suffix" : "" }, { "dropping-particle" : "", "family" : "Walker", "given" : "Damian G.", "non-dropping-particle" : "", "parse-names" : false, "suffix" : "" }, { "dropping-particle" : "", "family" : "Tediosi", "given" : "Fabrizio", "non-dropping-particle" : "", "parse-names" : false, "suffix" : "" }, { "dropping-particle" : "", "family" : "Smith", "given" : "Thomas A.", "non-dropping-particle" : "", "parse-names" : false, "suffix" : "" } ], "container-title" : "Value in Health", "id" : "ITEM-1", "issue" : "8", "issued" : { "date-parts" : [ [ "2011" ] ] }, "page" : "1028-1038", "publisher" : "Elsevier Inc.", "title" : "Cost-effectiveness of the introduction of a pre-erythrocytic malaria vaccine into the expanded program on immunization in sub-Saharan Africa: Analysis of uncertainties using a stochastic individual-based simulation model of Plasmodium falciparum malaria", "type" : "article-journal", "volume" : "14" }, "uris" : [ "http://www.mendeley.com/documents/?uuid=0d2eaa8b-628f-476a-8533-717f1dfa0674" ] } ], "mendeley" : { "formattedCitation" : "(28)", "plainTextFormattedCitation" : "(28)", "previouslyFormattedCitation" : "(28)" }, "properties" : { "noteIndex" : 0 }, "schema" : "https://github.com/citation-style-language/schema/raw/master/csl-citation.json" }</w:instrText>
            </w:r>
            <w:r w:rsidRPr="00E358A3">
              <w:rPr>
                <w:rFonts w:ascii="Calibri" w:hAnsi="Calibri" w:cs="Calibri"/>
                <w:color w:val="000000"/>
              </w:rPr>
              <w:fldChar w:fldCharType="separate"/>
            </w:r>
            <w:r w:rsidRPr="009D01D3">
              <w:rPr>
                <w:rFonts w:ascii="Calibri" w:hAnsi="Calibri" w:cs="Calibri"/>
                <w:noProof/>
                <w:color w:val="000000"/>
              </w:rPr>
              <w:t>(28)</w:t>
            </w:r>
            <w:r w:rsidRPr="00E358A3">
              <w:rPr>
                <w:rFonts w:ascii="Calibri" w:hAnsi="Calibri" w:cs="Calibri"/>
                <w:color w:val="000000"/>
              </w:rPr>
              <w:fldChar w:fldCharType="end"/>
            </w:r>
          </w:p>
        </w:tc>
      </w:tr>
      <w:tr w:rsidR="009D01D3" w:rsidRPr="00E358A3" w:rsidTr="0020168A">
        <w:trPr>
          <w:trHeight w:val="1450"/>
        </w:trPr>
        <w:tc>
          <w:tcPr>
            <w:tcW w:w="260" w:type="pct"/>
            <w:tcBorders>
              <w:top w:val="nil"/>
              <w:left w:val="nil"/>
              <w:right w:val="single" w:sz="4" w:space="0" w:color="auto"/>
            </w:tcBorders>
            <w:shd w:val="clear" w:color="auto" w:fill="auto"/>
            <w:vAlign w:val="center"/>
            <w:hideMark/>
          </w:tcPr>
          <w:p w:rsidR="009D01D3" w:rsidRPr="00E358A3" w:rsidRDefault="009D01D3" w:rsidP="0020168A"/>
        </w:tc>
        <w:tc>
          <w:tcPr>
            <w:tcW w:w="360" w:type="pct"/>
            <w:tcBorders>
              <w:top w:val="nil"/>
              <w:left w:val="single" w:sz="4" w:space="0" w:color="auto"/>
              <w:right w:val="single" w:sz="12" w:space="0" w:color="auto"/>
            </w:tcBorders>
            <w:shd w:val="clear" w:color="auto" w:fill="auto"/>
            <w:vAlign w:val="center"/>
            <w:hideMark/>
          </w:tcPr>
          <w:p w:rsidR="009D01D3" w:rsidRPr="00E358A3" w:rsidRDefault="009D01D3" w:rsidP="0020168A">
            <w:pPr>
              <w:jc w:val="right"/>
              <w:rPr>
                <w:rFonts w:ascii="Calibri" w:hAnsi="Calibri" w:cs="Calibri"/>
                <w:color w:val="000000"/>
              </w:rPr>
            </w:pPr>
            <w:r w:rsidRPr="005470B2">
              <w:rPr>
                <w:rFonts w:ascii="Calibri" w:hAnsi="Calibri" w:cs="Calibri"/>
                <w:color w:val="000000"/>
              </w:rPr>
              <w:t>Chitnis (2012)</w:t>
            </w:r>
          </w:p>
        </w:tc>
        <w:tc>
          <w:tcPr>
            <w:tcW w:w="674" w:type="pct"/>
            <w:tcBorders>
              <w:top w:val="single" w:sz="4" w:space="0" w:color="auto"/>
              <w:left w:val="single" w:sz="12" w:space="0" w:color="auto"/>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Incorporate seasonality and heterogeneous humans into pre-existing model</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H,M</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46"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P,C</w:t>
            </w:r>
          </w:p>
        </w:tc>
        <w:tc>
          <w:tcPr>
            <w:tcW w:w="773"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Probabilities and rates of particular outcomes in the transmission process</w:t>
            </w:r>
          </w:p>
        </w:tc>
        <w:tc>
          <w:tcPr>
            <w:tcW w:w="6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EIR, malaria clinical incidence and prevalence</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Removal of interventions</w:t>
            </w:r>
          </w:p>
        </w:tc>
        <w:tc>
          <w:tcPr>
            <w:tcW w:w="1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fldChar w:fldCharType="begin" w:fldLock="1"/>
            </w:r>
            <w:r>
              <w:rPr>
                <w:rFonts w:ascii="Calibri" w:hAnsi="Calibri" w:cs="Calibri"/>
                <w:color w:val="000000"/>
              </w:rPr>
              <w:instrText>ADDIN CSL_CITATION { "citationItems" : [ { "id" : "ITEM-1", "itemData" : { "DOI" : "10.1007/s11538-011-9710-0", "ISBN" : "1522-9602 (Electronic)\\r0092-8240 (Linking)", "ISSN" : "00928240", "PMID" : "22218880", "abstract" : "We describe and analyze a periodically-forced difference equation model for malaria in mosquitoes that captures the effects of seasonality and allows the mosquitoes to feed on a heterogeneous population of hosts. We numerically show the existence of a unique globally asymptotically stable periodic orbit and calculate periodic orbits of field-measurable quantities that measure malaria transmission. We integrate this model with an individual-based stochastic simulation model for malaria in humans to compare the effects of insecticide-treated nets (ITNs) and indoor residual spraying (IRS) in reducing malaria transmission, prevalence, and incidence. We show that ITNs are more effective than IRS in reducing transmission and prevalence though IRS would achieve its maximal effects within 2 years while ITNs would need two mass distribution campaigns over several years to do so. Furthermore, the combination of both interventions is more effective than either intervention alone. However, although these interventions reduce transmission and prevalence, they can lead to increased clinical malaria; and all three malaria indicators return to preintervention levels within 3 years after the interventions are withdrawn.", "author" : [ { "dropping-particle" : "", "family" : "Chitnis", "given" : "Nakul", "non-dropping-particle" : "", "parse-names" : false, "suffix" : "" }, { "dropping-particle" : "", "family" : "Hardy", "given" : "Diggory", "non-dropping-particle" : "", "parse-names" : false, "suffix" : "" }, { "dropping-particle" : "", "family" : "Smith", "given" : "Thomas", "non-dropping-particle" : "", "parse-names" : false, "suffix" : "" } ], "container-title" : "Bulletin of Mathematical Biology", "id" : "ITEM-1", "issue" : "5", "issued" : { "date-parts" : [ [ "2012" ] ] }, "page" : "1098-1124", "title" : "A Periodically-Forced Mathematical Model for the Seasonal Dynamics of Malaria in Mosquitoes", "type" : "article-journal", "volume" : "74" }, "uris" : [ "http://www.mendeley.com/documents/?uuid=953cc25e-2021-43c3-8c8f-d361f18497e1" ] } ], "mendeley" : { "formattedCitation" : "(29)", "plainTextFormattedCitation" : "(29)", "previouslyFormattedCitation" : "(29)" }, "properties" : { "noteIndex" : 0 }, "schema" : "https://github.com/citation-style-language/schema/raw/master/csl-citation.json" }</w:instrText>
            </w:r>
            <w:r w:rsidRPr="00E358A3">
              <w:rPr>
                <w:rFonts w:ascii="Calibri" w:hAnsi="Calibri" w:cs="Calibri"/>
                <w:color w:val="000000"/>
              </w:rPr>
              <w:fldChar w:fldCharType="separate"/>
            </w:r>
            <w:r w:rsidRPr="009D01D3">
              <w:rPr>
                <w:rFonts w:ascii="Calibri" w:hAnsi="Calibri" w:cs="Calibri"/>
                <w:noProof/>
                <w:color w:val="000000"/>
              </w:rPr>
              <w:t>(29)</w:t>
            </w:r>
            <w:r w:rsidRPr="00E358A3">
              <w:rPr>
                <w:rFonts w:ascii="Calibri" w:hAnsi="Calibri" w:cs="Calibri"/>
                <w:color w:val="000000"/>
              </w:rPr>
              <w:fldChar w:fldCharType="end"/>
            </w:r>
          </w:p>
        </w:tc>
      </w:tr>
      <w:tr w:rsidR="009D01D3" w:rsidRPr="00E358A3" w:rsidTr="0020168A">
        <w:trPr>
          <w:trHeight w:val="1450"/>
        </w:trPr>
        <w:tc>
          <w:tcPr>
            <w:tcW w:w="260" w:type="pct"/>
            <w:tcBorders>
              <w:top w:val="nil"/>
              <w:left w:val="nil"/>
              <w:bottom w:val="single" w:sz="4" w:space="0" w:color="auto"/>
              <w:right w:val="single" w:sz="4" w:space="0" w:color="auto"/>
            </w:tcBorders>
            <w:shd w:val="clear" w:color="auto" w:fill="auto"/>
            <w:vAlign w:val="center"/>
          </w:tcPr>
          <w:p w:rsidR="009D01D3" w:rsidRPr="00E358A3" w:rsidRDefault="009D01D3" w:rsidP="0020168A"/>
        </w:tc>
        <w:tc>
          <w:tcPr>
            <w:tcW w:w="360" w:type="pct"/>
            <w:tcBorders>
              <w:top w:val="nil"/>
              <w:left w:val="single" w:sz="4" w:space="0" w:color="auto"/>
              <w:bottom w:val="single" w:sz="4" w:space="0" w:color="auto"/>
              <w:right w:val="single" w:sz="12" w:space="0" w:color="auto"/>
            </w:tcBorders>
            <w:shd w:val="clear" w:color="auto" w:fill="auto"/>
            <w:vAlign w:val="center"/>
          </w:tcPr>
          <w:p w:rsidR="009D01D3" w:rsidRPr="00C45088" w:rsidRDefault="009D01D3" w:rsidP="0020168A">
            <w:pPr>
              <w:jc w:val="right"/>
              <w:rPr>
                <w:rFonts w:ascii="Calibri" w:hAnsi="Calibri" w:cs="Calibri"/>
                <w:color w:val="000000"/>
              </w:rPr>
            </w:pPr>
            <w:r w:rsidRPr="00C45088">
              <w:rPr>
                <w:rFonts w:ascii="Calibri" w:hAnsi="Calibri" w:cs="Calibri"/>
                <w:color w:val="000000"/>
              </w:rPr>
              <w:t>Crowell (2013)</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Predict incremental cost-effectiveness of MSAT campaigns</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H</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46"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P,S</w:t>
            </w:r>
          </w:p>
        </w:tc>
        <w:tc>
          <w:tcPr>
            <w:tcW w:w="773"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Pre-intervention EIR, MSAT timing, coverage and compliance, costing of MSAT</w:t>
            </w:r>
          </w:p>
        </w:tc>
        <w:tc>
          <w:tcPr>
            <w:tcW w:w="6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Parasite prevalence, episodes averted, incremental cost-effectiveness ratio</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Y</w:t>
            </w:r>
          </w:p>
        </w:tc>
        <w:tc>
          <w:tcPr>
            <w:tcW w:w="621"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Incremental cost-effective ratios for CEA</w:t>
            </w:r>
          </w:p>
        </w:tc>
        <w:tc>
          <w:tcPr>
            <w:tcW w:w="1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Pr>
                <w:rFonts w:ascii="Calibri" w:hAnsi="Calibri" w:cs="Calibri"/>
                <w:color w:val="000000"/>
              </w:rPr>
              <w:fldChar w:fldCharType="begin" w:fldLock="1"/>
            </w:r>
            <w:r>
              <w:rPr>
                <w:rFonts w:ascii="Calibri" w:hAnsi="Calibri" w:cs="Calibri"/>
                <w:color w:val="000000"/>
              </w:rPr>
              <w:instrText>ADDIN CSL_CITATION { "citationItems" : [ { "id" : "ITEM-1", "itemData" : { "DOI" : "10.1186/1475-2875-12-4", "ISBN" : "1475-2875 (Electronic)\\r1475-2875 (Linking)", "ISSN" : "14752875", "PMID" : "23286228", "abstract" : "Past experience and modelling suggest that, in most cases, mass treatment strategies are not likely to succeed in interrupting Plasmodium falciparum malaria transmission. However, this does not preclude their use to reduce disease burden. Mass screening and treatment (MSAT) is preferred to mass drug administration (MDA), as the latter involves massive over-use of drugs. This paper reports simulations of the incremental cost-effectiveness of well-conducted MSAT campaigns as a strategy for P. falciparum malaria disease-burden reduction in settings with varying receptivity (ability of the combined vector population in a setting to transmit disease) and access to case management.", "author" : [ { "dropping-particle" : "", "family" : "Crowell", "given" : "Valerie", "non-dropping-particle" : "", "parse-names" : false, "suffix" : "" }, { "dropping-particle" : "", "family" : "Bri\u00ebt", "given" : "Olivier JT", "non-dropping-particle" : "", "parse-names" : false, "suffix" : "" }, { "dropping-particle" : "", "family" : "Hardy", "given" : "Diggory", "non-dropping-particle" : "", "parse-names" : false, "suffix" : "" }, { "dropping-particle" : "", "family" : "Chitnis", "given" : "Nakul", "non-dropping-particle" : "", "parse-names" : false, "suffix" : "" }, { "dropping-particle" : "", "family" : "Maire", "given" : "Nicolas", "non-dropping-particle" : "", "parse-names" : false, "suffix" : "" }, { "dropping-particle" : "Di", "family" : "Pasquale", "given" : "Aurelio", "non-dropping-particle" : "", "parse-names" : false, "suffix" : "" }, { "dropping-particle" : "", "family" : "Smith", "given" : "Thomas A", "non-dropping-particle" : "", "parse-names" : false, "suffix" : "" } ], "container-title" : "Malaria Journal", "id" : "ITEM-1", "issue" : "1", "issued" : { "date-parts" : [ [ "2013", "1", "3" ] ] }, "page" : "4", "publisher" : "BioMed Central", "title" : "Modelling the cost-effectiveness of mass screening and treatment for reducing Plasmodium falciparum malaria burden", "type" : "article-journal", "volume" : "12" }, "uris" : [ "http://www.mendeley.com/documents/?uuid=030f0923-d456-3c4e-b175-5a1a9e66293b" ] } ], "mendeley" : { "formattedCitation" : "(30)", "plainTextFormattedCitation" : "(30)", "previouslyFormattedCitation" : "(30)" }, "properties" : { "noteIndex" : 0 }, "schema" : "https://github.com/citation-style-language/schema/raw/master/csl-citation.json" }</w:instrText>
            </w:r>
            <w:r>
              <w:rPr>
                <w:rFonts w:ascii="Calibri" w:hAnsi="Calibri" w:cs="Calibri"/>
                <w:color w:val="000000"/>
              </w:rPr>
              <w:fldChar w:fldCharType="separate"/>
            </w:r>
            <w:r w:rsidRPr="009D01D3">
              <w:rPr>
                <w:rFonts w:ascii="Calibri" w:hAnsi="Calibri" w:cs="Calibri"/>
                <w:noProof/>
                <w:color w:val="000000"/>
              </w:rPr>
              <w:t>(30)</w:t>
            </w:r>
            <w:r>
              <w:rPr>
                <w:rFonts w:ascii="Calibri" w:hAnsi="Calibri" w:cs="Calibri"/>
                <w:color w:val="000000"/>
              </w:rPr>
              <w:fldChar w:fldCharType="end"/>
            </w:r>
          </w:p>
        </w:tc>
      </w:tr>
      <w:tr w:rsidR="009D01D3" w:rsidRPr="00E358A3" w:rsidTr="0020168A">
        <w:trPr>
          <w:trHeight w:val="49"/>
        </w:trPr>
        <w:tc>
          <w:tcPr>
            <w:tcW w:w="620" w:type="pct"/>
            <w:gridSpan w:val="2"/>
            <w:tcBorders>
              <w:top w:val="single" w:sz="4" w:space="0" w:color="auto"/>
              <w:left w:val="nil"/>
              <w:right w:val="single" w:sz="12" w:space="0" w:color="auto"/>
            </w:tcBorders>
            <w:shd w:val="clear" w:color="auto" w:fill="auto"/>
            <w:vAlign w:val="center"/>
          </w:tcPr>
          <w:p w:rsidR="009D01D3" w:rsidRPr="00E358A3" w:rsidRDefault="009D01D3" w:rsidP="0020168A">
            <w:pPr>
              <w:rPr>
                <w:rFonts w:ascii="Calibri" w:hAnsi="Calibri" w:cs="Calibri"/>
                <w:color w:val="000000"/>
              </w:rPr>
            </w:pPr>
            <w:r w:rsidRPr="00E358A3">
              <w:rPr>
                <w:rFonts w:ascii="Calibri" w:hAnsi="Calibri" w:cs="Calibri"/>
                <w:color w:val="000000"/>
              </w:rPr>
              <w:t>Richard (1993)</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46"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773"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6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621"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fldChar w:fldCharType="begin" w:fldLock="1"/>
            </w:r>
            <w:r>
              <w:rPr>
                <w:rFonts w:ascii="Calibri" w:hAnsi="Calibri" w:cs="Calibri"/>
                <w:color w:val="000000"/>
              </w:rPr>
              <w:instrText>ADDIN CSL_CITATION { "citationItems" : [ { "id" : "ITEM-1", "itemData" : { "DOI" : "10.1016/0025-5564(93)90029-A", "ISBN" : "0025-5564 (Print)\\r0025-5564 (Linking)", "ISSN" : "00255564", "PMID" : "8400581", "abstract" : "A three-state Markov model taking into account clinical signs of malaria infections by P. falciparum is described. The three states considered are the noninfected (state 0), the infected exhibiting no clinical signs (state 1), and the infected with clinical signs (state 2). Methods for estimating the transition rates from longitudinal data are indicated. This model was used to assess the effect on children of an intervention trial on the use of mosquito nets impregnated with insecticide. The trial was conducted in West Africa (Burkina Faso) between 1985 and 1987. The analysis showed that the intervention was most effective on transition rates between state 1 and state 2. ?? 1993.", "author" : [ { "dropping-particle" : "", "family" : "Richard", "given" : "A", "non-dropping-particle" : "", "parse-names" : false, "suffix" : "" }, { "dropping-particle" : "", "family" : "Richardson", "given" : "S", "non-dropping-particle" : "", "parse-names" : false, "suffix" : "" }, { "dropping-particle" : "", "family" : "Maccario", "given" : "J", "non-dropping-particle" : "", "parse-names" : false, "suffix" : "" } ], "container-title" : "Mathematical Biosciences", "id" : "ITEM-1", "issue" : "1-2", "issued" : { "date-parts" : [ [ "1993", "9", "1" ] ] }, "page" : "283-300", "publisher" : "Elsevier", "title" : "A three-state Markov model of Plasmodium falciparum parasitemia", "type" : "article-journal", "volume" : "117" }, "uris" : [ "http://www.mendeley.com/documents/?uuid=a87adc92-f578-3148-b61c-d674de014bcb" ] } ], "mendeley" : { "formattedCitation" : "(31)", "plainTextFormattedCitation" : "(31)", "previouslyFormattedCitation" : "(31)" }, "properties" : { "noteIndex" : 0 }, "schema" : "https://github.com/citation-style-language/schema/raw/master/csl-citation.json" }</w:instrText>
            </w:r>
            <w:r w:rsidRPr="00E358A3">
              <w:rPr>
                <w:rFonts w:ascii="Calibri" w:hAnsi="Calibri" w:cs="Calibri"/>
                <w:color w:val="000000"/>
              </w:rPr>
              <w:fldChar w:fldCharType="separate"/>
            </w:r>
            <w:r w:rsidRPr="009D01D3">
              <w:rPr>
                <w:rFonts w:ascii="Calibri" w:hAnsi="Calibri" w:cs="Calibri"/>
                <w:noProof/>
                <w:color w:val="000000"/>
              </w:rPr>
              <w:t>(31)</w:t>
            </w:r>
            <w:r w:rsidRPr="00E358A3">
              <w:rPr>
                <w:rFonts w:ascii="Calibri" w:hAnsi="Calibri" w:cs="Calibri"/>
                <w:color w:val="000000"/>
              </w:rPr>
              <w:fldChar w:fldCharType="end"/>
            </w:r>
          </w:p>
        </w:tc>
      </w:tr>
      <w:tr w:rsidR="009D01D3" w:rsidRPr="00E358A3" w:rsidTr="0020168A">
        <w:trPr>
          <w:trHeight w:val="1740"/>
        </w:trPr>
        <w:tc>
          <w:tcPr>
            <w:tcW w:w="260" w:type="pct"/>
            <w:tcBorders>
              <w:left w:val="nil"/>
              <w:bottom w:val="single" w:sz="4" w:space="0" w:color="auto"/>
              <w:right w:val="single" w:sz="4" w:space="0" w:color="auto"/>
            </w:tcBorders>
            <w:shd w:val="clear" w:color="auto" w:fill="auto"/>
            <w:vAlign w:val="center"/>
            <w:hideMark/>
          </w:tcPr>
          <w:p w:rsidR="009D01D3" w:rsidRPr="0033189C" w:rsidRDefault="009D01D3" w:rsidP="0020168A">
            <w:pPr>
              <w:rPr>
                <w:rFonts w:ascii="Calibri" w:hAnsi="Calibri" w:cs="Calibri"/>
                <w:color w:val="000000"/>
              </w:rPr>
            </w:pPr>
          </w:p>
        </w:tc>
        <w:tc>
          <w:tcPr>
            <w:tcW w:w="360" w:type="pct"/>
            <w:tcBorders>
              <w:left w:val="single" w:sz="4" w:space="0" w:color="auto"/>
              <w:bottom w:val="single" w:sz="4" w:space="0" w:color="auto"/>
              <w:right w:val="single" w:sz="12" w:space="0" w:color="auto"/>
            </w:tcBorders>
            <w:shd w:val="clear" w:color="auto" w:fill="auto"/>
            <w:vAlign w:val="center"/>
          </w:tcPr>
          <w:p w:rsidR="009D01D3" w:rsidRPr="00EF1D3C" w:rsidRDefault="009D01D3" w:rsidP="0020168A">
            <w:pPr>
              <w:jc w:val="right"/>
              <w:rPr>
                <w:rFonts w:ascii="Calibri" w:hAnsi="Calibri" w:cs="Calibri"/>
                <w:color w:val="000000"/>
              </w:rPr>
            </w:pPr>
            <w:r w:rsidRPr="001631E2">
              <w:rPr>
                <w:rFonts w:ascii="Calibri" w:hAnsi="Calibri" w:cs="Calibri"/>
                <w:color w:val="000000"/>
              </w:rPr>
              <w:t>Gurarie (2007)</w:t>
            </w:r>
          </w:p>
        </w:tc>
        <w:tc>
          <w:tcPr>
            <w:tcW w:w="674" w:type="pct"/>
            <w:tcBorders>
              <w:top w:val="single" w:sz="4" w:space="0" w:color="auto"/>
              <w:left w:val="single" w:sz="12" w:space="0" w:color="auto"/>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Present stochastic model of infection, examine effects of drug treatment and vaccination of children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H</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46"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Nil</w:t>
            </w:r>
          </w:p>
        </w:tc>
        <w:tc>
          <w:tcPr>
            <w:tcW w:w="773"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EIR</w:t>
            </w:r>
          </w:p>
        </w:tc>
        <w:tc>
          <w:tcPr>
            <w:tcW w:w="6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Immune effector variable, severity index, severity count, individual infectious state prevalence</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Maternal immunity</w:t>
            </w:r>
          </w:p>
        </w:tc>
        <w:tc>
          <w:tcPr>
            <w:tcW w:w="1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fldChar w:fldCharType="begin" w:fldLock="1"/>
            </w:r>
            <w:r>
              <w:rPr>
                <w:rFonts w:ascii="Calibri" w:hAnsi="Calibri" w:cs="Calibri"/>
                <w:color w:val="000000"/>
              </w:rPr>
              <w:instrText>ADDIN CSL_CITATION { "citationItems" : [ { "id" : "ITEM-1", "itemData" : { "DOI" : "10.1016/j.mbs.2007.07.001", "ISBN" : "0025-5564", "ISSN" : "00255564", "PMID" : "17709118", "abstract" : "We develop a simple three-state stochastic description of individual malaria infections that relates dynamics of disease and immune status to age and previous exposure, under different intensities of transmission. We apply the resulting individual-based community models to examine the effects of drug treatment and vaccination on the frequency and severity of disease in ensembles of children. The several broad qualitative similarities between our results and field observations include potential rebound effects following intervals of drug treatment. \u00a9 2007 Elsevier Inc. All rights reserved.", "author" : [ { "dropping-particle" : "", "family" : "Gurarie", "given" : "David", "non-dropping-particle" : "", "parse-names" : false, "suffix" : "" }, { "dropping-particle" : "", "family" : "McKenzie", "given" : "F. Ellis", "non-dropping-particle" : "", "parse-names" : false, "suffix" : "" } ], "container-title" : "Mathematical Biosciences", "id" : "ITEM-1", "issue" : "2", "issued" : { "date-parts" : [ [ "2007" ] ] }, "page" : "576-597", "title" : "A stochastic model of immune-modulated malaria infection and disease in children", "type" : "article-journal", "volume" : "210" }, "uris" : [ "http://www.mendeley.com/documents/?uuid=6df219a5-ef84-464c-b939-0196bc46807f" ] } ], "mendeley" : { "formattedCitation" : "(32)", "plainTextFormattedCitation" : "(32)", "previouslyFormattedCitation" : "(32)" }, "properties" : { "noteIndex" : 0 }, "schema" : "https://github.com/citation-style-language/schema/raw/master/csl-citation.json" }</w:instrText>
            </w:r>
            <w:r w:rsidRPr="00E358A3">
              <w:rPr>
                <w:rFonts w:ascii="Calibri" w:hAnsi="Calibri" w:cs="Calibri"/>
                <w:color w:val="000000"/>
              </w:rPr>
              <w:fldChar w:fldCharType="separate"/>
            </w:r>
            <w:r w:rsidRPr="009D01D3">
              <w:rPr>
                <w:rFonts w:ascii="Calibri" w:hAnsi="Calibri" w:cs="Calibri"/>
                <w:noProof/>
                <w:color w:val="000000"/>
              </w:rPr>
              <w:t>(32)</w:t>
            </w:r>
            <w:r w:rsidRPr="00E358A3">
              <w:rPr>
                <w:rFonts w:ascii="Calibri" w:hAnsi="Calibri" w:cs="Calibri"/>
                <w:color w:val="000000"/>
              </w:rPr>
              <w:fldChar w:fldCharType="end"/>
            </w:r>
          </w:p>
        </w:tc>
      </w:tr>
      <w:tr w:rsidR="009D01D3" w:rsidRPr="00E358A3" w:rsidTr="0020168A">
        <w:trPr>
          <w:trHeight w:val="1740"/>
        </w:trPr>
        <w:tc>
          <w:tcPr>
            <w:tcW w:w="620" w:type="pct"/>
            <w:gridSpan w:val="2"/>
            <w:tcBorders>
              <w:top w:val="single" w:sz="4" w:space="0" w:color="auto"/>
              <w:left w:val="nil"/>
              <w:bottom w:val="single" w:sz="4" w:space="0" w:color="auto"/>
              <w:right w:val="single" w:sz="12" w:space="0" w:color="auto"/>
            </w:tcBorders>
            <w:shd w:val="clear" w:color="auto" w:fill="auto"/>
            <w:vAlign w:val="center"/>
          </w:tcPr>
          <w:p w:rsidR="009D01D3" w:rsidRPr="0033189C" w:rsidRDefault="009D01D3" w:rsidP="0020168A">
            <w:pPr>
              <w:rPr>
                <w:rFonts w:ascii="Calibri" w:hAnsi="Calibri" w:cs="Calibri"/>
                <w:color w:val="000000"/>
              </w:rPr>
            </w:pPr>
            <w:r w:rsidRPr="0033189C">
              <w:rPr>
                <w:rFonts w:ascii="Calibri" w:hAnsi="Calibri" w:cs="Calibri"/>
                <w:color w:val="000000"/>
              </w:rPr>
              <w:t>Gurarie (2012)</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Develop in-host model of parasite densities, validate through comparing ABM-predicted malaria prevalence to field observations</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H</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46"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P,C,V,S</w:t>
            </w:r>
          </w:p>
        </w:tc>
        <w:tc>
          <w:tcPr>
            <w:tcW w:w="773"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EIR</w:t>
            </w:r>
          </w:p>
        </w:tc>
        <w:tc>
          <w:tcPr>
            <w:tcW w:w="6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Malaria prevalence, number of infected RBCs per µL of blood (individual)</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Merozoite invasion of RBCs, antigenic variation of parasites</w:t>
            </w:r>
          </w:p>
        </w:tc>
        <w:tc>
          <w:tcPr>
            <w:tcW w:w="1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fldChar w:fldCharType="begin" w:fldLock="1"/>
            </w:r>
            <w:r>
              <w:rPr>
                <w:rFonts w:ascii="Calibri" w:hAnsi="Calibri" w:cs="Calibri"/>
                <w:color w:val="000000"/>
              </w:rPr>
              <w:instrText>ADDIN CSL_CITATION { "citationItems" : [ { "id" : "ITEM-1", "itemData" : { "DOI" : "10.1371/journal.pone.0034040", "ISBN" : "1932-6203 (Electronic)\\r1932-6203 (Linking)", "ISSN" : "19326203", "PMID" : "22470511", "abstract" : "Agent-based modeling of Plasmodium falciparum infection offers an attractive alternative to the conventional Ross-Macdonald methodology, as it allows simulation of heterogeneous communities subjected to realistic transmission (inoculation patterns).", "author" : [ { "dropping-particle" : "", "family" : "Gurarie", "given" : "David", "non-dropping-particle" : "", "parse-names" : false, "suffix" : "" }, { "dropping-particle" : "", "family" : "Karl", "given" : "Stephan", "non-dropping-particle" : "", "parse-names" : false, "suffix" : "" }, { "dropping-particle" : "", "family" : "Zimmerman", "given" : "Peter A.", "non-dropping-particle" : "", "parse-names" : false, "suffix" : "" }, { "dropping-particle" : "", "family" : "King", "given" : "Charles H.", "non-dropping-particle" : "", "parse-names" : false, "suffix" : "" }, { "dropping-particle" : "", "family" : "St Pierre", "given" : "Timothy G.", "non-dropping-particle" : "", "parse-names" : false, "suffix" : "" }, { "dropping-particle" : "", "family" : "Davis", "given" : "Timothy M E", "non-dropping-particle" : "", "parse-names" : false, "suffix" : "" } ], "container-title" : "PLoS ONE", "id" : "ITEM-1", "issue" : "3", "issued" : { "date-parts" : [ [ "2012" ] ] }, "page" : "e34040", "title" : "Mathematical modeling of malaria infection with innate and adaptive immunity in individuals and agent-based communities", "type" : "article-journal", "volume" : "7" }, "uris" : [ "http://www.mendeley.com/documents/?uuid=e9cb3db9-32db-4b9d-a595-4c181bbac04b" ] } ], "mendeley" : { "formattedCitation" : "(33)", "plainTextFormattedCitation" : "(33)", "previouslyFormattedCitation" : "(33)" }, "properties" : { "noteIndex" : 0 }, "schema" : "https://github.com/citation-style-language/schema/raw/master/csl-citation.json" }</w:instrText>
            </w:r>
            <w:r w:rsidRPr="00E358A3">
              <w:rPr>
                <w:rFonts w:ascii="Calibri" w:hAnsi="Calibri" w:cs="Calibri"/>
                <w:color w:val="000000"/>
              </w:rPr>
              <w:fldChar w:fldCharType="separate"/>
            </w:r>
            <w:r w:rsidRPr="009D01D3">
              <w:rPr>
                <w:rFonts w:ascii="Calibri" w:hAnsi="Calibri" w:cs="Calibri"/>
                <w:noProof/>
                <w:color w:val="000000"/>
              </w:rPr>
              <w:t>(33)</w:t>
            </w:r>
            <w:r w:rsidRPr="00E358A3">
              <w:rPr>
                <w:rFonts w:ascii="Calibri" w:hAnsi="Calibri" w:cs="Calibri"/>
                <w:color w:val="000000"/>
              </w:rPr>
              <w:fldChar w:fldCharType="end"/>
            </w:r>
          </w:p>
        </w:tc>
      </w:tr>
      <w:tr w:rsidR="009D01D3" w:rsidRPr="00E358A3" w:rsidTr="0020168A">
        <w:trPr>
          <w:trHeight w:val="1740"/>
        </w:trPr>
        <w:tc>
          <w:tcPr>
            <w:tcW w:w="620" w:type="pct"/>
            <w:gridSpan w:val="2"/>
            <w:tcBorders>
              <w:top w:val="single" w:sz="4" w:space="0" w:color="auto"/>
              <w:left w:val="nil"/>
              <w:bottom w:val="single" w:sz="4" w:space="0" w:color="auto"/>
              <w:right w:val="single" w:sz="12" w:space="0" w:color="auto"/>
            </w:tcBorders>
            <w:shd w:val="clear" w:color="auto" w:fill="auto"/>
            <w:vAlign w:val="center"/>
          </w:tcPr>
          <w:p w:rsidR="009D01D3" w:rsidRPr="00CE69DF" w:rsidRDefault="009D01D3" w:rsidP="0020168A">
            <w:pPr>
              <w:rPr>
                <w:rFonts w:ascii="Calibri" w:hAnsi="Calibri" w:cs="Calibri"/>
                <w:color w:val="000000"/>
                <w:highlight w:val="yellow"/>
              </w:rPr>
            </w:pPr>
            <w:r w:rsidRPr="00C45088">
              <w:rPr>
                <w:rFonts w:ascii="Calibri" w:hAnsi="Calibri" w:cs="Calibri"/>
                <w:color w:val="000000"/>
              </w:rPr>
              <w:t>Linard (2008)</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Simulate variations in contact rate between potential malaria vectors and hosts in the Camargue</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H,M</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Y</w:t>
            </w:r>
          </w:p>
        </w:tc>
        <w:tc>
          <w:tcPr>
            <w:tcW w:w="146"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P,S</w:t>
            </w:r>
          </w:p>
        </w:tc>
        <w:tc>
          <w:tcPr>
            <w:tcW w:w="773"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Mosquito development parameters, protection rates, average daily temperature</w:t>
            </w:r>
          </w:p>
        </w:tc>
        <w:tc>
          <w:tcPr>
            <w:tcW w:w="6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Actual biting rate</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Horse and cattle agents, seasonally-dependent tourist numbers</w:t>
            </w:r>
          </w:p>
        </w:tc>
        <w:tc>
          <w:tcPr>
            <w:tcW w:w="1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Pr>
                <w:rFonts w:ascii="Calibri" w:hAnsi="Calibri" w:cs="Calibri"/>
                <w:color w:val="000000"/>
              </w:rPr>
              <w:fldChar w:fldCharType="begin" w:fldLock="1"/>
            </w:r>
            <w:r>
              <w:rPr>
                <w:rFonts w:ascii="Calibri" w:hAnsi="Calibri" w:cs="Calibri"/>
                <w:color w:val="000000"/>
              </w:rPr>
              <w:instrText>ADDIN CSL_CITATION { "citationItems" : [ { "id" : "ITEM-1", "itemData" : { "DOI" : "10.1016/j.ecolmodel.2008.09.001", "ISBN" : "0304-3800", "ISSN" : "03043800", "abstract" : "A multi-agent simulation (MAS) was developed to assess the risk of malaria re-emergence in the Camargue in southern France, a non-endemic area where mosquitoes of the genus Anopheles (Culicidae) live. The contact rate between people and potential malaria vectors, or the human biting rate, is one of the key factor to predict the risk of re-emergence of malaria, would the parasite be introduced in the region. Our model (called MALCAM) represents the different agents that could influence malaria transmission in the Camargue - people, mosquitoes, animal hosts and the landscape - in a spatially explicit environment. The model simulates spatial and temporal variations in human biting rate at the landscape scale. These variations depend on the distribution of people and potential vectors, their behaviour and their interactions. A land use/cover map was used as a cellular-spatial support for the movements of and interactions between mobile agents. The model was tested for its sensitivity to variations in parameter values, and for the agreement between field observations and model predictions. The MALCAM model provides a tool to better understand the interactions between the multiple agents of the disease transmission system, and the land use and land cover factors that control the spatial heterogeneity in these interactions. It allows testing hypotheses and scenarios related to disease dynamics by varying the value of exogenous biological, geographical, or human factors. This application of agent-based modelling to a human vector-borne disease can be adapted to different diseases and regions. \u00a9 2008 Elsevier B.V. All rights reserved.", "author" : [ { "dropping-particle" : "", "family" : "Linard", "given" : "Catherine", "non-dropping-particle" : "", "parse-names" : false, "suffix" : "" }, { "dropping-particle" : "", "family" : "Pon\u00e7on", "given" : "Nicolas", "non-dropping-particle" : "", "parse-names" : false, "suffix" : "" }, { "dropping-particle" : "", "family" : "Fontenille", "given" : "Didier", "non-dropping-particle" : "", "parse-names" : false, "suffix" : "" }, { "dropping-particle" : "", "family" : "Lambin", "given" : "Eric F.", "non-dropping-particle" : "", "parse-names" : false, "suffix" : "" } ], "container-title" : "Ecological Modelling", "id" : "ITEM-1", "issue" : "2", "issued" : { "date-parts" : [ [ "2009" ] ] }, "page" : "160-174", "title" : "A multi-agent simulation to assess the risk of malaria re-emergence in southern France", "type" : "article-journal", "volume" : "220" }, "uris" : [ "http://www.mendeley.com/documents/?uuid=08c82b73-7735-4a55-82d4-0fa408f5a687" ] } ], "mendeley" : { "formattedCitation" : "(34)", "plainTextFormattedCitation" : "(34)", "previouslyFormattedCitation" : "(34)" }, "properties" : { "noteIndex" : 0 }, "schema" : "https://github.com/citation-style-language/schema/raw/master/csl-citation.json" }</w:instrText>
            </w:r>
            <w:r>
              <w:rPr>
                <w:rFonts w:ascii="Calibri" w:hAnsi="Calibri" w:cs="Calibri"/>
                <w:color w:val="000000"/>
              </w:rPr>
              <w:fldChar w:fldCharType="separate"/>
            </w:r>
            <w:r w:rsidRPr="009D01D3">
              <w:rPr>
                <w:rFonts w:ascii="Calibri" w:hAnsi="Calibri" w:cs="Calibri"/>
                <w:noProof/>
                <w:color w:val="000000"/>
              </w:rPr>
              <w:t>(34)</w:t>
            </w:r>
            <w:r>
              <w:rPr>
                <w:rFonts w:ascii="Calibri" w:hAnsi="Calibri" w:cs="Calibri"/>
                <w:color w:val="000000"/>
              </w:rPr>
              <w:fldChar w:fldCharType="end"/>
            </w:r>
          </w:p>
        </w:tc>
      </w:tr>
      <w:tr w:rsidR="009D01D3" w:rsidRPr="00E358A3" w:rsidTr="0020168A">
        <w:trPr>
          <w:trHeight w:val="955"/>
        </w:trPr>
        <w:tc>
          <w:tcPr>
            <w:tcW w:w="620" w:type="pct"/>
            <w:gridSpan w:val="2"/>
            <w:tcBorders>
              <w:top w:val="single" w:sz="4" w:space="0" w:color="auto"/>
              <w:left w:val="nil"/>
              <w:right w:val="single" w:sz="12" w:space="0" w:color="auto"/>
            </w:tcBorders>
            <w:shd w:val="clear" w:color="auto" w:fill="auto"/>
            <w:vAlign w:val="center"/>
            <w:hideMark/>
          </w:tcPr>
          <w:p w:rsidR="009D01D3" w:rsidRPr="00E358A3" w:rsidRDefault="009D01D3" w:rsidP="0020168A">
            <w:pPr>
              <w:rPr>
                <w:rFonts w:ascii="Calibri" w:hAnsi="Calibri" w:cs="Calibri"/>
                <w:color w:val="000000"/>
              </w:rPr>
            </w:pPr>
            <w:r w:rsidRPr="00364CA3">
              <w:rPr>
                <w:rFonts w:ascii="Calibri" w:hAnsi="Calibri" w:cs="Calibri"/>
                <w:color w:val="000000"/>
              </w:rPr>
              <w:t>Bomblies (2008)</w:t>
            </w:r>
          </w:p>
        </w:tc>
        <w:tc>
          <w:tcPr>
            <w:tcW w:w="674" w:type="pct"/>
            <w:tcBorders>
              <w:top w:val="single" w:sz="4" w:space="0" w:color="auto"/>
              <w:left w:val="single" w:sz="12" w:space="0" w:color="auto"/>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Calibration and validation of hydrology and entomology models embedded into an ABM of malaria transmission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H,M</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46"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P,C,V,S</w:t>
            </w:r>
          </w:p>
        </w:tc>
        <w:tc>
          <w:tcPr>
            <w:tcW w:w="773"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Hydrology and entomology data from the Sahel</w:t>
            </w:r>
          </w:p>
        </w:tc>
        <w:tc>
          <w:tcPr>
            <w:tcW w:w="6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Vectorial capacity, EIR, malaria prevalence, live mosquito numbers</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CO</w:t>
            </w:r>
            <w:r w:rsidRPr="00E358A3">
              <w:rPr>
                <w:rFonts w:ascii="Calibri" w:hAnsi="Calibri" w:cs="Calibri"/>
                <w:color w:val="000000"/>
                <w:vertAlign w:val="subscript"/>
              </w:rPr>
              <w:t>2</w:t>
            </w:r>
            <w:r w:rsidRPr="00E358A3">
              <w:rPr>
                <w:rFonts w:ascii="Calibri" w:hAnsi="Calibri" w:cs="Calibri"/>
                <w:color w:val="000000"/>
              </w:rPr>
              <w:t>-seeking behaviour, land surface scheme, predation of younger larvae by older ones</w:t>
            </w:r>
          </w:p>
        </w:tc>
        <w:tc>
          <w:tcPr>
            <w:tcW w:w="1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fldChar w:fldCharType="begin" w:fldLock="1"/>
            </w:r>
            <w:r>
              <w:rPr>
                <w:rFonts w:ascii="Calibri" w:hAnsi="Calibri" w:cs="Calibri"/>
                <w:color w:val="000000"/>
              </w:rPr>
              <w:instrText>ADDIN CSL_CITATION { "citationItems" : [ { "id" : "ITEM-1", "itemData" : { "DOI" : "10.1029/2008WR006917", "ISBN" : "0043-1397", "ISSN" : "00431397", "abstract" : "We present a coupled hydrology and entomology model for the mechanistic simulation of local-scale response of malaria transmission to hydrological and climatological determinants in semiarid, desert fringe environments. The model is applied to the Sahel village of Banizoumbou, Niger, to predict interannual variability in malaria vector mosquito populations that lead to variations in malaria transmission. Using a high-resolution, small-scale distributed hydrology model that incorporates remotely sensed data for land cover and topography, we simulate the formation and persistence of the pools constituting the primary breeding habitat of Anopheles gambiae s.l. mosquitoes, the principal regional malaria vector mosquitoes. An agent-based mosquito population model is coupled to the distributed hydrology model, with aquatic-stage and adult-stage components. Through a dependence of aquatic-stage mosquito development and adult emergence on pool persistence, we model small-scale hydrology as a dominant control of mosquito abundance. For each individual adult mosquito, the model tracks attributes relevant to population dynamics and malaria transmission, which are updated as mosquitoes interact with their environment, humans, and animals. Weekly field observations were made in 2005 and 2006. A 16% increase in rainfall between the two years was accompanied by a 132% increase in mosquito abundance between 2005 and 2006. The model reproduces mosquito population variability at seasonal and interannual timescales and highlights individual pool persistence as a dominant control. Future developments of the presented model can be used in the evaluation of impacts of climate change on malaria, as well as the a priori evaluation of environmental management-based interventions.", "author" : [ { "dropping-particle" : "", "family" : "Bomblies", "given" : "Arne", "non-dropping-particle" : "", "parse-names" : false, "suffix" : "" }, { "dropping-particle" : "", "family" : "Duchemin", "given" : "Jean Bernard", "non-dropping-particle" : "", "parse-names" : false, "suffix" : "" }, { "dropping-particle" : "", "family" : "Eltahir", "given" : "Elfatih A.B.", "non-dropping-particle" : "", "parse-names" : false, "suffix" : "" } ], "container-title" : "Water Resources Research", "id" : "ITEM-1", "issue" : "12", "issued" : { "date-parts" : [ [ "2008" ] ] }, "page" : "1-26", "title" : "Hydrology of malaria: Model development and application to a Sahelian village", "type" : "article-journal", "volume" : "44" }, "uris" : [ "http://www.mendeley.com/documents/?uuid=d926e170-7432-4a30-b5f5-30fbd701ac75" ] } ], "mendeley" : { "formattedCitation" : "(35)", "plainTextFormattedCitation" : "(35)", "previouslyFormattedCitation" : "(35)" }, "properties" : { "noteIndex" : 0 }, "schema" : "https://github.com/citation-style-language/schema/raw/master/csl-citation.json" }</w:instrText>
            </w:r>
            <w:r w:rsidRPr="00E358A3">
              <w:rPr>
                <w:rFonts w:ascii="Calibri" w:hAnsi="Calibri" w:cs="Calibri"/>
                <w:color w:val="000000"/>
              </w:rPr>
              <w:fldChar w:fldCharType="separate"/>
            </w:r>
            <w:r w:rsidRPr="009D01D3">
              <w:rPr>
                <w:rFonts w:ascii="Calibri" w:hAnsi="Calibri" w:cs="Calibri"/>
                <w:noProof/>
                <w:color w:val="000000"/>
              </w:rPr>
              <w:t>(35)</w:t>
            </w:r>
            <w:r w:rsidRPr="00E358A3">
              <w:rPr>
                <w:rFonts w:ascii="Calibri" w:hAnsi="Calibri" w:cs="Calibri"/>
                <w:color w:val="000000"/>
              </w:rPr>
              <w:fldChar w:fldCharType="end"/>
            </w:r>
          </w:p>
        </w:tc>
      </w:tr>
      <w:tr w:rsidR="009D01D3" w:rsidRPr="00E358A3" w:rsidTr="0020168A">
        <w:trPr>
          <w:trHeight w:val="690"/>
        </w:trPr>
        <w:tc>
          <w:tcPr>
            <w:tcW w:w="260" w:type="pct"/>
            <w:tcBorders>
              <w:top w:val="nil"/>
              <w:left w:val="nil"/>
              <w:bottom w:val="nil"/>
              <w:right w:val="single" w:sz="4" w:space="0" w:color="auto"/>
            </w:tcBorders>
            <w:shd w:val="clear" w:color="auto" w:fill="auto"/>
            <w:vAlign w:val="center"/>
            <w:hideMark/>
          </w:tcPr>
          <w:p w:rsidR="009D01D3" w:rsidRPr="00E358A3" w:rsidRDefault="009D01D3" w:rsidP="0020168A"/>
        </w:tc>
        <w:tc>
          <w:tcPr>
            <w:tcW w:w="360" w:type="pct"/>
            <w:tcBorders>
              <w:top w:val="nil"/>
              <w:left w:val="single" w:sz="4" w:space="0" w:color="auto"/>
              <w:bottom w:val="nil"/>
              <w:right w:val="single" w:sz="12" w:space="0" w:color="auto"/>
            </w:tcBorders>
            <w:shd w:val="clear" w:color="auto" w:fill="auto"/>
            <w:vAlign w:val="center"/>
            <w:hideMark/>
          </w:tcPr>
          <w:p w:rsidR="009D01D3" w:rsidRPr="00E358A3" w:rsidRDefault="009D01D3" w:rsidP="0020168A">
            <w:pPr>
              <w:jc w:val="right"/>
              <w:rPr>
                <w:rFonts w:ascii="Calibri" w:hAnsi="Calibri" w:cs="Calibri"/>
                <w:color w:val="000000"/>
              </w:rPr>
            </w:pPr>
            <w:r w:rsidRPr="00364CA3">
              <w:rPr>
                <w:rFonts w:ascii="Calibri" w:hAnsi="Calibri" w:cs="Calibri"/>
                <w:color w:val="000000"/>
              </w:rPr>
              <w:t>Bomblies (2009A)</w:t>
            </w:r>
          </w:p>
        </w:tc>
        <w:tc>
          <w:tcPr>
            <w:tcW w:w="674" w:type="pct"/>
            <w:tcBorders>
              <w:top w:val="single" w:sz="4" w:space="0" w:color="auto"/>
              <w:left w:val="single" w:sz="12" w:space="0" w:color="auto"/>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 xml:space="preserve">Simulate village-scale </w:t>
            </w:r>
            <w:r w:rsidRPr="00E358A3">
              <w:rPr>
                <w:rFonts w:ascii="Calibri" w:hAnsi="Calibri" w:cs="Calibri"/>
                <w:i/>
                <w:color w:val="000000"/>
              </w:rPr>
              <w:t>Anopheles</w:t>
            </w:r>
            <w:r w:rsidRPr="00E358A3">
              <w:rPr>
                <w:rFonts w:ascii="Calibri" w:hAnsi="Calibri" w:cs="Calibri"/>
                <w:color w:val="000000"/>
              </w:rPr>
              <w:t xml:space="preserve"> mosquito population dynamics in two locations</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H,M</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46"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P,C,V,S</w:t>
            </w:r>
          </w:p>
        </w:tc>
        <w:tc>
          <w:tcPr>
            <w:tcW w:w="773"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Pool water temperatures, water source locations, topography, vegetation, soil types</w:t>
            </w:r>
          </w:p>
        </w:tc>
        <w:tc>
          <w:tcPr>
            <w:tcW w:w="6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Water coverage, water depth, mosquito abundance</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Overland flow routing component</w:t>
            </w:r>
          </w:p>
        </w:tc>
        <w:tc>
          <w:tcPr>
            <w:tcW w:w="1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fldChar w:fldCharType="begin" w:fldLock="1"/>
            </w:r>
            <w:r>
              <w:rPr>
                <w:rFonts w:ascii="Calibri" w:hAnsi="Calibri" w:cs="Calibri"/>
                <w:color w:val="000000"/>
              </w:rPr>
              <w:instrText>ADDIN CSL_CITATION { "citationItems" : [ { "id" : "ITEM-1", "itemData" : { "DOI" : "10.1186/1475-2875-8-223", "ISBN" : "1475-2875", "ISSN" : "1475-2875", "PMID" : "19799793", "abstract" : "BACKGROUND: Malaria transmission models commonly incorporate spatial environmental and climate variability for making regional predictions of disease risk. However, a mismatch of these models' typical spatial resolutions and the characteristic scale of malaria vector population dynamics may confound disease risk predictions in areas of high spatial hydrological variability such as the Sahel region of Africa. METHODS: Field observations spanning two years from two Niger villages are compared. The two villages are separated by only 30 km but exhibit a ten-fold difference in anopheles mosquito density. These two villages would be covered by a single grid cell in many malaria models, yet their entomological activity differs greatly. Environmental conditions and associated entomological activity are simulated at high spatial- and temporal resolution using a mechanistic approach that couples a distributed hydrology scheme and an entomological model. Model results are compared to regular field observations of Anopheles gambiae sensu lato mosquito populations and local hydrology. The model resolves the formation and persistence of individual pools that facilitate mosquito breeding and predicts spatio-temporal mosquito population variability at high resolution using an agent-based modeling approach. RESULTS: Observations of soil moisture, pool size, and pool persistence are reproduced by the model. The resulting breeding of mosquitoes in the simulated pools yields time-integrated seasonal mosquito population dynamics that closely follow observations from captured mosquito abundance. Interannual difference in mosquito abundance is simulated, and the inter-village difference in mosquito population is reproduced for two years of observations. These modeling results emulate the known focal nature of malaria in Niger Sahel villages. CONCLUSION: Hydrological variability must be represented at high spatial and temporal resolution to achieve accurate predictive ability of malaria risk at the village scale, which can then be integrated appropriately to regional spatial scales and seasonal temporal scales. These results have important implications for models seeking to link the impacts of climate change and climate variability to malaria transmission. The highly focal nature of malaria in the Sahel makes detailed representation necessary to evaluate village-level risks associated with hydrology-related vector population variability.", "author" : [ { "dropping-particle" : "", "family" : "Bomblies", "given" : "Arne", "non-dropping-particle" : "", "parse-names" : false, "suffix" : "" }, { "dropping-particle" : "", "family" : "Duchemin", "given" : "Jean-Bernard", "non-dropping-particle" : "", "parse-names" : false, "suffix" : "" }, { "dropping-particle" : "", "family" : "Eltahir", "given" : "Elfatih A B", "non-dropping-particle" : "", "parse-names" : false, "suffix" : "" } ], "container-title" : "Malaria journal", "id" : "ITEM-1", "issue" : "1", "issued" : { "date-parts" : [ [ "2009" ] ] }, "page" : "223-234", "title" : "A mechanistic approach for accurate simulation of village scale malaria transmission", "type" : "article-journal", "volume" : "8" }, "uris" : [ "http://www.mendeley.com/documents/?uuid=06ad1904-773c-4fbc-9fa3-279a356eac92" ] } ], "mendeley" : { "formattedCitation" : "(36)", "plainTextFormattedCitation" : "(36)", "previouslyFormattedCitation" : "(36)" }, "properties" : { "noteIndex" : 0 }, "schema" : "https://github.com/citation-style-language/schema/raw/master/csl-citation.json" }</w:instrText>
            </w:r>
            <w:r w:rsidRPr="00E358A3">
              <w:rPr>
                <w:rFonts w:ascii="Calibri" w:hAnsi="Calibri" w:cs="Calibri"/>
                <w:color w:val="000000"/>
              </w:rPr>
              <w:fldChar w:fldCharType="separate"/>
            </w:r>
            <w:r w:rsidRPr="009D01D3">
              <w:rPr>
                <w:rFonts w:ascii="Calibri" w:hAnsi="Calibri" w:cs="Calibri"/>
                <w:noProof/>
                <w:color w:val="000000"/>
              </w:rPr>
              <w:t>(36)</w:t>
            </w:r>
            <w:r w:rsidRPr="00E358A3">
              <w:rPr>
                <w:rFonts w:ascii="Calibri" w:hAnsi="Calibri" w:cs="Calibri"/>
                <w:color w:val="000000"/>
              </w:rPr>
              <w:fldChar w:fldCharType="end"/>
            </w:r>
          </w:p>
        </w:tc>
      </w:tr>
      <w:tr w:rsidR="009D01D3" w:rsidRPr="00E358A3" w:rsidTr="0020168A">
        <w:trPr>
          <w:trHeight w:val="1433"/>
        </w:trPr>
        <w:tc>
          <w:tcPr>
            <w:tcW w:w="260" w:type="pct"/>
            <w:tcBorders>
              <w:top w:val="nil"/>
              <w:left w:val="nil"/>
              <w:bottom w:val="nil"/>
              <w:right w:val="single" w:sz="4" w:space="0" w:color="auto"/>
            </w:tcBorders>
            <w:shd w:val="clear" w:color="auto" w:fill="auto"/>
            <w:vAlign w:val="center"/>
            <w:hideMark/>
          </w:tcPr>
          <w:p w:rsidR="009D01D3" w:rsidRPr="00E358A3" w:rsidRDefault="009D01D3" w:rsidP="0020168A"/>
        </w:tc>
        <w:tc>
          <w:tcPr>
            <w:tcW w:w="360" w:type="pct"/>
            <w:tcBorders>
              <w:top w:val="nil"/>
              <w:left w:val="single" w:sz="4" w:space="0" w:color="auto"/>
              <w:bottom w:val="nil"/>
              <w:right w:val="single" w:sz="12" w:space="0" w:color="auto"/>
            </w:tcBorders>
            <w:shd w:val="clear" w:color="auto" w:fill="auto"/>
            <w:vAlign w:val="center"/>
            <w:hideMark/>
          </w:tcPr>
          <w:p w:rsidR="009D01D3" w:rsidRPr="001631E2" w:rsidRDefault="009D01D3" w:rsidP="0020168A">
            <w:pPr>
              <w:jc w:val="right"/>
              <w:rPr>
                <w:rFonts w:ascii="Calibri" w:hAnsi="Calibri" w:cs="Calibri"/>
                <w:color w:val="000000"/>
              </w:rPr>
            </w:pPr>
            <w:r w:rsidRPr="00364CA3">
              <w:rPr>
                <w:rFonts w:ascii="Calibri" w:hAnsi="Calibri" w:cs="Calibri"/>
                <w:color w:val="000000"/>
              </w:rPr>
              <w:t>Bomblies (2009B)</w:t>
            </w:r>
          </w:p>
        </w:tc>
        <w:tc>
          <w:tcPr>
            <w:tcW w:w="674" w:type="pct"/>
            <w:tcBorders>
              <w:top w:val="single" w:sz="4" w:space="0" w:color="auto"/>
              <w:left w:val="single" w:sz="12" w:space="0" w:color="auto"/>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Assess impact of hypothetical climate change patterns on malaria transmission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H,M</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46"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P,C,V,S</w:t>
            </w:r>
          </w:p>
        </w:tc>
        <w:tc>
          <w:tcPr>
            <w:tcW w:w="773"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Precipitation, temperature, humidity, radiation, wind speed and direction</w:t>
            </w:r>
          </w:p>
        </w:tc>
        <w:tc>
          <w:tcPr>
            <w:tcW w:w="6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Pool depth, mosquito abundance, vectorial capacity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p>
        </w:tc>
        <w:tc>
          <w:tcPr>
            <w:tcW w:w="1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pPr>
            <w:r w:rsidRPr="00E358A3">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pPr>
            <w:r w:rsidRPr="00E358A3">
              <w:fldChar w:fldCharType="begin" w:fldLock="1"/>
            </w:r>
            <w:r>
              <w:instrText>ADDIN CSL_CITATION { "citationItems" : [ { "id" : "ITEM-1", "itemData" : { "DOI" : "10.1007/s10393-010-0274-5", "ISBN" : "1039301002", "ISSN" : "16129202", "PMID" : "20111887", "abstract" : "Climate affects malaria transmission through a complex network of causative pathways. We seek to evaluate the impact of hypothetical climate change scenarios on malaria transmission in the Sahel by using a novel mechanistic, high spatial- and temporal-resolution coupled hydrology and agent-based entomology model. The hydrology model component resolves individual precipitation events and individual breeding pools. The impact of future potential climate shifts on the representative Sahel village of Banizoumbou, Niger, is estimated by forcing the model of Banizoumbou environment with meteorological data from two locations along the north-south climatological gradient observed in the Sahel--both for warmer, drier scenarios from the north and cooler, wetter scenarios from the south. These shifts in climate represent hypothetical but historically realistic climate change scenarios. For Banizoumbou climatic conditions (latitude 13.54 N), a shift toward cooler, wetter conditions may dramatically increase mosquito abundance; however, our modeling results indicate that the increased malaria transmissibility is not simply proportional to the precipitation increase. The cooler, wetter conditions increase the length of the sporogonic cycle, dampening a large vectorial capacity increase otherwise brought about by increased mosquito survival and greater overall abundance. Furthermore, simulations varying rainfall event frequency demonstrate the importance of precipitation patterns, rather than simply average or time-integrated precipitation, as a controlling factor of these dynamics. Modeling results suggest that in addition to changes in temperature and total precipitation, changes in rainfall patterns are very important to predict changes in disease susceptibility resulting from climate shifts. The combined effect of these climate-shift-induced perturbations can be represented with the aid of a detailed mechanistic model.", "author" : [ { "dropping-particle" : "", "family" : "Bomblies", "given" : "Arne", "non-dropping-particle" : "", "parse-names" : false, "suffix" : "" }, { "dropping-particle" : "", "family" : "Eltahir", "given" : "Elfatih A B", "non-dropping-particle" : "", "parse-names" : false, "suffix" : "" } ], "container-title" : "EcoHealth", "id" : "ITEM-1", "issue" : "3", "issued" : { "date-parts" : [ [ "2009" ] ] }, "page" : "426-437", "title" : "Assessment of the impact of climate shifts on malaria transmission in the Sahel", "type" : "article-journal", "volume" : "6" }, "uris" : [ "http://www.mendeley.com/documents/?uuid=ceea02b4-6e90-4abe-a143-3c46fe6a241a" ] } ], "mendeley" : { "formattedCitation" : "(37)", "plainTextFormattedCitation" : "(37)", "previouslyFormattedCitation" : "(37)" }, "properties" : { "noteIndex" : 0 }, "schema" : "https://github.com/citation-style-language/schema/raw/master/csl-citation.json" }</w:instrText>
            </w:r>
            <w:r w:rsidRPr="00E358A3">
              <w:fldChar w:fldCharType="separate"/>
            </w:r>
            <w:r w:rsidRPr="009D01D3">
              <w:rPr>
                <w:noProof/>
              </w:rPr>
              <w:t>(37)</w:t>
            </w:r>
            <w:r w:rsidRPr="00E358A3">
              <w:fldChar w:fldCharType="end"/>
            </w:r>
          </w:p>
        </w:tc>
      </w:tr>
      <w:tr w:rsidR="009D01D3" w:rsidRPr="00E358A3" w:rsidTr="0020168A">
        <w:trPr>
          <w:trHeight w:val="388"/>
        </w:trPr>
        <w:tc>
          <w:tcPr>
            <w:tcW w:w="260" w:type="pct"/>
            <w:tcBorders>
              <w:top w:val="nil"/>
              <w:left w:val="nil"/>
              <w:bottom w:val="nil"/>
              <w:right w:val="single" w:sz="4" w:space="0" w:color="auto"/>
            </w:tcBorders>
            <w:shd w:val="clear" w:color="auto" w:fill="auto"/>
            <w:vAlign w:val="center"/>
            <w:hideMark/>
          </w:tcPr>
          <w:p w:rsidR="009D01D3" w:rsidRPr="00E358A3" w:rsidRDefault="009D01D3" w:rsidP="0020168A"/>
        </w:tc>
        <w:tc>
          <w:tcPr>
            <w:tcW w:w="360" w:type="pct"/>
            <w:tcBorders>
              <w:top w:val="nil"/>
              <w:left w:val="single" w:sz="4" w:space="0" w:color="auto"/>
              <w:bottom w:val="nil"/>
              <w:right w:val="single" w:sz="12" w:space="0" w:color="auto"/>
            </w:tcBorders>
            <w:shd w:val="clear" w:color="auto" w:fill="auto"/>
            <w:vAlign w:val="center"/>
            <w:hideMark/>
          </w:tcPr>
          <w:p w:rsidR="009D01D3" w:rsidRPr="001631E2" w:rsidRDefault="009D01D3" w:rsidP="0020168A">
            <w:pPr>
              <w:jc w:val="right"/>
              <w:rPr>
                <w:rFonts w:ascii="Calibri" w:hAnsi="Calibri" w:cs="Calibri"/>
                <w:color w:val="000000"/>
              </w:rPr>
            </w:pPr>
            <w:r w:rsidRPr="00364CA3">
              <w:rPr>
                <w:rFonts w:ascii="Calibri" w:hAnsi="Calibri" w:cs="Calibri"/>
                <w:color w:val="000000"/>
              </w:rPr>
              <w:t>Stryker (2012)</w:t>
            </w:r>
          </w:p>
        </w:tc>
        <w:tc>
          <w:tcPr>
            <w:tcW w:w="674" w:type="pct"/>
            <w:tcBorders>
              <w:top w:val="single" w:sz="4" w:space="0" w:color="auto"/>
              <w:left w:val="single" w:sz="12" w:space="0" w:color="auto"/>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 xml:space="preserve">Investigate the effects of land use change on hydrological processes </w:t>
            </w:r>
            <w:r w:rsidRPr="00E358A3">
              <w:rPr>
                <w:rFonts w:ascii="Calibri" w:hAnsi="Calibri" w:cs="Calibri"/>
                <w:color w:val="000000"/>
              </w:rPr>
              <w:lastRenderedPageBreak/>
              <w:t>impacting mosquito abundance</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lastRenderedPageBreak/>
              <w:t>H,M</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46"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P,C,V,S</w:t>
            </w:r>
          </w:p>
        </w:tc>
        <w:tc>
          <w:tcPr>
            <w:tcW w:w="773"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Precipitation, temperature, humidity, radiation, wind speed and direction</w:t>
            </w:r>
          </w:p>
        </w:tc>
        <w:tc>
          <w:tcPr>
            <w:tcW w:w="6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Percentage volumetric water content, mosquito abundance</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Land usage impacts</w:t>
            </w:r>
          </w:p>
        </w:tc>
        <w:tc>
          <w:tcPr>
            <w:tcW w:w="1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fldChar w:fldCharType="begin" w:fldLock="1"/>
            </w:r>
            <w:r>
              <w:rPr>
                <w:rFonts w:ascii="Calibri" w:hAnsi="Calibri" w:cs="Calibri"/>
                <w:color w:val="000000"/>
              </w:rPr>
              <w:instrText>ADDIN CSL_CITATION { "citationItems" : [ { "id" : "ITEM-1", "itemData" : { "ISBN" : "1612-9202", "abstract" : "Changes in land use and climate are expected to alter the risk of malaria transmission in areas where rainfall limits vector abundance. We use a coupled hydrology\u2013entomology model to investigate the effects of land use change on hydrological processes impacting mosquito abundance in a highland village of Ethiopia. Land use affects partitioning of rainfall into infiltration and runoff that reaches small-scale topographic depressions, which constitute the primary breeding habitat of Anopheles arabiensis mosquitoes. A physically based hydrology model isolates hydrological mechanisms by which land use impacts pool formation and persistence, and an agent-based entomology model evaluates the response of mosquito populations. This approach reproduced observed interannual variability in mosquito abundance between the 2009 and 2010 wet seasons. Several scenarios of land cover were then evaluated using the calibrated, field-validated model. Model results show variation in pool persistence and depth, as well as in mosquito abundance, due to land use changes alone. The model showed particular sensitivity to surface roughness, but also to root zone uptake. Scenarios in which land use was modified from agriculture to forest generally resulted in lowest mosquito abundance predictions; classification of the entire domain as rainforest produced a 34% decrease in abundance compared to 2010 results. This study also showed that in addition to vegetation type, spatial proximity of land use change to habitat locations has an impact on mosquito abundance. This modeling approach can be applied to assess impacts of climate and land use conditions that fall outside of the range of previously observed variability.", "author" : [ { "dropping-particle" : "", "family" : "Stryker", "given" : "Jody J", "non-dropping-particle" : "", "parse-names" : false, "suffix" : "" }, { "dropping-particle" : "", "family" : "Bomblies", "given" : "Arne", "non-dropping-particle" : "", "parse-names" : false, "suffix" : "" } ], "container-title" : "EcoHealth", "id" : "ITEM-1", "issue" : "4", "issued" : { "date-parts" : [ [ "2012" ] ] }, "page" : "455-470", "title" : "The impacts of land use change on malaria vector abundance in a water-limited, highland region of Ethiopia", "type" : "article-journal", "volume" : "9" }, "uris" : [ "http://www.mendeley.com/documents/?uuid=d33e288d-1d61-4cd7-983e-5b27d535b157" ] } ], "mendeley" : { "formattedCitation" : "(38)", "plainTextFormattedCitation" : "(38)", "previouslyFormattedCitation" : "(38)" }, "properties" : { "noteIndex" : 0 }, "schema" : "https://github.com/citation-style-language/schema/raw/master/csl-citation.json" }</w:instrText>
            </w:r>
            <w:r w:rsidRPr="00E358A3">
              <w:rPr>
                <w:rFonts w:ascii="Calibri" w:hAnsi="Calibri" w:cs="Calibri"/>
                <w:color w:val="000000"/>
              </w:rPr>
              <w:fldChar w:fldCharType="separate"/>
            </w:r>
            <w:r w:rsidRPr="009D01D3">
              <w:rPr>
                <w:rFonts w:ascii="Calibri" w:hAnsi="Calibri" w:cs="Calibri"/>
                <w:noProof/>
                <w:color w:val="000000"/>
              </w:rPr>
              <w:t>(38)</w:t>
            </w:r>
            <w:r w:rsidRPr="00E358A3">
              <w:rPr>
                <w:rFonts w:ascii="Calibri" w:hAnsi="Calibri" w:cs="Calibri"/>
                <w:color w:val="000000"/>
              </w:rPr>
              <w:fldChar w:fldCharType="end"/>
            </w:r>
          </w:p>
        </w:tc>
      </w:tr>
      <w:tr w:rsidR="009D01D3" w:rsidRPr="00E358A3" w:rsidTr="0020168A">
        <w:trPr>
          <w:trHeight w:val="91"/>
        </w:trPr>
        <w:tc>
          <w:tcPr>
            <w:tcW w:w="260" w:type="pct"/>
            <w:tcBorders>
              <w:top w:val="nil"/>
              <w:left w:val="nil"/>
              <w:right w:val="single" w:sz="4" w:space="0" w:color="auto"/>
            </w:tcBorders>
            <w:shd w:val="clear" w:color="auto" w:fill="auto"/>
            <w:vAlign w:val="center"/>
            <w:hideMark/>
          </w:tcPr>
          <w:p w:rsidR="009D01D3" w:rsidRPr="00E358A3" w:rsidRDefault="009D01D3" w:rsidP="0020168A"/>
        </w:tc>
        <w:tc>
          <w:tcPr>
            <w:tcW w:w="360" w:type="pct"/>
            <w:tcBorders>
              <w:top w:val="nil"/>
              <w:left w:val="single" w:sz="4" w:space="0" w:color="auto"/>
              <w:right w:val="single" w:sz="12" w:space="0" w:color="auto"/>
            </w:tcBorders>
            <w:shd w:val="clear" w:color="auto" w:fill="auto"/>
            <w:vAlign w:val="center"/>
            <w:hideMark/>
          </w:tcPr>
          <w:p w:rsidR="009D01D3" w:rsidRPr="001631E2" w:rsidRDefault="009D01D3" w:rsidP="0020168A">
            <w:pPr>
              <w:jc w:val="right"/>
              <w:rPr>
                <w:rFonts w:ascii="Calibri" w:hAnsi="Calibri" w:cs="Calibri"/>
                <w:color w:val="000000"/>
              </w:rPr>
            </w:pPr>
            <w:r w:rsidRPr="00364CA3">
              <w:rPr>
                <w:rFonts w:ascii="Calibri" w:hAnsi="Calibri" w:cs="Calibri"/>
                <w:color w:val="000000"/>
              </w:rPr>
              <w:t>Yamana (2013)</w:t>
            </w:r>
          </w:p>
        </w:tc>
        <w:tc>
          <w:tcPr>
            <w:tcW w:w="674" w:type="pct"/>
            <w:tcBorders>
              <w:top w:val="single" w:sz="4" w:space="0" w:color="auto"/>
              <w:left w:val="single" w:sz="12" w:space="0" w:color="auto"/>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Investigate effect of acquired immunity on malaria prevalence in varying locations</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H,M</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46"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P,C,V,S</w:t>
            </w:r>
          </w:p>
        </w:tc>
        <w:tc>
          <w:tcPr>
            <w:tcW w:w="773"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Spatial distribution of water depths and temperatures</w:t>
            </w:r>
          </w:p>
        </w:tc>
        <w:tc>
          <w:tcPr>
            <w:tcW w:w="6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Malaria prevalence</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Acquired immunity</w:t>
            </w:r>
          </w:p>
        </w:tc>
        <w:tc>
          <w:tcPr>
            <w:tcW w:w="1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fldChar w:fldCharType="begin" w:fldLock="1"/>
            </w:r>
            <w:r>
              <w:rPr>
                <w:rFonts w:ascii="Calibri" w:hAnsi="Calibri" w:cs="Calibri"/>
                <w:color w:val="000000"/>
              </w:rPr>
              <w:instrText>ADDIN CSL_CITATION { "citationItems" : [ { "id" : "ITEM-1", "itemData" : { "DOI" : "10.1186/1756-3305-6-226", "ISBN" : "1756-3305", "abstract" : "Background: Individuals continuously exposed to malaria gradually acquire immunity that protects from severe disease and high levels of parasitization. Acquired immunity has been incorporated into numerous models of malaria transmission of varying levels of complexity (e.g. Bull World Health Organ 50:347, 1974; Am J Trop Med Hyg 75:19, 2006; Math Biosci 90:385\u2013396, 1988). Most such models require prescribing inputs of mosquito biting rates or other entomological or epidemiological information. Here, we present a model with a novel structure that uses environmental controls of mosquito population dynamics to simulate the mosquito biting rates, malaria prevalence as well as variability in protective immunity of the population. Methods: A simple model of acquired immunity to malaria is presented and tested within the framework of the Hydrology, Entomology and Malaria Transmission Simulator (HYDREMATS), a coupled hydrology and agent-based entomology model. The combined model uses environmental data including rainfall, temperature, and topography to simulate malaria prevalence and level of acquired immunity in the human population. The model is used to demonstrate the effect of acquired immunity on malaria prevalence in two Niger villages that are hydrologically and entomologically very different. Simulations are conducted for the year 2006 and compared to malaria prevalence observations collected from the two villages. Results: Blood smear samples from children show no clear difference in malaria prevalence between the two villages despite pronounced differences in observed mosquito abundance. The similarity in prevalence is attributed to the moderating effect of acquired immunity, which depends on prior exposure to the parasite through infectious bites - and thus the hydrologically determined mosquito abundance. Modelling the level of acquired immunity can affect village vulnerability to climatic anomalies. Conclusions: The model presented has a novel structure constituting a mechanistic link between spatial and temporal environmental variability and village-scale malaria transmission. Incorporating acquired immunity into the model has allowed simulation of prevalence in the two villages, and isolation of the effects of acquired immunity in dampening the difference in prevalence between the two villages. Without these effects, the difference in prevalence between the two villages would have been significantly larger in response to the large differences in \u2026", "author" : [ { "dropping-particle" : "", "family" : "Yamana", "given" : "Teresa K", "non-dropping-particle" : "", "parse-names" : false, "suffix" : "" }, { "dropping-particle" : "", "family" : "Bomblies", "given" : "Arne", "non-dropping-particle" : "", "parse-names" : false, "suffix" : "" }, { "dropping-particle" : "", "family" : "Laminou", "given" : "Ibrahim M", "non-dropping-particle" : "", "parse-names" : false, "suffix" : "" }, { "dropping-particle" : "", "family" : "Duchemin", "given" : "Jean-Bernard", "non-dropping-particle" : "", "parse-names" : false, "suffix" : "" }, { "dropping-particle" : "", "family" : "Eltahir", "given" : "Elfatih A B", "non-dropping-particle" : "", "parse-names" : false, "suffix" : "" } ], "container-title" : "Parasites &amp; Vectors", "id" : "ITEM-1", "issue" : "1", "issued" : { "date-parts" : [ [ "2013" ] ] }, "page" : "226-239", "title" : "Linking environmental variability to village-scale malaria transmission using a simple immunity model", "type" : "article-journal", "volume" : "6" }, "uris" : [ "http://www.mendeley.com/documents/?uuid=795ef563-0494-49de-94b7-ae9a3fbef962" ] } ], "mendeley" : { "formattedCitation" : "(39)", "plainTextFormattedCitation" : "(39)", "previouslyFormattedCitation" : "(39)" }, "properties" : { "noteIndex" : 0 }, "schema" : "https://github.com/citation-style-language/schema/raw/master/csl-citation.json" }</w:instrText>
            </w:r>
            <w:r w:rsidRPr="00E358A3">
              <w:rPr>
                <w:rFonts w:ascii="Calibri" w:hAnsi="Calibri" w:cs="Calibri"/>
                <w:color w:val="000000"/>
              </w:rPr>
              <w:fldChar w:fldCharType="separate"/>
            </w:r>
            <w:r w:rsidRPr="009D01D3">
              <w:rPr>
                <w:rFonts w:ascii="Calibri" w:hAnsi="Calibri" w:cs="Calibri"/>
                <w:noProof/>
                <w:color w:val="000000"/>
              </w:rPr>
              <w:t>(39)</w:t>
            </w:r>
            <w:r w:rsidRPr="00E358A3">
              <w:rPr>
                <w:rFonts w:ascii="Calibri" w:hAnsi="Calibri" w:cs="Calibri"/>
                <w:color w:val="000000"/>
              </w:rPr>
              <w:fldChar w:fldCharType="end"/>
            </w:r>
          </w:p>
        </w:tc>
      </w:tr>
      <w:tr w:rsidR="009D01D3" w:rsidRPr="00E358A3" w:rsidTr="0020168A">
        <w:trPr>
          <w:trHeight w:val="539"/>
        </w:trPr>
        <w:tc>
          <w:tcPr>
            <w:tcW w:w="260" w:type="pct"/>
            <w:tcBorders>
              <w:top w:val="nil"/>
              <w:left w:val="nil"/>
              <w:right w:val="single" w:sz="4" w:space="0" w:color="auto"/>
            </w:tcBorders>
            <w:shd w:val="clear" w:color="auto" w:fill="auto"/>
            <w:vAlign w:val="center"/>
            <w:hideMark/>
          </w:tcPr>
          <w:p w:rsidR="009D01D3" w:rsidRPr="00E358A3" w:rsidRDefault="009D01D3" w:rsidP="0020168A"/>
        </w:tc>
        <w:tc>
          <w:tcPr>
            <w:tcW w:w="360" w:type="pct"/>
            <w:tcBorders>
              <w:top w:val="nil"/>
              <w:left w:val="single" w:sz="4" w:space="0" w:color="auto"/>
              <w:right w:val="single" w:sz="12" w:space="0" w:color="auto"/>
            </w:tcBorders>
            <w:shd w:val="clear" w:color="auto" w:fill="auto"/>
            <w:vAlign w:val="center"/>
            <w:hideMark/>
          </w:tcPr>
          <w:p w:rsidR="009D01D3" w:rsidRPr="001631E2" w:rsidRDefault="009D01D3" w:rsidP="0020168A">
            <w:pPr>
              <w:jc w:val="right"/>
              <w:rPr>
                <w:rFonts w:ascii="Calibri" w:hAnsi="Calibri" w:cs="Calibri"/>
                <w:color w:val="000000"/>
              </w:rPr>
            </w:pPr>
            <w:r w:rsidRPr="00364CA3">
              <w:rPr>
                <w:rFonts w:ascii="Calibri" w:hAnsi="Calibri" w:cs="Calibri"/>
                <w:color w:val="000000"/>
              </w:rPr>
              <w:t>Bomblies (2014)</w:t>
            </w:r>
          </w:p>
        </w:tc>
        <w:tc>
          <w:tcPr>
            <w:tcW w:w="674" w:type="pct"/>
            <w:tcBorders>
              <w:top w:val="single" w:sz="4" w:space="0" w:color="auto"/>
              <w:left w:val="single" w:sz="12" w:space="0" w:color="auto"/>
              <w:bottom w:val="single" w:sz="4" w:space="0" w:color="auto"/>
              <w:right w:val="nil"/>
            </w:tcBorders>
            <w:shd w:val="clear" w:color="auto" w:fill="auto"/>
            <w:vAlign w:val="center"/>
            <w:hideMark/>
          </w:tcPr>
          <w:p w:rsidR="009D01D3" w:rsidRPr="00E358A3" w:rsidRDefault="009D01D3" w:rsidP="0020168A">
            <w:pPr>
              <w:jc w:val="center"/>
              <w:rPr>
                <w:rFonts w:ascii="Calibri" w:hAnsi="Calibri"/>
                <w:color w:val="000000"/>
              </w:rPr>
            </w:pPr>
            <w:r w:rsidRPr="00E358A3">
              <w:rPr>
                <w:rFonts w:ascii="Calibri" w:hAnsi="Calibri"/>
                <w:color w:val="000000"/>
              </w:rPr>
              <w:t>Assess impact of larvicide use and pool drainage on vector populations</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H,M</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pPr>
            <w:r w:rsidRPr="00E358A3">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46"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P,C,V,S</w:t>
            </w:r>
          </w:p>
        </w:tc>
        <w:tc>
          <w:tcPr>
            <w:tcW w:w="773"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Precipitation, temperature, humidity, radiation, wind speed and direction</w:t>
            </w:r>
          </w:p>
        </w:tc>
        <w:tc>
          <w:tcPr>
            <w:tcW w:w="6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pPr>
            <w:r w:rsidRPr="00E358A3">
              <w:t>Water pool vectorial capacity, mosquito population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pPr>
            <w:r w:rsidRPr="00E358A3">
              <w:t>CO</w:t>
            </w:r>
            <w:r w:rsidRPr="00E358A3">
              <w:rPr>
                <w:vertAlign w:val="subscript"/>
              </w:rPr>
              <w:t xml:space="preserve">2 </w:t>
            </w:r>
            <w:r w:rsidRPr="00E358A3">
              <w:t>gradients</w:t>
            </w:r>
          </w:p>
        </w:tc>
        <w:tc>
          <w:tcPr>
            <w:tcW w:w="1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pPr>
            <w:r w:rsidRPr="00E358A3">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pPr>
            <w:r w:rsidRPr="00E358A3">
              <w:fldChar w:fldCharType="begin" w:fldLock="1"/>
            </w:r>
            <w:r>
              <w:instrText>ADDIN CSL_CITATION { "citationItems" : [ { "id" : "ITEM-1", "itemData" : { "DOI" : "10.1186/1756-3305-7-308", "ISBN" : "1756-3305", "abstract" : "Background: The modeling of malaria vector mosquito populations yields great insight into drivers of malaria transmission at the village scale. Simulation of individual mosquitoes as \u201cagents\u201d in a distributed, dynamic model domain may be greatly beneficial for simulation of spatial relationships of vectors and hosts. Methods: In this study, an agent-based model is used to simulate the life cycle and movement of individual malaria vector mosquitoes in a Niger Sahel village, with individual simulated mosquitoes interacting with their physical environment as well as humans. Various processes that are known to be epidemiologically important, such as the dependence of parity on flight distance between developmental habitat and blood meal hosts and therefore spatial relationships of pools and houses, are readily simulated using this modeling paradigm. Impacts of perturbations can be evaluated on the basis of vectorial capacity, because the interactions between individuals that make up the population- scale metric vectorial capacity can be easily tracked for simulated mosquitoes and human blood meal hosts, without the need to estimate vectorial capacity parameters. Results: As expected, model results show pronounced impacts of pool source reduction from larvicide application and draining, but with varying degrees of impact depending on the spatial relationship between pools and human habitation. Results highlight the importance of spatially-explicit simulation that can model individuals such as in an agent-based model. Conclusions: The impacts of perturbations on village scale malaria transmission depend on spatial locations of individual mosquitoes, as well as the tracking of relevant life cycle events and characteristics of individual mosquitoes. This study demonstrates advantages of using an agent-based approach for village-scale mosquito simulation to address questions in which spatial relationships are known to be important.", "author" : [ { "dropping-particle" : "", "family" : "Bomblies", "given" : "Arne", "non-dropping-particle" : "", "parse-names" : false, "suffix" : "" } ], "container-title" : "Parasites &amp; Vectors", "id" : "ITEM-1", "issue" : "1", "issued" : { "date-parts" : [ [ "2014" ] ] }, "page" : "308-317", "title" : "Agent-based modeling of malaria vectors: the importance of spatial simulation", "type" : "article-journal", "volume" : "7" }, "uris" : [ "http://www.mendeley.com/documents/?uuid=f5d00c53-c88b-47d2-9904-6db608c84b32" ] } ], "mendeley" : { "formattedCitation" : "(40)", "plainTextFormattedCitation" : "(40)", "previouslyFormattedCitation" : "(40)" }, "properties" : { "noteIndex" : 0 }, "schema" : "https://github.com/citation-style-language/schema/raw/master/csl-citation.json" }</w:instrText>
            </w:r>
            <w:r w:rsidRPr="00E358A3">
              <w:fldChar w:fldCharType="separate"/>
            </w:r>
            <w:r w:rsidRPr="009D01D3">
              <w:rPr>
                <w:noProof/>
              </w:rPr>
              <w:t>(40)</w:t>
            </w:r>
            <w:r w:rsidRPr="00E358A3">
              <w:fldChar w:fldCharType="end"/>
            </w:r>
          </w:p>
        </w:tc>
      </w:tr>
      <w:tr w:rsidR="009D01D3" w:rsidRPr="00E358A3" w:rsidTr="0020168A">
        <w:trPr>
          <w:trHeight w:val="539"/>
        </w:trPr>
        <w:tc>
          <w:tcPr>
            <w:tcW w:w="260" w:type="pct"/>
            <w:tcBorders>
              <w:top w:val="nil"/>
              <w:left w:val="nil"/>
              <w:right w:val="single" w:sz="4" w:space="0" w:color="auto"/>
            </w:tcBorders>
            <w:shd w:val="clear" w:color="auto" w:fill="auto"/>
            <w:vAlign w:val="center"/>
          </w:tcPr>
          <w:p w:rsidR="009D01D3" w:rsidRPr="00E358A3" w:rsidRDefault="009D01D3" w:rsidP="0020168A"/>
        </w:tc>
        <w:tc>
          <w:tcPr>
            <w:tcW w:w="360" w:type="pct"/>
            <w:tcBorders>
              <w:top w:val="nil"/>
              <w:left w:val="single" w:sz="4" w:space="0" w:color="auto"/>
              <w:right w:val="single" w:sz="12" w:space="0" w:color="auto"/>
            </w:tcBorders>
            <w:shd w:val="clear" w:color="auto" w:fill="auto"/>
            <w:vAlign w:val="center"/>
          </w:tcPr>
          <w:p w:rsidR="009D01D3" w:rsidRPr="00C45088" w:rsidRDefault="009D01D3" w:rsidP="0020168A">
            <w:pPr>
              <w:jc w:val="right"/>
              <w:rPr>
                <w:rFonts w:ascii="Calibri" w:hAnsi="Calibri" w:cs="Calibri"/>
                <w:color w:val="000000"/>
              </w:rPr>
            </w:pPr>
            <w:r w:rsidRPr="00C45088">
              <w:rPr>
                <w:rFonts w:ascii="Calibri" w:hAnsi="Calibri" w:cs="Calibri"/>
                <w:color w:val="000000"/>
              </w:rPr>
              <w:t>Yamana (2016)</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Demonstration concept of hysteresis in malaria transmission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H,M</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pPr>
            <w: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Y</w:t>
            </w:r>
          </w:p>
        </w:tc>
        <w:tc>
          <w:tcPr>
            <w:tcW w:w="146"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P,C,V</w:t>
            </w:r>
          </w:p>
        </w:tc>
        <w:tc>
          <w:tcPr>
            <w:tcW w:w="773"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Entomological parameters, initial malaria prevalence</w:t>
            </w:r>
          </w:p>
        </w:tc>
        <w:tc>
          <w:tcPr>
            <w:tcW w:w="6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pPr>
            <w:r>
              <w:t>Malaria prevalence, immunity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pPr>
            <w:r>
              <w:t>Impact of 11 years of climate data on later years</w:t>
            </w:r>
          </w:p>
        </w:tc>
        <w:tc>
          <w:tcPr>
            <w:tcW w:w="1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pPr>
            <w: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pPr>
            <w:r>
              <w:fldChar w:fldCharType="begin" w:fldLock="1"/>
            </w:r>
            <w:r>
              <w:instrText>ADDIN CSL_CITATION { "citationItems" : [ { "id" : "ITEM-1", "itemData" : { "DOI" : "10.1016/j.advwatres.2016.10.003", "ISSN" : "03091708", "abstract" : "Malaria transmission is a complex system and in many parts of the world is closely related to climate conditions. However, studies on environmental determinants of malaria generally consider only concurrent climate conditions and ignore the historical or initial conditions of the system. Here, we demonstrate the concept of hysteresis in malaria transmission, defined as non-uniqueness of the relationship between malaria prevalence and concurrent climate conditions. We show the dependence of simulated malaria transmission on initial prevalence and the initial level of human immunity in the population. Using realistic time series of environmental variables, we quantify the effect of hysteresis in a modeled population. In a set of numerical experiments using HYDREMATS, a field-tested mechanistic model of malaria transmission, the simulated maximum malaria prevalence depends on both the initial prevalence and the initial level of human immunity in the population. We found the effects of initial conditions to be of comparable magnitude to the effects of interannual variability in environmental conditions in determining malaria prevalence. The memory associated with this hysteresis effect is longer in high transmission settings than in low transmission settings. Our results show that efforts to simulate and forecast malaria transmission must consider the exposure history of a location as well as the concurrent environmental drivers.", "author" : [ { "dropping-particle" : "", "family" : "Yamana", "given" : "Teresa K.", "non-dropping-particle" : "", "parse-names" : false, "suffix" : "" }, { "dropping-particle" : "", "family" : "Qiu", "given" : "Xin", "non-dropping-particle" : "", "parse-names" : false, "suffix" : "" }, { "dropping-particle" : "", "family" : "Eltahir", "given" : "Elfatih A.B.", "non-dropping-particle" : "", "parse-names" : false, "suffix" : "" } ], "container-title" : "Advances in Water Resources", "id" : "ITEM-1", "issued" : { "date-parts" : [ [ "2017" ] ] }, "page" : "416-422", "publisher" : "Elsevier Ltd", "title" : "Hysteresis in simulations of malaria transmission", "type" : "article-journal", "volume" : "108" }, "uris" : [ "http://www.mendeley.com/documents/?uuid=3e77c00c-c09f-452c-a1d7-1dd709016c3d" ] } ], "mendeley" : { "formattedCitation" : "(41)", "plainTextFormattedCitation" : "(41)", "previouslyFormattedCitation" : "(41)" }, "properties" : { "noteIndex" : 0 }, "schema" : "https://github.com/citation-style-language/schema/raw/master/csl-citation.json" }</w:instrText>
            </w:r>
            <w:r>
              <w:fldChar w:fldCharType="separate"/>
            </w:r>
            <w:r w:rsidRPr="009D01D3">
              <w:rPr>
                <w:noProof/>
              </w:rPr>
              <w:t>(41)</w:t>
            </w:r>
            <w:r>
              <w:fldChar w:fldCharType="end"/>
            </w:r>
          </w:p>
        </w:tc>
      </w:tr>
      <w:tr w:rsidR="009D01D3" w:rsidRPr="00E358A3" w:rsidTr="0020168A">
        <w:trPr>
          <w:trHeight w:val="539"/>
        </w:trPr>
        <w:tc>
          <w:tcPr>
            <w:tcW w:w="260" w:type="pct"/>
            <w:tcBorders>
              <w:top w:val="nil"/>
              <w:left w:val="nil"/>
              <w:right w:val="single" w:sz="4" w:space="0" w:color="auto"/>
            </w:tcBorders>
            <w:shd w:val="clear" w:color="auto" w:fill="auto"/>
            <w:vAlign w:val="center"/>
          </w:tcPr>
          <w:p w:rsidR="009D01D3" w:rsidRPr="00E358A3" w:rsidRDefault="009D01D3" w:rsidP="0020168A"/>
        </w:tc>
        <w:tc>
          <w:tcPr>
            <w:tcW w:w="360" w:type="pct"/>
            <w:tcBorders>
              <w:top w:val="nil"/>
              <w:left w:val="single" w:sz="4" w:space="0" w:color="auto"/>
              <w:right w:val="single" w:sz="12" w:space="0" w:color="auto"/>
            </w:tcBorders>
            <w:shd w:val="clear" w:color="auto" w:fill="auto"/>
            <w:vAlign w:val="center"/>
          </w:tcPr>
          <w:p w:rsidR="009D01D3" w:rsidRPr="00C45088" w:rsidRDefault="009D01D3" w:rsidP="0020168A">
            <w:pPr>
              <w:jc w:val="right"/>
              <w:rPr>
                <w:rFonts w:ascii="Calibri" w:hAnsi="Calibri" w:cs="Calibri"/>
                <w:color w:val="000000"/>
              </w:rPr>
            </w:pPr>
            <w:r w:rsidRPr="00C45088">
              <w:rPr>
                <w:rFonts w:ascii="Calibri" w:hAnsi="Calibri" w:cs="Calibri"/>
                <w:color w:val="000000"/>
              </w:rPr>
              <w:t>Endo (2016)</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Default="009D01D3" w:rsidP="0020168A">
            <w:pPr>
              <w:jc w:val="center"/>
              <w:rPr>
                <w:rFonts w:ascii="Calibri" w:hAnsi="Calibri"/>
                <w:color w:val="000000"/>
              </w:rPr>
            </w:pPr>
            <w:r>
              <w:rPr>
                <w:rFonts w:ascii="Calibri" w:hAnsi="Calibri"/>
                <w:color w:val="000000"/>
              </w:rPr>
              <w:t>Provide tool to analyse malaria transmission potential under varying environmental situations</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H,M</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pPr>
            <w:r>
              <w:t>N</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Y</w:t>
            </w:r>
          </w:p>
        </w:tc>
        <w:tc>
          <w:tcPr>
            <w:tcW w:w="146"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P,C,S</w:t>
            </w:r>
          </w:p>
        </w:tc>
        <w:tc>
          <w:tcPr>
            <w:tcW w:w="773"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House location, rainfall and groundwater parameters</w:t>
            </w:r>
          </w:p>
        </w:tc>
        <w:tc>
          <w:tcPr>
            <w:tcW w:w="650"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pPr>
            <w:r>
              <w:t>Basic reproductive rate, length of wet season required for stable malaria transmission</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pPr>
            <w:r>
              <w:t>Analysing impact of wet season length on transmission</w:t>
            </w:r>
          </w:p>
        </w:tc>
        <w:tc>
          <w:tcPr>
            <w:tcW w:w="150"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pPr>
            <w:r>
              <w:t>N</w:t>
            </w:r>
          </w:p>
        </w:tc>
        <w:tc>
          <w:tcPr>
            <w:tcW w:w="150" w:type="pct"/>
            <w:tcBorders>
              <w:top w:val="single" w:sz="4" w:space="0" w:color="auto"/>
              <w:left w:val="nil"/>
              <w:bottom w:val="single" w:sz="4" w:space="0" w:color="auto"/>
              <w:right w:val="nil"/>
            </w:tcBorders>
            <w:vAlign w:val="center"/>
          </w:tcPr>
          <w:p w:rsidR="009D01D3" w:rsidRDefault="009D01D3" w:rsidP="0020168A">
            <w:pPr>
              <w:jc w:val="center"/>
            </w:pPr>
            <w:r>
              <w:fldChar w:fldCharType="begin" w:fldLock="1"/>
            </w:r>
            <w:r>
              <w:instrText>ADDIN CSL_CITATION { "citationItems" : [ { "id" : "ITEM-1", "itemData" : { "DOI" : "10.1186/s12936-016-1633-7", "ISBN" : "1293601616", "ISSN" : "14752875", "PMID" : "27903266", "abstract" : "Malaria transmission is complex, involving a range of hydroclimatological, biological, and environmental processes. The high degree of non-linearity in these processes makes it difficult to predict and intervene against malaria. This study seeks both to define a minimal number of malaria transmission determinants, and to provide a theoretical basis for sustainable environmental manipulation to prevent malaria transmission. Using a field-tested mechanistic malaria model, HYDREMATS, a theoretical study was conducted under hypothetical conditions. Simulations were conducted with a range of hydroclimatological and environmental conditions: temperature (t), length of wet season (Twet), storm inter-arrival time (Tint), persistence of vector breeding pools (Ton), and distribution of houses from breeding pools and from each other (Xdist and Ydist, respectively). Based on the theoretical study, a malaria time scale, To, and a predictive theory of malaria transmission were introduced. The performance of the predictive theory was compared against the observational malaria transmission data in West Africa. Population density was used to estimate the scale that describes the spatial distribution of houses. The predictive theory shows a universality in malaria endemic conditions when plotted using two newly-introduced dimension-less parameters. The projected malaria transmission potential compared well with the observation data, and the apparent differences were discussed. The results illustrate the importance of spatial aspects in malaria transmission. The predictive theory is useful in measuring malaria transmission potential, and it can also provide guidelines on how to plan the layout of human habitats in order to prevent endemic malaria. Malaria-resistant villages can be designed by locating houses further than critical distances away from breeding pools or by removing pools within a critical distance from houses; the critical distance is described in the context of local climatology and hydrology.", "author" : [ { "dropping-particle" : "", "family" : "Endo", "given" : "Noriko", "non-dropping-particle" : "", "parse-names" : false, "suffix" : "" }, { "dropping-particle" : "", "family" : "Eltahir", "given" : "Elfatih A.B.", "non-dropping-particle" : "", "parse-names" : false, "suffix" : "" } ], "container-title" : "Malaria Journal", "id" : "ITEM-1", "issue" : "1", "issued" : { "date-parts" : [ [ "2016" ] ] }, "page" : "1-11", "publisher" : "BioMed Central", "title" : "Environmental determinants of malaria transmission in African villages", "type" : "article-journal", "volume" : "15" }, "uris" : [ "http://www.mendeley.com/documents/?uuid=004c347c-8f8f-4c6f-81ca-2c0aa97b0eb9" ] } ], "mendeley" : { "formattedCitation" : "(42)", "plainTextFormattedCitation" : "(42)", "previouslyFormattedCitation" : "(42)" }, "properties" : { "noteIndex" : 0 }, "schema" : "https://github.com/citation-style-language/schema/raw/master/csl-citation.json" }</w:instrText>
            </w:r>
            <w:r>
              <w:fldChar w:fldCharType="separate"/>
            </w:r>
            <w:r w:rsidRPr="009D01D3">
              <w:rPr>
                <w:noProof/>
              </w:rPr>
              <w:t>(42)</w:t>
            </w:r>
            <w:r>
              <w:fldChar w:fldCharType="end"/>
            </w:r>
          </w:p>
        </w:tc>
      </w:tr>
      <w:tr w:rsidR="009D01D3" w:rsidRPr="00E358A3" w:rsidTr="0020168A">
        <w:trPr>
          <w:trHeight w:val="539"/>
        </w:trPr>
        <w:tc>
          <w:tcPr>
            <w:tcW w:w="260" w:type="pct"/>
            <w:tcBorders>
              <w:top w:val="nil"/>
              <w:left w:val="nil"/>
              <w:bottom w:val="single" w:sz="4" w:space="0" w:color="auto"/>
              <w:right w:val="single" w:sz="4" w:space="0" w:color="auto"/>
            </w:tcBorders>
            <w:shd w:val="clear" w:color="auto" w:fill="auto"/>
            <w:vAlign w:val="center"/>
          </w:tcPr>
          <w:p w:rsidR="009D01D3" w:rsidRPr="00E358A3" w:rsidRDefault="009D01D3" w:rsidP="0020168A"/>
        </w:tc>
        <w:tc>
          <w:tcPr>
            <w:tcW w:w="360" w:type="pct"/>
            <w:tcBorders>
              <w:top w:val="nil"/>
              <w:left w:val="single" w:sz="4" w:space="0" w:color="auto"/>
              <w:bottom w:val="single" w:sz="4" w:space="0" w:color="auto"/>
              <w:right w:val="single" w:sz="12" w:space="0" w:color="auto"/>
            </w:tcBorders>
            <w:shd w:val="clear" w:color="auto" w:fill="auto"/>
            <w:vAlign w:val="center"/>
          </w:tcPr>
          <w:p w:rsidR="009D01D3" w:rsidRPr="00C773F2" w:rsidRDefault="009D01D3" w:rsidP="0020168A">
            <w:pPr>
              <w:jc w:val="right"/>
              <w:rPr>
                <w:rFonts w:ascii="Calibri" w:hAnsi="Calibri" w:cs="Calibri"/>
                <w:color w:val="000000"/>
              </w:rPr>
            </w:pPr>
            <w:r>
              <w:rPr>
                <w:rFonts w:ascii="Calibri" w:hAnsi="Calibri" w:cs="Calibri"/>
                <w:color w:val="000000"/>
              </w:rPr>
              <w:t>Endo (2018)</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Default="009D01D3" w:rsidP="0020168A">
            <w:pPr>
              <w:jc w:val="center"/>
              <w:rPr>
                <w:rFonts w:ascii="Calibri" w:hAnsi="Calibri"/>
                <w:color w:val="000000"/>
              </w:rPr>
            </w:pPr>
            <w:r>
              <w:rPr>
                <w:rFonts w:ascii="Calibri" w:hAnsi="Calibri"/>
                <w:color w:val="000000"/>
              </w:rPr>
              <w:t>Investigate environmental impact on malaria transmission around reservoirs</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H,M</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pPr>
            <w:r>
              <w:t>N</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Y</w:t>
            </w:r>
          </w:p>
        </w:tc>
        <w:tc>
          <w:tcPr>
            <w:tcW w:w="146"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P</w:t>
            </w:r>
          </w:p>
        </w:tc>
        <w:tc>
          <w:tcPr>
            <w:tcW w:w="773" w:type="pct"/>
            <w:tcBorders>
              <w:top w:val="single" w:sz="4" w:space="0" w:color="auto"/>
              <w:left w:val="nil"/>
              <w:bottom w:val="single" w:sz="4" w:space="0" w:color="auto"/>
              <w:right w:val="nil"/>
            </w:tcBorders>
            <w:shd w:val="clear" w:color="auto" w:fill="auto"/>
            <w:vAlign w:val="center"/>
          </w:tcPr>
          <w:p w:rsidR="009D01D3" w:rsidRPr="00C45088" w:rsidRDefault="009D01D3" w:rsidP="0020168A">
            <w:pPr>
              <w:jc w:val="center"/>
              <w:rPr>
                <w:rFonts w:ascii="Calibri" w:hAnsi="Calibri" w:cs="Calibri"/>
                <w:color w:val="000000"/>
                <w:highlight w:val="green"/>
              </w:rPr>
            </w:pPr>
            <w:r w:rsidRPr="00F27A20">
              <w:rPr>
                <w:rFonts w:ascii="Calibri" w:hAnsi="Calibri" w:cs="Calibri"/>
                <w:color w:val="000000"/>
              </w:rPr>
              <w:t xml:space="preserve">Meteorological data, water levels, </w:t>
            </w:r>
            <w:r w:rsidRPr="00C45088">
              <w:rPr>
                <w:rFonts w:ascii="Calibri" w:hAnsi="Calibri" w:cs="Calibri"/>
                <w:color w:val="000000"/>
              </w:rPr>
              <w:t>annual incidence rate</w:t>
            </w:r>
          </w:p>
        </w:tc>
        <w:tc>
          <w:tcPr>
            <w:tcW w:w="650" w:type="pct"/>
            <w:tcBorders>
              <w:top w:val="single" w:sz="4" w:space="0" w:color="auto"/>
              <w:left w:val="nil"/>
              <w:bottom w:val="single" w:sz="4" w:space="0" w:color="auto"/>
              <w:right w:val="nil"/>
            </w:tcBorders>
            <w:shd w:val="clear" w:color="auto" w:fill="auto"/>
            <w:vAlign w:val="center"/>
          </w:tcPr>
          <w:p w:rsidR="009D01D3" w:rsidRPr="00C45088" w:rsidRDefault="009D01D3" w:rsidP="0020168A">
            <w:pPr>
              <w:jc w:val="center"/>
              <w:rPr>
                <w:highlight w:val="green"/>
              </w:rPr>
            </w:pPr>
            <w:r w:rsidRPr="00F27A20">
              <w:t xml:space="preserve">Relative malaria infection, </w:t>
            </w:r>
            <w:r w:rsidRPr="00BB4EEB">
              <w:rPr>
                <w:i/>
              </w:rPr>
              <w:t>Anopheles</w:t>
            </w:r>
            <w:r w:rsidRPr="00BB4EEB">
              <w:t xml:space="preserve"> population</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pPr>
            <w:r>
              <w:t>Decomposition of the impact of environmental factors</w:t>
            </w:r>
          </w:p>
        </w:tc>
        <w:tc>
          <w:tcPr>
            <w:tcW w:w="150"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pPr>
            <w:r>
              <w:t>N</w:t>
            </w:r>
          </w:p>
        </w:tc>
        <w:tc>
          <w:tcPr>
            <w:tcW w:w="150" w:type="pct"/>
            <w:tcBorders>
              <w:top w:val="single" w:sz="4" w:space="0" w:color="auto"/>
              <w:left w:val="nil"/>
              <w:bottom w:val="single" w:sz="4" w:space="0" w:color="auto"/>
              <w:right w:val="nil"/>
            </w:tcBorders>
            <w:vAlign w:val="center"/>
          </w:tcPr>
          <w:p w:rsidR="009D01D3" w:rsidRDefault="009D01D3" w:rsidP="0020168A">
            <w:pPr>
              <w:jc w:val="center"/>
            </w:pPr>
            <w:r>
              <w:fldChar w:fldCharType="begin" w:fldLock="1"/>
            </w:r>
            <w:r>
              <w:instrText>ADDIN CSL_CITATION { "citationItems" : [ { "id" : "ITEM-1", "itemData" : { "DOI" : "10.1002/2017GH000108", "ISSN" : "24711403", "author" : [ { "dropping-particle" : "", "family" : "Endo", "given" : "Noriko", "non-dropping-particle" : "", "parse-names" : false, "suffix" : "" }, { "dropping-particle" : "", "family" : "Eltahir", "given" : "Elfatih A. B.", "non-dropping-particle" : "", "parse-names" : false, "suffix" : "" } ], "container-title" : "GeoHealth", "id" : "ITEM-1", "issue" : "3", "issued" : { "date-parts" : [ [ "2018" ] ] }, "page" : "104-115", "title" : "Environmental Determinants of Malaria Transmission Around the Koka Reservoir in Ethiopia", "type" : "article-journal", "volume" : "2" }, "uris" : [ "http://www.mendeley.com/documents/?uuid=5a458777-13c5-4096-af4c-75dec58057fa" ] } ], "mendeley" : { "formattedCitation" : "(43)", "plainTextFormattedCitation" : "(43)", "previouslyFormattedCitation" : "(43)" }, "properties" : { "noteIndex" : 0 }, "schema" : "https://github.com/citation-style-language/schema/raw/master/csl-citation.json" }</w:instrText>
            </w:r>
            <w:r>
              <w:fldChar w:fldCharType="separate"/>
            </w:r>
            <w:r w:rsidRPr="009D01D3">
              <w:rPr>
                <w:noProof/>
              </w:rPr>
              <w:t>(43)</w:t>
            </w:r>
            <w:r>
              <w:fldChar w:fldCharType="end"/>
            </w:r>
          </w:p>
        </w:tc>
      </w:tr>
      <w:tr w:rsidR="009D01D3" w:rsidRPr="00E358A3" w:rsidTr="0020168A">
        <w:trPr>
          <w:trHeight w:val="539"/>
        </w:trPr>
        <w:tc>
          <w:tcPr>
            <w:tcW w:w="620" w:type="pct"/>
            <w:gridSpan w:val="2"/>
            <w:tcBorders>
              <w:top w:val="single" w:sz="4" w:space="0" w:color="auto"/>
              <w:left w:val="nil"/>
              <w:right w:val="single" w:sz="12" w:space="0" w:color="auto"/>
            </w:tcBorders>
            <w:shd w:val="clear" w:color="auto" w:fill="auto"/>
            <w:vAlign w:val="center"/>
          </w:tcPr>
          <w:p w:rsidR="009D01D3" w:rsidRPr="00E358A3" w:rsidRDefault="009D01D3" w:rsidP="0020168A">
            <w:pPr>
              <w:rPr>
                <w:rFonts w:ascii="Calibri" w:hAnsi="Calibri" w:cs="Calibri"/>
                <w:color w:val="000000"/>
              </w:rPr>
            </w:pPr>
            <w:r w:rsidRPr="00E358A3">
              <w:rPr>
                <w:rFonts w:ascii="Calibri" w:hAnsi="Calibri" w:cs="Calibri"/>
                <w:color w:val="000000"/>
              </w:rPr>
              <w:t>Filipe (2007)</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46"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773"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6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621"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pPr>
          </w:p>
        </w:tc>
        <w:tc>
          <w:tcPr>
            <w:tcW w:w="1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pP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pPr>
            <w:r w:rsidRPr="00E358A3">
              <w:fldChar w:fldCharType="begin" w:fldLock="1"/>
            </w:r>
            <w:r>
              <w:instrText>ADDIN CSL_CITATION { "citationItems" : [ { "id" : "ITEM-1", "itemData" : { "DOI" : "10.1371/journal.pcbi.0030255", "ISBN" : "1553-734X", "ISSN" : "1553734X", "PMID" : "18166074", "abstract" : "Acquisition of partially protective immunity is a dominant feature of the epidemiology of malaria among exposed individuals. The processes that determine the acquisition of immunity to clinical disease and to asymptomatic carriage of malaria parasites are poorly understood, in part because of a lack of validated immunological markers of protection. Using mathematical models, we seek to better understand the processes that determine observed epidemiological patterns. We have developed an age-structured mathematical model of malaria transmission in which acquired immunity can act in three ways (\"immunity functions\"): reducing the probability of clinical disease, speeding the clearance of parasites, and increasing tolerance to subpatent infections. Each immunity function was allowed to vary in efficacy depending on both age and malaria transmission intensity. The results were compared to age patterns of parasite prevalence and clinical disease in endemic settings in northeastern Tanzania and The Gambia. Two types of immune function were required to reproduce the epidemiological age-prevalence curves seen in the empirical data; a form of clinical immunity that reduces susceptibility to clinical disease and develops with age and exposure (with half-life of the order of five years or more) and a form of anti-parasite immunity which results in more rapid clearance of parasitaemia, is acquired later in life and is longer lasting (half-life of &gt;20 y). The development of anti-parasite immunity better reproduced observed epidemiological patterns if it was dominated by age-dependent physiological processes rather than by the magnitude of exposure (provided some exposure occurs). Tolerance to subpatent infections was not required to explain the empirical data. The model comprising immunity to clinical disease which develops early in life and is exposure-dependent, and anti-parasite immunity which develops later in life and is not dependent on the magnitude of exposure, appears to best reproduce the pattern of parasite prevalence and clinical disease by age in different malaria transmission settings. Understanding the effector mechanisms underlying these two immune functions will assist in the design of transmission-reducing interventions against malaria.", "author" : [ { "dropping-particle" : "", "family" : "Filipe", "given" : "Jo\u00e3o A.N.", "non-dropping-particle" : "", "parse-names" : false, "suffix" : "" }, { "dropping-particle" : "", "family" : "Riley", "given" : "Eleanor M.", "non-dropping-particle" : "", "parse-names" : false, "suffix" : "" }, { "dropping-particle" : "", "family" : "Drakeley", "given" : "Christopher J.", "non-dropping-particle" : "", "parse-names" : false, "suffix" : "" }, { "dropping-particle" : "", "family" : "Sutherland", "given" : "Colin J.", "non-dropping-particle" : "", "parse-names" : false, "suffix" : "" }, { "dropping-particle" : "", "family" : "Ghani", "given" : "Azra C.", "non-dropping-particle" : "", "parse-names" : false, "suffix" : "" } ], "container-title" : "PLoS Computational Biology", "id" : "ITEM-1", "issue" : "12", "issued" : { "date-parts" : [ [ "2007" ] ] }, "page" : "2569-2579", "title" : "Determination of the processes driving the acquisition of immunity to malaria using a mathematical transmission model", "type" : "article-journal", "volume" : "3" }, "uris" : [ "http://www.mendeley.com/documents/?uuid=922713b4-d714-4932-9990-dfaf51bf0a4c" ] } ], "mendeley" : { "formattedCitation" : "(44)", "plainTextFormattedCitation" : "(44)", "previouslyFormattedCitation" : "(44)" }, "properties" : { "noteIndex" : 0 }, "schema" : "https://github.com/citation-style-language/schema/raw/master/csl-citation.json" }</w:instrText>
            </w:r>
            <w:r w:rsidRPr="00E358A3">
              <w:fldChar w:fldCharType="separate"/>
            </w:r>
            <w:r w:rsidRPr="009D01D3">
              <w:rPr>
                <w:noProof/>
              </w:rPr>
              <w:t>(44)</w:t>
            </w:r>
            <w:r w:rsidRPr="00E358A3">
              <w:fldChar w:fldCharType="end"/>
            </w:r>
          </w:p>
        </w:tc>
      </w:tr>
      <w:tr w:rsidR="009D01D3" w:rsidRPr="00E358A3" w:rsidTr="0020168A">
        <w:trPr>
          <w:trHeight w:val="539"/>
        </w:trPr>
        <w:tc>
          <w:tcPr>
            <w:tcW w:w="260" w:type="pct"/>
            <w:tcBorders>
              <w:left w:val="nil"/>
              <w:right w:val="single" w:sz="4" w:space="0" w:color="auto"/>
            </w:tcBorders>
            <w:shd w:val="clear" w:color="auto" w:fill="auto"/>
            <w:vAlign w:val="center"/>
          </w:tcPr>
          <w:p w:rsidR="009D01D3" w:rsidRPr="00E358A3" w:rsidRDefault="009D01D3" w:rsidP="0020168A">
            <w:pPr>
              <w:jc w:val="right"/>
              <w:rPr>
                <w:rFonts w:ascii="Calibri" w:hAnsi="Calibri" w:cs="Calibri"/>
                <w:color w:val="000000"/>
              </w:rPr>
            </w:pPr>
          </w:p>
        </w:tc>
        <w:tc>
          <w:tcPr>
            <w:tcW w:w="360" w:type="pct"/>
            <w:tcBorders>
              <w:left w:val="single" w:sz="4" w:space="0" w:color="auto"/>
              <w:right w:val="single" w:sz="12" w:space="0" w:color="auto"/>
            </w:tcBorders>
            <w:shd w:val="clear" w:color="auto" w:fill="auto"/>
            <w:vAlign w:val="center"/>
          </w:tcPr>
          <w:p w:rsidR="009D01D3" w:rsidRPr="00C45088" w:rsidRDefault="009D01D3" w:rsidP="0020168A">
            <w:pPr>
              <w:jc w:val="right"/>
              <w:rPr>
                <w:rFonts w:ascii="Calibri" w:hAnsi="Calibri" w:cs="Calibri"/>
                <w:color w:val="000000"/>
                <w:highlight w:val="yellow"/>
              </w:rPr>
            </w:pPr>
            <w:r w:rsidRPr="001631E2">
              <w:rPr>
                <w:rFonts w:ascii="Calibri" w:hAnsi="Calibri" w:cs="Calibri"/>
                <w:color w:val="000000"/>
              </w:rPr>
              <w:t>Griffin (2010)</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sidRPr="00E358A3">
              <w:rPr>
                <w:rFonts w:ascii="Calibri" w:hAnsi="Calibri"/>
                <w:color w:val="000000"/>
              </w:rPr>
              <w:t>Assess changing impact of past, current and future intervention strategies in SSA</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H</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pPr>
            <w:r w:rsidRPr="00E358A3">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46"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P,C,S</w:t>
            </w:r>
          </w:p>
        </w:tc>
        <w:tc>
          <w:tcPr>
            <w:tcW w:w="773"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EIR, intervention coverage</w:t>
            </w:r>
            <w:r>
              <w:rPr>
                <w:rFonts w:ascii="Calibri" w:hAnsi="Calibri" w:cs="Calibri"/>
                <w:color w:val="000000"/>
              </w:rPr>
              <w:t>, seasonality parameters</w:t>
            </w:r>
          </w:p>
        </w:tc>
        <w:tc>
          <w:tcPr>
            <w:tcW w:w="650" w:type="pct"/>
            <w:tcBorders>
              <w:top w:val="single" w:sz="4" w:space="0" w:color="auto"/>
              <w:left w:val="nil"/>
              <w:bottom w:val="single" w:sz="4" w:space="0" w:color="auto"/>
              <w:right w:val="nil"/>
            </w:tcBorders>
            <w:shd w:val="clear" w:color="auto" w:fill="auto"/>
            <w:vAlign w:val="center"/>
          </w:tcPr>
          <w:p w:rsidR="009D01D3" w:rsidRPr="00C45088" w:rsidRDefault="009D01D3" w:rsidP="0020168A">
            <w:pPr>
              <w:jc w:val="center"/>
            </w:pPr>
            <w:r w:rsidRPr="00C45088">
              <w:t>Parasite prevalence, reduction in parasite prevalence</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pPr>
            <w:r w:rsidRPr="00E358A3">
              <w:t>Dynamic host immunity, superinfection, liver stages of parasite</w:t>
            </w:r>
          </w:p>
        </w:tc>
        <w:tc>
          <w:tcPr>
            <w:tcW w:w="1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pPr>
            <w: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pPr>
            <w:r w:rsidRPr="00E358A3">
              <w:fldChar w:fldCharType="begin" w:fldLock="1"/>
            </w:r>
            <w:r>
              <w:instrText>ADDIN CSL_CITATION { "citationItems" : [ { "id" : "ITEM-1", "itemData" : { "ISBN" : "1549-1676", "abstract" : "Background: Over the past decade malaria intervention coverage has been scaled up across Africa. However, it remains unclear what overall reduction in transmission is achievable using currently available tools. Methods and Findings: We developed an individual-based simulation model for Plasmodium falciparum transmission in an African context incorporating the three major vector species (Anopheles gambiae s.s., An. arabiensis, and An. funestus) with and parameters obtained by fitting to parasite prevalence data from 34 transmission settings across Africa. We incorporated the effect of the switch to artemisinin-combination therapy (ACT) and increasing coverage of long-lasting insecticide treated nets (LLINs) from the year 2000 onwards. We then explored the impact on transmission of continued roll-out of LLINs, additional rounds of indoor residual spraying (IRS), mass screening and treatment (MSAT), and a future RTS,S/AS01 vaccine in six representative settings with varying transmission intensity (as summarized by the annual entomological inoculation rate, EIR: 1 setting with low, 3 with moderate, and 2 with high EIRs), vector\u2013species combinations, and patterns of seasonality. In all settings we considered a realistic target of 80% coverage of interventions. In the low-transmission setting (EIR,3 ibppy [infectious bites per person per year]), LLINs have the potential to reduce malaria transmission to low levels (,1% parasite prevalence in all age-groups) provided usage levels are high and sustained. In two of the moderate- transmission settings (EIR,43 and 81 ibppy), additional rounds of IRS with DDT coupled with MSAT could drive parasite prevalence below a 1% threshold. However, in the third (EIR=46) with An. arabiensis prevailing, these interventions are insufficient to reach this threshold. In both high-transmission settings (EIR,586 and 675 ibppy), either unrealistically high coverage levels (&gt;90%) or novel tools and/or substantial social improvements will be required, although considerable reductions in prevalence can be achieved with existing tools and realistic coverage levels. Conclusions: Interventions using current tools can result in major reductions in P. falciparum malaria transmission and the associated disease burden in Africa. Reduction to the 1% parasite prevalence threshold is possible in low- to moderate- transmission settings when vectors are primarily endophilic (indoor-resting), provided a comprehensive and sustained intervention prog\u2026", "author" : [ { "dropping-particle" : "", "family" : "Griffin", "given" : "Jamie T", "non-dropping-particle" : "", "parse-names" : false, "suffix" : "" }, { "dropping-particle" : "", "family" : "Hollingsworth", "given" : "T Deirdre", "non-dropping-particle" : "", "parse-names" : false, "suffix" : "" }, { "dropping-particle" : "", "family" : "Okell", "given" : "Lucy C", "non-dropping-particle" : "", "parse-names" : false, "suffix" : "" }, { "dropping-particle" : "", "family" : "Churcher", "given" : "Thomas S", "non-dropping-particle" : "", "parse-names" : false, "suffix" : "" }, { "dropping-particle" : "", "family" : "White", "given" : "Michael", "non-dropping-particle" : "", "parse-names" : false, "suffix" : "" }, { "dropping-particle" : "", "family" : "Hinsley", "given" : "Wes", "non-dropping-particle" : "", "parse-names" : false, "suffix" : "" }, { "dropping-particle" : "", "family" : "Bousema", "given" : "Teun", "non-dropping-particle" : "", "parse-names" : false, "suffix" : "" }, { "dropping-particle" : "", "family" : "Drakeley", "given" : "Chris J", "non-dropping-particle" : "", "parse-names" : false, "suffix" : "" }, { "dropping-particle" : "", "family" : "Ferguson", "given" : "Neil M", "non-dropping-particle" : "", "parse-names" : false, "suffix" : "" }, { "dropping-particle" : "", "family" : "Bas\u00e1\u00f1ez", "given" : "Mar\u00eda-Gloria", "non-dropping-particle" : "", "parse-names" : false, "suffix" : "" }, { "dropping-particle" : "", "family" : "Ghani", "given" : "Azra C", "non-dropping-particle" : "", "parse-names" : false, "suffix" : "" } ], "container-title" : "PLoS Medicine", "id" : "ITEM-1", "issue" : "8", "issued" : { "date-parts" : [ [ "2010" ] ] }, "page" : "e1000324", "title" : "Reducing Plasmodium falciparum malaria transmission in Africa: a model-based evaluation of intervention strategies", "type" : "article-journal", "volume" : "7" }, "uris" : [ "http://www.mendeley.com/documents/?uuid=1de7cdb1-4f6b-4017-b98a-a40a13a6c82b" ] } ], "mendeley" : { "formattedCitation" : "(45)", "plainTextFormattedCitation" : "(45)", "previouslyFormattedCitation" : "(45)" }, "properties" : { "noteIndex" : 0 }, "schema" : "https://github.com/citation-style-language/schema/raw/master/csl-citation.json" }</w:instrText>
            </w:r>
            <w:r w:rsidRPr="00E358A3">
              <w:fldChar w:fldCharType="separate"/>
            </w:r>
            <w:r w:rsidRPr="009D01D3">
              <w:rPr>
                <w:noProof/>
              </w:rPr>
              <w:t>(45)</w:t>
            </w:r>
            <w:r w:rsidRPr="00E358A3">
              <w:fldChar w:fldCharType="end"/>
            </w:r>
          </w:p>
        </w:tc>
      </w:tr>
      <w:tr w:rsidR="009D01D3" w:rsidRPr="00E358A3" w:rsidTr="0020168A">
        <w:trPr>
          <w:trHeight w:val="539"/>
        </w:trPr>
        <w:tc>
          <w:tcPr>
            <w:tcW w:w="260" w:type="pct"/>
            <w:tcBorders>
              <w:left w:val="nil"/>
              <w:right w:val="single" w:sz="4" w:space="0" w:color="auto"/>
            </w:tcBorders>
            <w:shd w:val="clear" w:color="auto" w:fill="auto"/>
            <w:vAlign w:val="center"/>
          </w:tcPr>
          <w:p w:rsidR="009D01D3" w:rsidRPr="00E358A3" w:rsidRDefault="009D01D3" w:rsidP="0020168A">
            <w:pPr>
              <w:jc w:val="right"/>
              <w:rPr>
                <w:rFonts w:ascii="Calibri" w:hAnsi="Calibri" w:cs="Calibri"/>
                <w:color w:val="000000"/>
              </w:rPr>
            </w:pPr>
          </w:p>
        </w:tc>
        <w:tc>
          <w:tcPr>
            <w:tcW w:w="360" w:type="pct"/>
            <w:tcBorders>
              <w:left w:val="single" w:sz="4" w:space="0" w:color="auto"/>
              <w:right w:val="single" w:sz="12" w:space="0" w:color="auto"/>
            </w:tcBorders>
            <w:shd w:val="clear" w:color="auto" w:fill="auto"/>
            <w:vAlign w:val="center"/>
          </w:tcPr>
          <w:p w:rsidR="009D01D3" w:rsidRPr="00FC6CBF" w:rsidRDefault="009D01D3" w:rsidP="0020168A">
            <w:pPr>
              <w:jc w:val="right"/>
              <w:rPr>
                <w:rFonts w:ascii="Calibri" w:hAnsi="Calibri" w:cs="Calibri"/>
                <w:color w:val="000000"/>
                <w:highlight w:val="yellow"/>
              </w:rPr>
            </w:pPr>
            <w:r w:rsidRPr="00C45088">
              <w:rPr>
                <w:rFonts w:ascii="Calibri" w:hAnsi="Calibri" w:cs="Calibri"/>
                <w:color w:val="000000"/>
              </w:rPr>
              <w:t>Okell (2011)</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Explore short- and long-term impacts of MDA in various transmission scenarios</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H</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pPr>
            <w: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46"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P,C,V,S</w:t>
            </w:r>
          </w:p>
        </w:tc>
        <w:tc>
          <w:tcPr>
            <w:tcW w:w="773"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Pregnancy prevalence, drug and parasite parameters</w:t>
            </w:r>
          </w:p>
        </w:tc>
        <w:tc>
          <w:tcPr>
            <w:tcW w:w="650" w:type="pct"/>
            <w:tcBorders>
              <w:top w:val="single" w:sz="4" w:space="0" w:color="auto"/>
              <w:left w:val="nil"/>
              <w:bottom w:val="single" w:sz="4" w:space="0" w:color="auto"/>
              <w:right w:val="nil"/>
            </w:tcBorders>
            <w:shd w:val="clear" w:color="auto" w:fill="auto"/>
            <w:vAlign w:val="center"/>
          </w:tcPr>
          <w:p w:rsidR="009D01D3" w:rsidRPr="00FC6CBF" w:rsidRDefault="009D01D3" w:rsidP="0020168A">
            <w:pPr>
              <w:jc w:val="center"/>
            </w:pPr>
            <w:r>
              <w:t>EIR, prevalence of infection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Del="00C107B0"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pPr>
            <w:r>
              <w:t>Pregnancy prevalence</w:t>
            </w:r>
          </w:p>
        </w:tc>
        <w:tc>
          <w:tcPr>
            <w:tcW w:w="150"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pPr>
            <w: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pPr>
            <w:r>
              <w:fldChar w:fldCharType="begin" w:fldLock="1"/>
            </w:r>
            <w:r>
              <w:instrText>ADDIN CSL_CITATION { "citationItems" : [ { "id" : "ITEM-1", "itemData" : { "DOI" : "10.1371/journal.pone.0020179", "ISBN" : "1932-6203", "ISSN" : "19326203", "PMID" : "21629651", "abstract" : "Mass treatment as a means to reducing P. falciparum malaria transmission was used during the first global malaria eradication campaign and is increasingly being considered for current control programmes. We used a previously developed mathematical transmission model to explore both the short and long-term impact of possible mass treatment strategies in different scenarios of endemic transmission. Mass treatment is predicted to provide a longer-term benefit in areas with lower malaria transmission, with reduced transmission levels for at least 2 years after mass treatment is ended in a scenario where the baseline slide-prevalence is 5%, compared to less than one year in a scenario with baseline slide-prevalence at 50%. However, repeated annual mass treatment at 80% coverage could achieve around 25% reduction in infectious bites in moderate-to-high transmission settings if sustained. Using vector control could reduce transmission to levels at which mass treatment has a longer-term impact. In a limited number of settings (which have isolated transmission in small populations of 1000-10,000 with low-to-medium levels of baseline transmission) we find that five closely spaced rounds of mass treatment combined with vector control could make at least temporary elimination a feasible goal. We also estimate the effects of using gametocytocidal treatments such as primaquine and of restricting treatment to parasite-positive individuals. In conclusion, mass treatment needs to be repeated or combined with other interventions for long-term impact in many endemic settings. The benefits of mass treatment need to be carefully weighed against the risks of increasing drug selection pressure.", "author" : [ { "dropping-particle" : "", "family" : "Okell", "given" : "Lucy C.", "non-dropping-particle" : "", "parse-names" : false, "suffix" : "" }, { "dropping-particle" : "", "family" : "Griffin", "given" : "Jamie T.", "non-dropping-particle" : "", "parse-names" : false, "suffix" : "" }, { "dropping-particle" : "", "family" : "Kleinschmidt", "given" : "Immo", "non-dropping-particle" : "", "parse-names" : false, "suffix" : "" }, { "dropping-particle" : "", "family" : "Hollingsworth", "given" : "T. D\u00e9irdre", "non-dropping-particle" : "", "parse-names" : false, "suffix" : "" }, { "dropping-particle" : "", "family" : "Churcher", "given" : "Thomas S.", "non-dropping-particle" : "", "parse-names" : false, "suffix" : "" }, { "dropping-particle" : "", "family" : "White", "given" : "Michael J.", "non-dropping-particle" : "", "parse-names" : false, "suffix" : "" }, { "dropping-particle" : "", "family" : "Bousema", "given" : "Teun", "non-dropping-particle" : "", "parse-names" : false, "suffix" : "" }, { "dropping-particle" : "", "family" : "Drakeley", "given" : "Chris J.", "non-dropping-particle" : "", "parse-names" : false, "suffix" : "" }, { "dropping-particle" : "", "family" : "Ghani", "given" : "Azra C.", "non-dropping-particle" : "", "parse-names" : false, "suffix" : "" } ], "container-title" : "PLoS ONE", "id" : "ITEM-1", "issue" : "5", "issued" : { "date-parts" : [ [ "2011" ] ] }, "title" : "The potential contribution of mass treatment to the control of plasmodium falciparum malaria", "type" : "article-journal", "volume" : "6" }, "uris" : [ "http://www.mendeley.com/documents/?uuid=aee7e956-948e-46ab-8d2c-c4732245aa43" ] } ], "mendeley" : { "formattedCitation" : "(46)", "plainTextFormattedCitation" : "(46)", "previouslyFormattedCitation" : "(46)" }, "properties" : { "noteIndex" : 0 }, "schema" : "https://github.com/citation-style-language/schema/raw/master/csl-citation.json" }</w:instrText>
            </w:r>
            <w:r>
              <w:fldChar w:fldCharType="separate"/>
            </w:r>
            <w:r w:rsidRPr="009D01D3">
              <w:rPr>
                <w:noProof/>
              </w:rPr>
              <w:t>(46)</w:t>
            </w:r>
            <w:r>
              <w:fldChar w:fldCharType="end"/>
            </w:r>
          </w:p>
        </w:tc>
      </w:tr>
      <w:tr w:rsidR="009D01D3" w:rsidRPr="00E358A3" w:rsidTr="0020168A">
        <w:trPr>
          <w:trHeight w:val="539"/>
        </w:trPr>
        <w:tc>
          <w:tcPr>
            <w:tcW w:w="260" w:type="pct"/>
            <w:tcBorders>
              <w:left w:val="nil"/>
              <w:right w:val="single" w:sz="4" w:space="0" w:color="auto"/>
            </w:tcBorders>
            <w:shd w:val="clear" w:color="auto" w:fill="auto"/>
            <w:vAlign w:val="center"/>
          </w:tcPr>
          <w:p w:rsidR="009D01D3" w:rsidRPr="00E358A3" w:rsidRDefault="009D01D3" w:rsidP="0020168A">
            <w:pPr>
              <w:jc w:val="right"/>
              <w:rPr>
                <w:rFonts w:ascii="Calibri" w:hAnsi="Calibri" w:cs="Calibri"/>
                <w:color w:val="000000"/>
              </w:rPr>
            </w:pPr>
          </w:p>
        </w:tc>
        <w:tc>
          <w:tcPr>
            <w:tcW w:w="360" w:type="pct"/>
            <w:tcBorders>
              <w:left w:val="single" w:sz="4" w:space="0" w:color="auto"/>
              <w:right w:val="single" w:sz="12" w:space="0" w:color="auto"/>
            </w:tcBorders>
            <w:shd w:val="clear" w:color="auto" w:fill="auto"/>
            <w:vAlign w:val="center"/>
          </w:tcPr>
          <w:p w:rsidR="009D01D3" w:rsidRPr="00E358A3" w:rsidRDefault="009D01D3" w:rsidP="0020168A">
            <w:pPr>
              <w:jc w:val="right"/>
              <w:rPr>
                <w:rFonts w:ascii="Calibri" w:hAnsi="Calibri" w:cs="Calibri"/>
                <w:color w:val="000000"/>
              </w:rPr>
            </w:pPr>
            <w:r>
              <w:rPr>
                <w:rFonts w:ascii="Calibri" w:hAnsi="Calibri" w:cs="Calibri"/>
                <w:color w:val="000000"/>
              </w:rPr>
              <w:t>Griffin (2014)</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Pr="000C20A2" w:rsidRDefault="009D01D3" w:rsidP="0020168A">
            <w:pPr>
              <w:jc w:val="center"/>
              <w:rPr>
                <w:rFonts w:ascii="Calibri" w:hAnsi="Calibri"/>
                <w:color w:val="000000"/>
              </w:rPr>
            </w:pPr>
            <w:r>
              <w:rPr>
                <w:rFonts w:ascii="Calibri" w:hAnsi="Calibri"/>
                <w:color w:val="000000"/>
              </w:rPr>
              <w:t xml:space="preserve">Estimate how the age-burden of </w:t>
            </w:r>
            <w:r>
              <w:rPr>
                <w:rFonts w:ascii="Calibri" w:hAnsi="Calibri"/>
                <w:i/>
                <w:iCs/>
                <w:color w:val="000000"/>
              </w:rPr>
              <w:t>P. falciparum</w:t>
            </w:r>
            <w:r>
              <w:rPr>
                <w:rFonts w:ascii="Calibri" w:hAnsi="Calibri"/>
                <w:color w:val="000000"/>
              </w:rPr>
              <w:t xml:space="preserve"> malaria is changing in SSA</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H</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pPr>
            <w: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46"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P,C,V,S</w:t>
            </w:r>
          </w:p>
        </w:tc>
        <w:tc>
          <w:tcPr>
            <w:tcW w:w="773"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Current malaria prevalence in 2-10 year olds</w:t>
            </w:r>
          </w:p>
        </w:tc>
        <w:tc>
          <w:tcPr>
            <w:tcW w:w="650" w:type="pct"/>
            <w:tcBorders>
              <w:top w:val="single" w:sz="4" w:space="0" w:color="auto"/>
              <w:left w:val="nil"/>
              <w:bottom w:val="single" w:sz="4" w:space="0" w:color="auto"/>
              <w:right w:val="nil"/>
            </w:tcBorders>
            <w:shd w:val="clear" w:color="auto" w:fill="auto"/>
            <w:vAlign w:val="center"/>
          </w:tcPr>
          <w:p w:rsidR="009D01D3" w:rsidRPr="002E2144" w:rsidRDefault="009D01D3" w:rsidP="0020168A">
            <w:pPr>
              <w:jc w:val="center"/>
            </w:pPr>
            <w:r>
              <w:t>Age-stratified proportion of cases, yearly incidence</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Del="00C107B0"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pPr>
            <w:r>
              <w:t>Immunity functions</w:t>
            </w:r>
          </w:p>
        </w:tc>
        <w:tc>
          <w:tcPr>
            <w:tcW w:w="150"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pPr>
            <w: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pPr>
            <w:r>
              <w:fldChar w:fldCharType="begin" w:fldLock="1"/>
            </w:r>
            <w:r>
              <w:instrText>ADDIN CSL_CITATION { "citationItems" : [ { "id" : "ITEM-1", "itemData" : { "DOI" : "10.1038/ncomms4136", "ISBN" : "2041-1723 (Electronic)\\r2041-1723 (Linking)", "ISSN" : "2041-1723", "PMID" : "24518518", "abstract" : "Estimating the changing burden of malaria disease remains difficult owing to limitations in health reporting systems. Here, we use a transmission model incorporating acquisition and loss of immunity to capture age-specific patterns of disease at different transmission intensities. The model is fitted to age-stratified data from 23 sites in Africa, and we then produce maps and estimates of disease burden. We estimate that in 2010 there were 252 (95% credible interval: 171-353) million cases of malaria in sub-Saharan Africa that active case finding would detect. However, only 34% (12-86%) of these cases would be observed through passive case detection. We estimate that the proportion of all cases of clinical malaria that are in under-fives varies from above 60% at high transmission to below 20% at low transmission. The focus of some interventions towards young children may need to be reconsidered, and should be informed by the current local transmission intensity.", "author" : [ { "dropping-particle" : "", "family" : "Griffin", "given" : "Jamie T.", "non-dropping-particle" : "", "parse-names" : false, "suffix" : "" }, { "dropping-particle" : "", "family" : "Ferguson", "given" : "Neil M.", "non-dropping-particle" : "", "parse-names" : false, "suffix" : "" }, { "dropping-particle" : "", "family" : "Ghani", "given" : "Azra C.", "non-dropping-particle" : "", "parse-names" : false, "suffix" : "" } ], "container-title" : "Nature Communications", "id" : "ITEM-1", "issued" : { "date-parts" : [ [ "2014" ] ] }, "page" : "1-10", "publisher" : "Nature Publishing Group", "title" : "Estimates of the changing age-burden of Plasmodium falciparum malaria disease in sub-Saharan Africa", "type" : "article-journal", "volume" : "5" }, "uris" : [ "http://www.mendeley.com/documents/?uuid=2c47f284-cfe2-4520-9ace-6713f1596436" ] } ], "mendeley" : { "formattedCitation" : "(47)", "plainTextFormattedCitation" : "(47)", "previouslyFormattedCitation" : "(47)" }, "properties" : { "noteIndex" : 0 }, "schema" : "https://github.com/citation-style-language/schema/raw/master/csl-citation.json" }</w:instrText>
            </w:r>
            <w:r>
              <w:fldChar w:fldCharType="separate"/>
            </w:r>
            <w:r w:rsidRPr="009D01D3">
              <w:rPr>
                <w:noProof/>
              </w:rPr>
              <w:t>(47)</w:t>
            </w:r>
            <w:r>
              <w:fldChar w:fldCharType="end"/>
            </w:r>
          </w:p>
        </w:tc>
      </w:tr>
      <w:tr w:rsidR="009D01D3" w:rsidRPr="00E358A3" w:rsidTr="0020168A">
        <w:trPr>
          <w:trHeight w:val="539"/>
        </w:trPr>
        <w:tc>
          <w:tcPr>
            <w:tcW w:w="260" w:type="pct"/>
            <w:tcBorders>
              <w:left w:val="nil"/>
              <w:right w:val="single" w:sz="4" w:space="0" w:color="auto"/>
            </w:tcBorders>
            <w:shd w:val="clear" w:color="auto" w:fill="auto"/>
            <w:vAlign w:val="center"/>
          </w:tcPr>
          <w:p w:rsidR="009D01D3" w:rsidRPr="00E358A3" w:rsidRDefault="009D01D3" w:rsidP="0020168A">
            <w:pPr>
              <w:jc w:val="right"/>
              <w:rPr>
                <w:rFonts w:ascii="Calibri" w:hAnsi="Calibri" w:cs="Calibri"/>
                <w:color w:val="000000"/>
              </w:rPr>
            </w:pPr>
          </w:p>
        </w:tc>
        <w:tc>
          <w:tcPr>
            <w:tcW w:w="360" w:type="pct"/>
            <w:tcBorders>
              <w:left w:val="single" w:sz="4" w:space="0" w:color="auto"/>
              <w:right w:val="single" w:sz="12" w:space="0" w:color="auto"/>
            </w:tcBorders>
            <w:shd w:val="clear" w:color="auto" w:fill="auto"/>
            <w:vAlign w:val="center"/>
          </w:tcPr>
          <w:p w:rsidR="009D01D3" w:rsidRDefault="009D01D3" w:rsidP="0020168A">
            <w:pPr>
              <w:jc w:val="right"/>
              <w:rPr>
                <w:rFonts w:ascii="Calibri" w:hAnsi="Calibri" w:cs="Calibri"/>
                <w:color w:val="000000"/>
              </w:rPr>
            </w:pPr>
            <w:r w:rsidRPr="00222029">
              <w:rPr>
                <w:rFonts w:ascii="Calibri" w:hAnsi="Calibri" w:cs="Calibri"/>
                <w:color w:val="000000"/>
              </w:rPr>
              <w:t>Okell (2014)</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Default="009D01D3" w:rsidP="0020168A">
            <w:pPr>
              <w:jc w:val="center"/>
              <w:rPr>
                <w:rFonts w:ascii="Calibri" w:hAnsi="Calibri"/>
                <w:color w:val="000000"/>
              </w:rPr>
            </w:pPr>
            <w:r>
              <w:rPr>
                <w:rFonts w:ascii="Calibri" w:hAnsi="Calibri"/>
                <w:color w:val="000000"/>
              </w:rPr>
              <w:t xml:space="preserve">CEA of first-line malaria treatments </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H</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pPr>
            <w:r>
              <w:t>Y</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N</w:t>
            </w:r>
          </w:p>
        </w:tc>
        <w:tc>
          <w:tcPr>
            <w:tcW w:w="146"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P,C,V, S</w:t>
            </w:r>
          </w:p>
        </w:tc>
        <w:tc>
          <w:tcPr>
            <w:tcW w:w="773"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Cost input data, local transmission parameters</w:t>
            </w:r>
          </w:p>
        </w:tc>
        <w:tc>
          <w:tcPr>
            <w:tcW w:w="650"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pPr>
            <w:r>
              <w:t>Cost difference between treatments, reduction in cases</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Y</w:t>
            </w:r>
          </w:p>
        </w:tc>
        <w:tc>
          <w:tcPr>
            <w:tcW w:w="621"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pPr>
            <w:r>
              <w:t>PK, PD, access to treatment, health system costs</w:t>
            </w:r>
          </w:p>
        </w:tc>
        <w:tc>
          <w:tcPr>
            <w:tcW w:w="150"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pPr>
            <w:r>
              <w:t>N</w:t>
            </w:r>
          </w:p>
        </w:tc>
        <w:tc>
          <w:tcPr>
            <w:tcW w:w="150" w:type="pct"/>
            <w:tcBorders>
              <w:top w:val="single" w:sz="4" w:space="0" w:color="auto"/>
              <w:left w:val="nil"/>
              <w:bottom w:val="single" w:sz="4" w:space="0" w:color="auto"/>
              <w:right w:val="nil"/>
            </w:tcBorders>
            <w:vAlign w:val="center"/>
          </w:tcPr>
          <w:p w:rsidR="009D01D3" w:rsidRDefault="009D01D3" w:rsidP="0020168A">
            <w:pPr>
              <w:jc w:val="center"/>
            </w:pPr>
            <w:r>
              <w:fldChar w:fldCharType="begin" w:fldLock="1"/>
            </w:r>
            <w:r>
              <w:instrText>ADDIN CSL_CITATION { "citationItems" : [ { "id" : "ITEM-1", "itemData" : { "DOI" : "10.1038/ncomms6606", "ISBN" : "2041-1723 (Electronic) 2041-1723 (Linking)", "ISSN" : "20411723", "PMID" : "25425081", "abstract" : "There are currently several recommended drug regimens for uncomplicated falciparum malaria in Africa. Each has different properties that determine its impact on disease burden. Two major antimalarial policy options are artemether-lumefantrine (AL) and dihydroartemisinin-piperaquine (DHA-PQP). Clinical trial data show that DHA-PQP provides longer protection against reinfection, while AL is better at reducing patient infectiousness. Here we incorporate pharmacokinetic-pharmacodynamic factors, transmission-reducing effects and cost into a mathematical model and simulate malaria transmission and treatment in Africa, using geographically explicit data on transmission intensity and seasonality, population density, treatment access and outpatient costs. DHA-PQP has a modestly higher estimated impact than AL in 64% of the population at risk. Given current higher cost estimates for DHA-PQP, there is a slightly greater cost per case averted, except in areas with high, seasonally varying transmission where the impact is particularly large. We find that a locally optimized treatment policy can be highly cost effective for reducing clinical malaria burden.", "author" : [ { "dropping-particle" : "", "family" : "Okell", "given" : "Lucy C.", "non-dropping-particle" : "", "parse-names" : false, "suffix" : "" }, { "dropping-particle" : "", "family" : "Cairns", "given" : "Matthew", "non-dropping-particle" : "", "parse-names" : false, "suffix" : "" }, { "dropping-particle" : "", "family" : "Griffin", "given" : "Jamie T.", "non-dropping-particle" : "", "parse-names" : false, "suffix" : "" }, { "dropping-particle" : "", "family" : "Ferguson", "given" : "Neil M.", "non-dropping-particle" : "", "parse-names" : false, "suffix" : "" }, { "dropping-particle" : "", "family" : "Tarning", "given" : "Joel", "non-dropping-particle" : "", "parse-names" : false, "suffix" : "" }, { "dropping-particle" : "", "family" : "Jagoe", "given" : "George", "non-dropping-particle" : "", "parse-names" : false, "suffix" : "" }, { "dropping-particle" : "", "family" : "Hugo", "given" : "Pierre", "non-dropping-particle" : "", "parse-names" : false, "suffix" : "" }, { "dropping-particle" : "", "family" : "Baker", "given" : "Mark", "non-dropping-particle" : "", "parse-names" : false, "suffix" : "" }, { "dropping-particle" : "", "family" : "D'Alessandro", "given" : "Umberto", "non-dropping-particle" : "", "parse-names" : false, "suffix" : "" }, { "dropping-particle" : "", "family" : "Bousema", "given" : "Teun", "non-dropping-particle" : "", "parse-names" : false, "suffix" : "" }, { "dropping-particle" : "", "family" : "Ubben", "given" : "David", "non-dropping-particle" : "", "parse-names" : false, "suffix" : "" }, { "dropping-particle" : "", "family" : "Ghani", "given" : "Azra C.", "non-dropping-particle" : "", "parse-names" : false, "suffix" : "" } ], "container-title" : "Nature Communications", "id" : "ITEM-1", "issue" : "1", "issued" : { "date-parts" : [ [ "2014", "12", "26" ] ] }, "page" : "5606", "publisher" : "Nature Publishing Group", "title" : "Contrasting benefits of different artemisinin combination therapies as first-line malaria treatments using model-based cost-effectiveness analysis", "type" : "article-journal", "volume" : "5" }, "uris" : [ "http://www.mendeley.com/documents/?uuid=85b23f11-92de-30aa-88ba-171c7a82070b" ] } ], "mendeley" : { "formattedCitation" : "(48)", "plainTextFormattedCitation" : "(48)", "previouslyFormattedCitation" : "(48)" }, "properties" : { "noteIndex" : 0 }, "schema" : "https://github.com/citation-style-language/schema/raw/master/csl-citation.json" }</w:instrText>
            </w:r>
            <w:r>
              <w:fldChar w:fldCharType="separate"/>
            </w:r>
            <w:r w:rsidRPr="009D01D3">
              <w:rPr>
                <w:noProof/>
              </w:rPr>
              <w:t>(48)</w:t>
            </w:r>
            <w:r>
              <w:fldChar w:fldCharType="end"/>
            </w:r>
          </w:p>
        </w:tc>
      </w:tr>
      <w:tr w:rsidR="009D01D3" w:rsidRPr="00E358A3" w:rsidTr="0020168A">
        <w:trPr>
          <w:trHeight w:val="539"/>
        </w:trPr>
        <w:tc>
          <w:tcPr>
            <w:tcW w:w="260" w:type="pct"/>
            <w:tcBorders>
              <w:left w:val="nil"/>
              <w:right w:val="single" w:sz="4" w:space="0" w:color="auto"/>
            </w:tcBorders>
            <w:shd w:val="clear" w:color="auto" w:fill="auto"/>
            <w:vAlign w:val="center"/>
          </w:tcPr>
          <w:p w:rsidR="009D01D3" w:rsidRPr="00E358A3" w:rsidRDefault="009D01D3" w:rsidP="0020168A">
            <w:pPr>
              <w:jc w:val="right"/>
              <w:rPr>
                <w:rFonts w:ascii="Calibri" w:hAnsi="Calibri" w:cs="Calibri"/>
                <w:color w:val="000000"/>
              </w:rPr>
            </w:pPr>
          </w:p>
        </w:tc>
        <w:tc>
          <w:tcPr>
            <w:tcW w:w="360" w:type="pct"/>
            <w:tcBorders>
              <w:left w:val="single" w:sz="4" w:space="0" w:color="auto"/>
              <w:right w:val="single" w:sz="12" w:space="0" w:color="auto"/>
            </w:tcBorders>
            <w:shd w:val="clear" w:color="auto" w:fill="auto"/>
            <w:vAlign w:val="center"/>
          </w:tcPr>
          <w:p w:rsidR="009D01D3" w:rsidRPr="007A1BCE" w:rsidRDefault="009D01D3" w:rsidP="0020168A">
            <w:pPr>
              <w:jc w:val="right"/>
              <w:rPr>
                <w:rFonts w:ascii="Calibri" w:hAnsi="Calibri" w:cs="Calibri"/>
                <w:color w:val="000000"/>
              </w:rPr>
            </w:pPr>
            <w:r w:rsidRPr="007A1BCE">
              <w:rPr>
                <w:rFonts w:ascii="Calibri" w:hAnsi="Calibri" w:cs="Calibri"/>
                <w:color w:val="000000"/>
              </w:rPr>
              <w:t>Slater (2014)</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Pr="007A1BCE" w:rsidRDefault="009D01D3" w:rsidP="0020168A">
            <w:pPr>
              <w:autoSpaceDE w:val="0"/>
              <w:autoSpaceDN w:val="0"/>
              <w:adjustRightInd w:val="0"/>
              <w:spacing w:after="0" w:line="240" w:lineRule="auto"/>
              <w:jc w:val="center"/>
              <w:rPr>
                <w:rFonts w:ascii="Calibri" w:hAnsi="Calibri"/>
                <w:color w:val="000000"/>
              </w:rPr>
            </w:pPr>
            <w:r w:rsidRPr="007A1BCE">
              <w:rPr>
                <w:rFonts w:cstheme="minorHAnsi"/>
                <w:szCs w:val="20"/>
              </w:rPr>
              <w:t>Assess i</w:t>
            </w:r>
            <w:r w:rsidRPr="00C45088">
              <w:rPr>
                <w:rFonts w:cstheme="minorHAnsi"/>
                <w:szCs w:val="20"/>
              </w:rPr>
              <w:t xml:space="preserve">mpact of </w:t>
            </w:r>
            <w:r w:rsidRPr="007A1BCE">
              <w:rPr>
                <w:rFonts w:cstheme="minorHAnsi"/>
                <w:szCs w:val="20"/>
              </w:rPr>
              <w:t>a</w:t>
            </w:r>
            <w:r w:rsidRPr="00C45088">
              <w:rPr>
                <w:rFonts w:cstheme="minorHAnsi"/>
                <w:szCs w:val="20"/>
              </w:rPr>
              <w:t xml:space="preserve">dding </w:t>
            </w:r>
            <w:r w:rsidRPr="007A1BCE">
              <w:rPr>
                <w:rFonts w:cstheme="minorHAnsi"/>
                <w:szCs w:val="20"/>
              </w:rPr>
              <w:t>i</w:t>
            </w:r>
            <w:r w:rsidRPr="00C45088">
              <w:rPr>
                <w:rFonts w:cstheme="minorHAnsi"/>
                <w:szCs w:val="20"/>
              </w:rPr>
              <w:t>vermectin to a</w:t>
            </w:r>
            <w:r w:rsidRPr="007A1BCE">
              <w:rPr>
                <w:rFonts w:cstheme="minorHAnsi"/>
                <w:szCs w:val="20"/>
              </w:rPr>
              <w:t xml:space="preserve"> m</w:t>
            </w:r>
            <w:r w:rsidRPr="00C45088">
              <w:rPr>
                <w:rFonts w:cstheme="minorHAnsi"/>
                <w:szCs w:val="20"/>
              </w:rPr>
              <w:t xml:space="preserve">ass </w:t>
            </w:r>
            <w:r w:rsidRPr="007A1BCE">
              <w:rPr>
                <w:rFonts w:cstheme="minorHAnsi"/>
                <w:szCs w:val="20"/>
              </w:rPr>
              <w:t>treatment i</w:t>
            </w:r>
            <w:r w:rsidRPr="00C45088">
              <w:rPr>
                <w:rFonts w:cstheme="minorHAnsi"/>
                <w:szCs w:val="20"/>
              </w:rPr>
              <w:t xml:space="preserve">ntervention </w:t>
            </w:r>
            <w:r w:rsidRPr="007A1BCE">
              <w:rPr>
                <w:rFonts w:cstheme="minorHAnsi"/>
                <w:szCs w:val="20"/>
              </w:rPr>
              <w:t>on m</w:t>
            </w:r>
            <w:r w:rsidRPr="00C45088">
              <w:rPr>
                <w:rFonts w:cstheme="minorHAnsi"/>
                <w:szCs w:val="20"/>
              </w:rPr>
              <w:t>alaria</w:t>
            </w:r>
            <w:r w:rsidRPr="007A1BCE">
              <w:rPr>
                <w:rFonts w:cstheme="minorHAnsi"/>
                <w:szCs w:val="20"/>
              </w:rPr>
              <w:t xml:space="preserve"> tr</w:t>
            </w:r>
            <w:r w:rsidRPr="00C45088">
              <w:rPr>
                <w:rFonts w:cstheme="minorHAnsi"/>
                <w:szCs w:val="20"/>
              </w:rPr>
              <w:t>ansmission</w:t>
            </w:r>
          </w:p>
        </w:tc>
        <w:tc>
          <w:tcPr>
            <w:tcW w:w="152" w:type="pct"/>
            <w:tcBorders>
              <w:top w:val="single" w:sz="4" w:space="0" w:color="auto"/>
              <w:left w:val="nil"/>
              <w:bottom w:val="single" w:sz="4" w:space="0" w:color="auto"/>
              <w:right w:val="nil"/>
            </w:tcBorders>
            <w:shd w:val="clear" w:color="auto" w:fill="auto"/>
            <w:vAlign w:val="center"/>
          </w:tcPr>
          <w:p w:rsidR="009D01D3" w:rsidRPr="007A1BCE" w:rsidRDefault="009D01D3" w:rsidP="0020168A">
            <w:pPr>
              <w:jc w:val="center"/>
              <w:rPr>
                <w:rFonts w:ascii="Calibri" w:hAnsi="Calibri" w:cs="Calibri"/>
                <w:color w:val="000000"/>
              </w:rPr>
            </w:pPr>
            <w:r w:rsidRPr="007A1BCE">
              <w:rPr>
                <w:rFonts w:ascii="Calibri" w:hAnsi="Calibri" w:cs="Calibri"/>
                <w:color w:val="000000"/>
              </w:rPr>
              <w:t>H</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pPr>
            <w:r>
              <w:t>Y</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N</w:t>
            </w:r>
          </w:p>
        </w:tc>
        <w:tc>
          <w:tcPr>
            <w:tcW w:w="146"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P, C</w:t>
            </w:r>
          </w:p>
        </w:tc>
        <w:tc>
          <w:tcPr>
            <w:tcW w:w="773"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Drug properties, malaria test properties</w:t>
            </w:r>
          </w:p>
        </w:tc>
        <w:tc>
          <w:tcPr>
            <w:tcW w:w="650"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pPr>
            <w:r>
              <w:t>Time to interrupt transmission, RDT-positivity, vector mortality outcomes</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pPr>
            <w:r>
              <w:t>Variably IVM impact considering time between dosing and vector blood meal</w:t>
            </w:r>
          </w:p>
        </w:tc>
        <w:tc>
          <w:tcPr>
            <w:tcW w:w="150"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pPr>
            <w:r>
              <w:t>N</w:t>
            </w:r>
          </w:p>
        </w:tc>
        <w:tc>
          <w:tcPr>
            <w:tcW w:w="150" w:type="pct"/>
            <w:tcBorders>
              <w:top w:val="single" w:sz="4" w:space="0" w:color="auto"/>
              <w:left w:val="nil"/>
              <w:bottom w:val="single" w:sz="4" w:space="0" w:color="auto"/>
              <w:right w:val="nil"/>
            </w:tcBorders>
            <w:vAlign w:val="center"/>
          </w:tcPr>
          <w:p w:rsidR="009D01D3" w:rsidRDefault="009D01D3" w:rsidP="0020168A">
            <w:pPr>
              <w:jc w:val="center"/>
            </w:pPr>
            <w:r>
              <w:fldChar w:fldCharType="begin" w:fldLock="1"/>
            </w:r>
            <w:r>
              <w:instrText>ADDIN CSL_CITATION { "citationItems" : [ { "id" : "ITEM-1", "itemData" : { "DOI" : "10.1093/infdis/jiu351", "ISBN" : "4479054588", "ISSN" : "15376613", "PMID" : "24951826", "abstract" : "BACKGROUND: Ivermectin (IVM), used alongside mass treatment strategies with an artemisinin combination therapy, has been suggested as a possible tool for reducing malaria transmission. Mosquitoes ingesting a bloodmeal containing IVM have increased mortality, reducing the probability that the parasite completes sporogony. METHODS: Human pharmacokinetic data and mortality data for mosquitoes taking bloodmeals containing IVM are used to quantify the mosquitocidal effect of IVM. These are incorporated into a transmission model to estimate the impact of IVM in combination with mass treatment strategies with artemether-lumefantrine on transmission metrics. RESULTS: Adding IVM increases the reductions in parasite prevalence achieved and delays the re-emergence of parasites compared to mass treatment alone. This transmission effect is obtained through its effect on vector mortality. IVM effectiveness depends on coverage with the highest impact achieved if given to the whole population rather than only those with existing detectable parasites. Our results suggest that including IVM in a mass treatment strategy can reduce the time taken to interrupt transmission as well as help to achieve transmission interruption in transmission settings in which mass treatment strategies alone would be insufficient. CONCLUSIONS: Including IVM in mass treatment strategies could be a useful adjunct to reduce and interrupt malaria transmission.", "author" : [ { "dropping-particle" : "", "family" : "Slater", "given" : "Hannah C.", "non-dropping-particle" : "", "parse-names" : false, "suffix" : "" }, { "dropping-particle" : "", "family" : "Walker", "given" : "Patrick G T", "non-dropping-particle" : "", "parse-names" : false, "suffix" : "" }, { "dropping-particle" : "", "family" : "Bousema", "given" : "Teun", "non-dropping-particle" : "", "parse-names" : false, "suffix" : "" }, { "dropping-particle" : "", "family" : "Okell", "given" : "Lucy C.", "non-dropping-particle" : "", "parse-names" : false, "suffix" : "" }, { "dropping-particle" : "", "family" : "Ghani", "given" : "Azra C.", "non-dropping-particle" : "", "parse-names" : false, "suffix" : "" } ], "container-title" : "Journal of Infectious Diseases", "id" : "ITEM-1", "issue" : "12", "issued" : { "date-parts" : [ [ "2014" ] ] }, "page" : "1972-1980", "title" : "The potential impact of adding ivermectin to a mass treatment intervention to reduce malaria transmission: A modelling study", "type" : "article-journal", "volume" : "210" }, "uris" : [ "http://www.mendeley.com/documents/?uuid=27fc12ed-9e94-4910-9856-381c67a28b73" ] } ], "mendeley" : { "formattedCitation" : "(49)", "plainTextFormattedCitation" : "(49)", "previouslyFormattedCitation" : "(49)" }, "properties" : { "noteIndex" : 0 }, "schema" : "https://github.com/citation-style-language/schema/raw/master/csl-citation.json" }</w:instrText>
            </w:r>
            <w:r>
              <w:fldChar w:fldCharType="separate"/>
            </w:r>
            <w:r w:rsidRPr="009D01D3">
              <w:rPr>
                <w:noProof/>
              </w:rPr>
              <w:t>(49)</w:t>
            </w:r>
            <w:r>
              <w:fldChar w:fldCharType="end"/>
            </w:r>
          </w:p>
        </w:tc>
      </w:tr>
      <w:tr w:rsidR="009D01D3" w:rsidRPr="00E358A3" w:rsidTr="0020168A">
        <w:trPr>
          <w:trHeight w:val="539"/>
        </w:trPr>
        <w:tc>
          <w:tcPr>
            <w:tcW w:w="260" w:type="pct"/>
            <w:tcBorders>
              <w:left w:val="nil"/>
              <w:right w:val="single" w:sz="4" w:space="0" w:color="auto"/>
            </w:tcBorders>
            <w:shd w:val="clear" w:color="auto" w:fill="auto"/>
            <w:vAlign w:val="center"/>
          </w:tcPr>
          <w:p w:rsidR="009D01D3" w:rsidRPr="00E358A3" w:rsidRDefault="009D01D3" w:rsidP="0020168A">
            <w:pPr>
              <w:jc w:val="right"/>
              <w:rPr>
                <w:rFonts w:ascii="Calibri" w:hAnsi="Calibri" w:cs="Calibri"/>
                <w:color w:val="000000"/>
              </w:rPr>
            </w:pPr>
          </w:p>
        </w:tc>
        <w:tc>
          <w:tcPr>
            <w:tcW w:w="360" w:type="pct"/>
            <w:tcBorders>
              <w:left w:val="single" w:sz="4" w:space="0" w:color="auto"/>
              <w:right w:val="single" w:sz="12" w:space="0" w:color="auto"/>
            </w:tcBorders>
            <w:shd w:val="clear" w:color="auto" w:fill="auto"/>
            <w:vAlign w:val="center"/>
          </w:tcPr>
          <w:p w:rsidR="009D01D3" w:rsidRPr="00E358A3" w:rsidRDefault="009D01D3" w:rsidP="0020168A">
            <w:pPr>
              <w:jc w:val="right"/>
              <w:rPr>
                <w:rFonts w:ascii="Calibri" w:hAnsi="Calibri" w:cs="Calibri"/>
                <w:color w:val="000000"/>
              </w:rPr>
            </w:pPr>
            <w:r>
              <w:rPr>
                <w:rFonts w:ascii="Calibri" w:hAnsi="Calibri" w:cs="Calibri"/>
                <w:color w:val="000000"/>
              </w:rPr>
              <w:t>Griffin (2015)</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Model acquisition and loss of immunity to age distribution of severe malaria cases</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H</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pPr>
            <w: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46"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C,V</w:t>
            </w:r>
          </w:p>
        </w:tc>
        <w:tc>
          <w:tcPr>
            <w:tcW w:w="773"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EIR, incidence by age group</w:t>
            </w:r>
          </w:p>
        </w:tc>
        <w:tc>
          <w:tcPr>
            <w:tcW w:w="6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pPr>
            <w:r>
              <w:t>Probability of severe malaria, proportion with specific symptoms, case fatality percentage</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Del="00C107B0"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pPr>
            <w:r>
              <w:t>Differing manifestations of severe malaria, immunity functions</w:t>
            </w:r>
          </w:p>
        </w:tc>
        <w:tc>
          <w:tcPr>
            <w:tcW w:w="150"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pPr>
            <w: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pPr>
            <w:r>
              <w:fldChar w:fldCharType="begin" w:fldLock="1"/>
            </w:r>
            <w:r>
              <w:instrText>ADDIN CSL_CITATION { "citationItems" : [ { "id" : "ITEM-1", "itemData" : { "DOI" : "10.1098/rspb.2014.2657", "ISBN" : "0962-8452", "ISSN" : "0962-8452", "PMID" : "25567652", "abstract" : "Previous analyses have suggested that immunity to non-cerebral severe malaria due to Plasmodium falciparum is acquired after only a few infections, whereas longitudinal studies show that some children experience multiple episodes of severe disease, suggesting that immunity may not be acquired so quickly. We fitted a mathematical model for the acquisition and loss of immunity to severe disease to the age distribution of severe malaria cases stratified by symptoms from a range of transmission settings in Tanzania, combined with data from several African countries on the age distribution and overall incidence of severe malaria. We found that immunity to severe disease was acquired more gradually with exposure than previously thought. The model also suggests that physiological changes, rather than exposure, may alter the symptoms of disease with increasing age, suggesting that a later age at infection would be associated with a higher proportion of cases presenting with cerebral malaria regardless of exposure. This has consequences for the expected pattern of severe disease as transmission changes. Careful monitoring of the decline in immunity associated with reduced transmission will therefore be needed to ensure rebound epidemics of severe and fatal malaria are avoided.", "author" : [ { "dropping-particle" : "", "family" : "Griffin", "given" : "Jamie T", "non-dropping-particle" : "", "parse-names" : false, "suffix" : "" }, { "dropping-particle" : "", "family" : "Hollingsworth", "given" : "T D\u00e9irdre", "non-dropping-particle" : "", "parse-names" : false, "suffix" : "" }, { "dropping-particle" : "", "family" : "Reyburn", "given" : "Hugh", "non-dropping-particle" : "", "parse-names" : false, "suffix" : "" }, { "dropping-particle" : "", "family" : "Drakeley", "given" : "Chris J", "non-dropping-particle" : "", "parse-names" : false, "suffix" : "" }, { "dropping-particle" : "", "family" : "Riley", "given" : "Eleanor M", "non-dropping-particle" : "", "parse-names" : false, "suffix" : "" }, { "dropping-particle" : "", "family" : "Ghani", "given" : "Azra C", "non-dropping-particle" : "", "parse-names" : false, "suffix" : "" } ], "container-title" : "Proceedings of the Royal Society B: Biological Sciences", "id" : "ITEM-1", "issue" : "1801", "issued" : { "date-parts" : [ [ "2015", "2", "22" ] ] }, "page" : "20142657-20142657", "publisher" : "The Royal Society", "title" : "Gradual acquisition of immunity to severe malaria with increasing exposure", "type" : "article-journal", "volume" : "282" }, "uris" : [ "http://www.mendeley.com/documents/?uuid=f7c57cbf-32a9-35da-988b-c3bf8da83e11" ] } ], "mendeley" : { "formattedCitation" : "(50)", "plainTextFormattedCitation" : "(50)", "previouslyFormattedCitation" : "(50)" }, "properties" : { "noteIndex" : 0 }, "schema" : "https://github.com/citation-style-language/schema/raw/master/csl-citation.json" }</w:instrText>
            </w:r>
            <w:r>
              <w:fldChar w:fldCharType="separate"/>
            </w:r>
            <w:r w:rsidRPr="009D01D3">
              <w:rPr>
                <w:noProof/>
              </w:rPr>
              <w:t>(50)</w:t>
            </w:r>
            <w:r>
              <w:fldChar w:fldCharType="end"/>
            </w:r>
          </w:p>
        </w:tc>
      </w:tr>
      <w:tr w:rsidR="009D01D3" w:rsidRPr="00E358A3" w:rsidTr="0020168A">
        <w:trPr>
          <w:trHeight w:val="539"/>
        </w:trPr>
        <w:tc>
          <w:tcPr>
            <w:tcW w:w="260" w:type="pct"/>
            <w:tcBorders>
              <w:left w:val="nil"/>
              <w:right w:val="single" w:sz="4" w:space="0" w:color="auto"/>
            </w:tcBorders>
            <w:shd w:val="clear" w:color="auto" w:fill="auto"/>
            <w:vAlign w:val="center"/>
          </w:tcPr>
          <w:p w:rsidR="009D01D3" w:rsidRPr="00E358A3" w:rsidRDefault="009D01D3" w:rsidP="0020168A">
            <w:pPr>
              <w:jc w:val="right"/>
              <w:rPr>
                <w:rFonts w:ascii="Calibri" w:hAnsi="Calibri" w:cs="Calibri"/>
                <w:color w:val="000000"/>
              </w:rPr>
            </w:pPr>
          </w:p>
        </w:tc>
        <w:tc>
          <w:tcPr>
            <w:tcW w:w="360" w:type="pct"/>
            <w:tcBorders>
              <w:left w:val="single" w:sz="4" w:space="0" w:color="auto"/>
              <w:right w:val="single" w:sz="12" w:space="0" w:color="auto"/>
            </w:tcBorders>
            <w:shd w:val="clear" w:color="auto" w:fill="auto"/>
            <w:vAlign w:val="center"/>
          </w:tcPr>
          <w:p w:rsidR="009D01D3" w:rsidRPr="00E358A3" w:rsidRDefault="009D01D3" w:rsidP="0020168A">
            <w:pPr>
              <w:jc w:val="right"/>
              <w:rPr>
                <w:rFonts w:ascii="Calibri" w:hAnsi="Calibri" w:cs="Calibri"/>
                <w:color w:val="000000"/>
              </w:rPr>
            </w:pPr>
            <w:r w:rsidRPr="001631E2">
              <w:rPr>
                <w:rFonts w:ascii="Calibri" w:hAnsi="Calibri" w:cs="Calibri"/>
                <w:color w:val="000000"/>
              </w:rPr>
              <w:t>Cairns (2015)</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sidRPr="00E358A3">
              <w:rPr>
                <w:rFonts w:ascii="Calibri" w:hAnsi="Calibri"/>
                <w:color w:val="000000"/>
              </w:rPr>
              <w:t>Determine when long-acting ACT is most beneficial</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H</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pPr>
            <w:r w:rsidRPr="00E358A3">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46"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P,C,S</w:t>
            </w:r>
          </w:p>
        </w:tc>
        <w:tc>
          <w:tcPr>
            <w:tcW w:w="773"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Transmission and seasonality parameters</w:t>
            </w:r>
          </w:p>
        </w:tc>
        <w:tc>
          <w:tcPr>
            <w:tcW w:w="6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pPr>
            <w:r w:rsidRPr="00E358A3">
              <w:t>Malaria burden, season</w:t>
            </w:r>
            <w:r>
              <w:t>a</w:t>
            </w:r>
            <w:r w:rsidRPr="00E358A3">
              <w:t>lity of incidence</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pPr>
            <w:r w:rsidRPr="00E358A3">
              <w:t>Markham Seasonality Index</w:t>
            </w:r>
          </w:p>
        </w:tc>
        <w:tc>
          <w:tcPr>
            <w:tcW w:w="1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pPr>
            <w: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pPr>
            <w:r w:rsidRPr="00E358A3">
              <w:fldChar w:fldCharType="begin" w:fldLock="1"/>
            </w:r>
            <w:r>
              <w:instrText>ADDIN CSL_CITATION { "citationItems" : [ { "id" : "ITEM-1", "itemData" : { "DOI" : "10.1186/s12936-015-0839-4", "ISBN" : "1475-2875", "abstract" : "Background: Long-acting artemisinin-based combination therapy (LACT) offers the potential to prevent recurrent malaria attacks in highly exposed children. However, it is not clear where this advantage will be most important, and deployment of these drugs is not rationalized on this basis. Methods: To understand where post-treatment prophylaxis would be most beneficial, the relationship between seasonality, transmission intensity and the interval between malaria episodes was explored using data from six cohort studies in West Africa and an individual-based malaria transmission model. The total number of recurrent malaria cases per 1000 child-years at risk, and the fraction of the total annual burden that this represents were estimated for sub-Saharan Africa. Results: In settings where prevalence is less than 10%, repeat malaria episodes constitute a small fraction of the total burden, and few repeat episodes occur within the window of protection provided by currently available drugs. However, in higher transmission settings, and particularly in high transmission settings with highly seasonal transmis- sion, repeat malaria becomes increasingly important, with up to 20% of the total clinical burden in children estimated to be due to repeat episodes within 4 weeks of a prior attack. Conclusion: At a given level of transmission intensity and annual incidence, the concentration of repeat malaria episodes in time, and consequently the protection from LACT is highest in the most seasonal areas. As a result, the degree of seasonality, in addition to the overall intensity of transmission, should be considered by policy makers when deciding between ACT that differ in their duration of post-treatment prophylaxis.", "author" : [ { "dropping-particle" : "", "family" : "Cairns", "given" : "Matthew E", "non-dropping-particle" : "", "parse-names" : false, "suffix" : "" }, { "dropping-particle" : "", "family" : "Walker", "given" : "Patrick G T", "non-dropping-particle" : "", "parse-names" : false, "suffix" : "" }, { "dropping-particle" : "", "family" : "Okell", "given" : "Lucy C", "non-dropping-particle" : "", "parse-names" : false, "suffix" : "" }, { "dropping-particle" : "", "family" : "Griffin", "given" : "Jamie T", "non-dropping-particle" : "", "parse-names" : false, "suffix" : "" }, { "dropping-particle" : "", "family" : "Garske", "given" : "Tini", "non-dropping-particle" : "", "parse-names" : false, "suffix" : "" }, { "dropping-particle" : "", "family" : "Asante", "given" : "Kwaku Poku", "non-dropping-particle" : "", "parse-names" : false, "suffix" : "" }, { "dropping-particle" : "", "family" : "Owusu-Agyei", "given" : "Seth", "non-dropping-particle" : "", "parse-names" : false, "suffix" : "" }, { "dropping-particle" : "", "family" : "Diallo", "given" : "Diadier", "non-dropping-particle" : "", "parse-names" : false, "suffix" : "" }, { "dropping-particle" : "", "family" : "Dicko", "given" : "Alassane", "non-dropping-particle" : "", "parse-names" : false, "suffix" : "" }, { "dropping-particle" : "", "family" : "Cisse", "given" : "Badara", "non-dropping-particle" : "", "parse-names" : false, "suffix" : "" }, { "dropping-particle" : "", "family" : "Greenwood", "given" : "Brian M", "non-dropping-particle" : "", "parse-names" : false, "suffix" : "" }, { "dropping-particle" : "", "family" : "Chandramohan", "given" : "Daniel", "non-dropping-particle" : "", "parse-names" : false, "suffix" : "" }, { "dropping-particle" : "", "family" : "Ghani", "given" : "Azra C", "non-dropping-particle" : "", "parse-names" : false, "suffix" : "" }, { "dropping-particle" : "", "family" : "Milligan", "given" : "Paul J", "non-dropping-particle" : "", "parse-names" : false, "suffix" : "" } ], "container-title" : "Malaria Journal", "id" : "ITEM-1", "issue" : "1", "issued" : { "date-parts" : [ [ "2015" ] ] }, "page" : "321-333", "title" : "Seasonality in malaria transmission: implications for case-management with long-acting artemisinin combination therapy in sub-Saharan Africa", "type" : "article-journal", "volume" : "14" }, "uris" : [ "http://www.mendeley.com/documents/?uuid=48ae537e-7456-47fd-9e91-9fe5feafcdf9" ] } ], "mendeley" : { "formattedCitation" : "(51)", "plainTextFormattedCitation" : "(51)", "previouslyFormattedCitation" : "(51)" }, "properties" : { "noteIndex" : 0 }, "schema" : "https://github.com/citation-style-language/schema/raw/master/csl-citation.json" }</w:instrText>
            </w:r>
            <w:r w:rsidRPr="00E358A3">
              <w:fldChar w:fldCharType="separate"/>
            </w:r>
            <w:r w:rsidRPr="009D01D3">
              <w:rPr>
                <w:noProof/>
              </w:rPr>
              <w:t>(51)</w:t>
            </w:r>
            <w:r w:rsidRPr="00E358A3">
              <w:fldChar w:fldCharType="end"/>
            </w:r>
          </w:p>
        </w:tc>
      </w:tr>
      <w:tr w:rsidR="009D01D3" w:rsidRPr="00E358A3" w:rsidTr="0020168A">
        <w:trPr>
          <w:trHeight w:val="539"/>
        </w:trPr>
        <w:tc>
          <w:tcPr>
            <w:tcW w:w="260" w:type="pct"/>
            <w:tcBorders>
              <w:left w:val="nil"/>
              <w:right w:val="single" w:sz="4" w:space="0" w:color="auto"/>
            </w:tcBorders>
            <w:shd w:val="clear" w:color="auto" w:fill="auto"/>
            <w:vAlign w:val="center"/>
          </w:tcPr>
          <w:p w:rsidR="009D01D3" w:rsidRPr="00E358A3" w:rsidRDefault="009D01D3" w:rsidP="0020168A">
            <w:pPr>
              <w:jc w:val="right"/>
              <w:rPr>
                <w:rFonts w:ascii="Calibri" w:hAnsi="Calibri" w:cs="Calibri"/>
                <w:color w:val="000000"/>
                <w:highlight w:val="yellow"/>
              </w:rPr>
            </w:pPr>
          </w:p>
        </w:tc>
        <w:tc>
          <w:tcPr>
            <w:tcW w:w="360" w:type="pct"/>
            <w:tcBorders>
              <w:left w:val="single" w:sz="4" w:space="0" w:color="auto"/>
              <w:right w:val="single" w:sz="12" w:space="0" w:color="auto"/>
            </w:tcBorders>
            <w:shd w:val="clear" w:color="auto" w:fill="auto"/>
            <w:vAlign w:val="center"/>
          </w:tcPr>
          <w:p w:rsidR="009D01D3" w:rsidRPr="00E358A3" w:rsidRDefault="009D01D3" w:rsidP="0020168A">
            <w:pPr>
              <w:jc w:val="right"/>
              <w:rPr>
                <w:rFonts w:ascii="Calibri" w:hAnsi="Calibri" w:cs="Calibri"/>
                <w:color w:val="000000"/>
              </w:rPr>
            </w:pPr>
            <w:r w:rsidRPr="001631E2">
              <w:rPr>
                <w:rFonts w:ascii="Calibri" w:hAnsi="Calibri" w:cs="Calibri"/>
                <w:color w:val="000000"/>
              </w:rPr>
              <w:t>Slater (2016)</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sidRPr="00E358A3">
              <w:rPr>
                <w:rFonts w:ascii="Calibri" w:hAnsi="Calibri"/>
                <w:color w:val="000000"/>
              </w:rPr>
              <w:t>Simulate impact of artemisinin and partner drug resistance in SSA</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H</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pPr>
            <w:r w:rsidRPr="00E358A3">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46"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P,C,S</w:t>
            </w:r>
          </w:p>
        </w:tc>
        <w:tc>
          <w:tcPr>
            <w:tcW w:w="773"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Parasite clearance rates, recrudescence rates</w:t>
            </w:r>
            <w:r>
              <w:rPr>
                <w:rFonts w:ascii="Calibri" w:hAnsi="Calibri" w:cs="Calibri"/>
                <w:color w:val="000000"/>
              </w:rPr>
              <w:t>, seasonality parameters</w:t>
            </w:r>
          </w:p>
        </w:tc>
        <w:tc>
          <w:tcPr>
            <w:tcW w:w="6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pPr>
            <w:r w:rsidRPr="00E358A3">
              <w:t>Additional cases due to resistance</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pPr>
            <w:r w:rsidRPr="00E358A3">
              <w:t>Drug resistance</w:t>
            </w:r>
          </w:p>
        </w:tc>
        <w:tc>
          <w:tcPr>
            <w:tcW w:w="1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pPr>
            <w: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pPr>
            <w:r w:rsidRPr="00E358A3">
              <w:fldChar w:fldCharType="begin" w:fldLock="1"/>
            </w:r>
            <w:r>
              <w:instrText>ADDIN CSL_CITATION { "citationItems" : [ { "id" : "ITEM-1", "itemData" : { "DOI" : "10.1186/s12936-015-1075-7", "ISBN" : "1475-2875 (Electronic)\\r1475-2875 (Linking)", "ISSN" : "1475-2875", "PMID" : "26739092", "abstract" : "BACKGROUND: Artemisinin and partner drug resistant malaria parasites have emerged in Southeast Asia. If resistance were to emerge in Africa it could have a devastating impact on malaria-related morbidity and mortality. This study estimates the potential impact of artemisinin and partner drug resistance on disease burden in Africa if it were to emerge. METHODS: Using data from Asia and Africa, five possible artemisinin and partner drug resistance scenarios are characterized. An individual-based malaria transmission model is used to estimate the impact of each resistance scenario on clinical incidence and parasite prevalence across Africa. Artemisinin resistance is characterized by slow parasite clearance and partner drug resistance is associated with late clinical failure or late parasitological failure. RESULTS: Scenarios with high levels of recrudescent infections resulted in far greater increases in clinical incidence compared to scenarios with high levels of slow parasite clearance. Across Africa, it is estimated that artemisinin and partner drug resistance at levels similar to those observed in Oddar Meanchey province in Cambodia could result in an additional 78 million cases over a 5 year period, a 7% increase in cases compared to a scenario with no resistance. A scenario with high levels of slow clearance but no recrudescence resulted in an additional 10 million additional cases over the same period. CONCLUSION: Artemisinin resistance is potentially a more pressing concern than partner drug resistance due to the lack of viable alternatives. However, it is predicted that a failing partner drug will result in greater increases in malaria cases and morbidity than would be observed from artemisinin resistance only.", "author" : [ { "dropping-particle" : "", "family" : "Slater", "given" : "Hannah C", "non-dropping-particle" : "", "parse-names" : false, "suffix" : "" }, { "dropping-particle" : "", "family" : "Griffin", "given" : "Jamie T", "non-dropping-particle" : "", "parse-names" : false, "suffix" : "" }, { "dropping-particle" : "", "family" : "Ghani", "given" : "Azra C", "non-dropping-particle" : "", "parse-names" : false, "suffix" : "" }, { "dropping-particle" : "", "family" : "Okell", "given" : "Lucy C", "non-dropping-particle" : "", "parse-names" : false, "suffix" : "" } ], "container-title" : "Malaria journal", "id" : "ITEM-1", "issue" : "1", "issued" : { "date-parts" : [ [ "2016" ] ] }, "page" : "10-20", "publisher" : "BioMed Central", "title" : "Assessing the potential impact of artemisinin and partner drug resistance in sub-Saharan Africa.", "type" : "article-journal", "volume" : "15" }, "uris" : [ "http://www.mendeley.com/documents/?uuid=58b20871-ac8b-4d7b-8292-876be1cd27c5" ] } ], "mendeley" : { "formattedCitation" : "(52)", "plainTextFormattedCitation" : "(52)", "previouslyFormattedCitation" : "(52)" }, "properties" : { "noteIndex" : 0 }, "schema" : "https://github.com/citation-style-language/schema/raw/master/csl-citation.json" }</w:instrText>
            </w:r>
            <w:r w:rsidRPr="00E358A3">
              <w:fldChar w:fldCharType="separate"/>
            </w:r>
            <w:r w:rsidRPr="009D01D3">
              <w:rPr>
                <w:noProof/>
              </w:rPr>
              <w:t>(52)</w:t>
            </w:r>
            <w:r w:rsidRPr="00E358A3">
              <w:fldChar w:fldCharType="end"/>
            </w:r>
          </w:p>
        </w:tc>
      </w:tr>
      <w:tr w:rsidR="009D01D3" w:rsidRPr="00E358A3" w:rsidTr="0020168A">
        <w:trPr>
          <w:trHeight w:val="539"/>
        </w:trPr>
        <w:tc>
          <w:tcPr>
            <w:tcW w:w="260" w:type="pct"/>
            <w:tcBorders>
              <w:left w:val="nil"/>
              <w:right w:val="single" w:sz="4" w:space="0" w:color="auto"/>
            </w:tcBorders>
            <w:shd w:val="clear" w:color="auto" w:fill="auto"/>
            <w:vAlign w:val="center"/>
          </w:tcPr>
          <w:p w:rsidR="009D01D3" w:rsidRPr="00E358A3" w:rsidRDefault="009D01D3" w:rsidP="0020168A">
            <w:pPr>
              <w:jc w:val="right"/>
              <w:rPr>
                <w:rFonts w:ascii="Calibri" w:hAnsi="Calibri" w:cs="Calibri"/>
                <w:color w:val="000000"/>
                <w:highlight w:val="yellow"/>
              </w:rPr>
            </w:pPr>
          </w:p>
        </w:tc>
        <w:tc>
          <w:tcPr>
            <w:tcW w:w="360" w:type="pct"/>
            <w:tcBorders>
              <w:left w:val="single" w:sz="4" w:space="0" w:color="auto"/>
              <w:right w:val="single" w:sz="12" w:space="0" w:color="auto"/>
            </w:tcBorders>
            <w:shd w:val="clear" w:color="auto" w:fill="auto"/>
            <w:vAlign w:val="center"/>
          </w:tcPr>
          <w:p w:rsidR="009D01D3" w:rsidRPr="00C45088" w:rsidRDefault="009D01D3" w:rsidP="0020168A">
            <w:pPr>
              <w:jc w:val="right"/>
              <w:rPr>
                <w:rFonts w:ascii="Calibri" w:hAnsi="Calibri" w:cs="Calibri"/>
                <w:color w:val="000000"/>
                <w:highlight w:val="green"/>
              </w:rPr>
            </w:pPr>
            <w:r w:rsidRPr="00C45088">
              <w:rPr>
                <w:rFonts w:ascii="Calibri" w:hAnsi="Calibri" w:cs="Calibri"/>
                <w:color w:val="000000"/>
              </w:rPr>
              <w:t>Griffin (2016)</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Assess impact of future intervention scenarios on malaria transmission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H</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pPr>
            <w:r>
              <w:t>Y</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N</w:t>
            </w:r>
          </w:p>
        </w:tc>
        <w:tc>
          <w:tcPr>
            <w:tcW w:w="146"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P</w:t>
            </w:r>
          </w:p>
        </w:tc>
        <w:tc>
          <w:tcPr>
            <w:tcW w:w="773"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Pre-existing malaria rates and intervention use</w:t>
            </w:r>
          </w:p>
        </w:tc>
        <w:tc>
          <w:tcPr>
            <w:tcW w:w="6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pPr>
            <w:r>
              <w:t>Cases and deaths averted, at-risk population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pPr>
            <w:r>
              <w:t>Existing intervention coverage, insecticide decay, ITN wear-and-tear</w:t>
            </w:r>
          </w:p>
        </w:tc>
        <w:tc>
          <w:tcPr>
            <w:tcW w:w="150"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pPr>
            <w: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pPr>
            <w:r>
              <w:fldChar w:fldCharType="begin" w:fldLock="1"/>
            </w:r>
            <w:r>
              <w:instrText>ADDIN CSL_CITATION { "citationItems" : [ { "id" : "ITEM-1", "itemData" : { "DOI" : "10.1016/S1473-3099(15)00423-5", "ISBN" : "1473-3099", "ISSN" : "14744457", "PMID" : "26809816", "abstract" : "Background: Rapid declines in malaria prevalence, cases, and deaths have been achieved globally during the past 15 years because of improved access to first-line treatment and vector control. We aimed to assess the intervention coverage needed to achieve further gains over the next 15 years. Methods: We used a mathematical model of the transmission of Plasmodium falciparum malaria to explore the potential effect on case incidence and malaria mortality rates from 2015 to 2030 of five different intervention scenarios: remaining at the intervention coverage levels of 2011-13 (Sustain), for which coverage comprises vector control and access to treatment; two scenarios of increased coverage to 80% (Accelerate 1) and 90% (Accelerate 2), with a switch from quinine to injectable artesunate for management of severe disease and seasonal malaria chemoprevention where recommended for both Accelerate scenarios, and rectal artesunate for pre-referral treatment at the community level added to Accelerate 2; a near-term innovation scenario (Innovate), which included longer-lasting insecticidal nets and expansion of seasonal malaria chemoprevention; and a reduction in coverage to 2006-08 levels (Reverse). We did the model simulations at the first administrative level (ie, state or province) for the 80 countries with sustained stable malaria transmission in 2010, accounting for variations in baseline endemicity, seasonality in transmission, vector species, and existing intervention coverage. To calculate the cases and deaths averted, we compared the total number of each under the five scenarios between 2015 and 2030 with the predicted number in 2015, accounting for population growth. Findings: With an increase to 80% coverage, we predicted a reduction in case incidence of 21% (95% credible intervals [CrI] 19-29) and a reduction in mortality rates of 40% (27-61) by 2030 compared with 2015 levels. Acceleration to 90% coverage and expansion of treatment at the community level was predicted to reduce case incidence by 59% (Crl 56-64) and mortality rates by 74% (67-82); with additional near-term innovation, incidence was predicted to decline by 74% (70-77) and mortality rates by 81% (76-87). These scenarios were predicted to lead to local elimination in 13 countries under the Accelerate 1 scenario, 20 under Accelerate 2, and 22 under Innovate by 2030, reducing the proportion of the population living in at-risk areas by 36% if elimination is defined at the first administrative \u2026", "author" : [ { "dropping-particle" : "", "family" : "Griffin", "given" : "Jamie T", "non-dropping-particle" : "", "parse-names" : false, "suffix" : "" }, { "dropping-particle" : "", "family" : "Bhatt", "given" : "Samir", "non-dropping-particle" : "", "parse-names" : false, "suffix" : "" }, { "dropping-particle" : "", "family" : "Sinka", "given" : "Marianne E", "non-dropping-particle" : "", "parse-names" : false, "suffix" : "" }, { "dropping-particle" : "", "family" : "Gething", "given" : "Peter W", "non-dropping-particle" : "", "parse-names" : false, "suffix" : "" }, { "dropping-particle" : "", "family" : "Lynch", "given" : "Michael", "non-dropping-particle" : "", "parse-names" : false, "suffix" : "" }, { "dropping-particle" : "", "family" : "Patouillard", "given" : "Edith", "non-dropping-particle" : "", "parse-names" : false, "suffix" : "" }, { "dropping-particle" : "", "family" : "Shutes", "given" : "Erin", "non-dropping-particle" : "", "parse-names" : false, "suffix" : "" }, { "dropping-particle" : "", "family" : "Newman", "given" : "Robert D", "non-dropping-particle" : "", "parse-names" : false, "suffix" : "" }, { "dropping-particle" : "", "family" : "Alonso", "given" : "Pedro", "non-dropping-particle" : "", "parse-names" : false, "suffix" : "" }, { "dropping-particle" : "", "family" : "Cibulskis", "given" : "Richard E", "non-dropping-particle" : "", "parse-names" : false, "suffix" : "" }, { "dropping-particle" : "", "family" : "Ghani", "given" : "Azra C", "non-dropping-particle" : "", "parse-names" : false, "suffix" : "" } ], "container-title" : "The Lancet Infectious Diseases", "id" : "ITEM-1", "issue" : "4", "issued" : { "date-parts" : [ [ "2016", "4", "1" ] ] }, "page" : "465-472", "publisher" : "Elsevier", "title" : "Potential for reduction of burden and local elimination of malaria by reducing Plasmodium falciparum malaria transmission: A mathematical modelling study", "type" : "article-journal", "volume" : "16" }, "uris" : [ "http://www.mendeley.com/documents/?uuid=a515780c-0e44-38fb-876b-304b8841e27b" ] } ], "mendeley" : { "formattedCitation" : "(53)", "plainTextFormattedCitation" : "(53)", "previouslyFormattedCitation" : "(53)" }, "properties" : { "noteIndex" : 0 }, "schema" : "https://github.com/citation-style-language/schema/raw/master/csl-citation.json" }</w:instrText>
            </w:r>
            <w:r>
              <w:fldChar w:fldCharType="separate"/>
            </w:r>
            <w:r w:rsidRPr="009D01D3">
              <w:rPr>
                <w:noProof/>
              </w:rPr>
              <w:t>(53)</w:t>
            </w:r>
            <w:r>
              <w:fldChar w:fldCharType="end"/>
            </w:r>
          </w:p>
        </w:tc>
      </w:tr>
      <w:tr w:rsidR="009D01D3" w:rsidRPr="00E358A3" w:rsidTr="0020168A">
        <w:trPr>
          <w:trHeight w:val="539"/>
        </w:trPr>
        <w:tc>
          <w:tcPr>
            <w:tcW w:w="260" w:type="pct"/>
            <w:tcBorders>
              <w:left w:val="nil"/>
              <w:right w:val="single" w:sz="4" w:space="0" w:color="auto"/>
            </w:tcBorders>
            <w:shd w:val="clear" w:color="auto" w:fill="auto"/>
            <w:vAlign w:val="center"/>
          </w:tcPr>
          <w:p w:rsidR="009D01D3" w:rsidRPr="00E358A3" w:rsidRDefault="009D01D3" w:rsidP="0020168A">
            <w:pPr>
              <w:jc w:val="right"/>
              <w:rPr>
                <w:rFonts w:ascii="Calibri" w:hAnsi="Calibri" w:cs="Calibri"/>
                <w:color w:val="000000"/>
                <w:highlight w:val="yellow"/>
              </w:rPr>
            </w:pPr>
          </w:p>
        </w:tc>
        <w:tc>
          <w:tcPr>
            <w:tcW w:w="360" w:type="pct"/>
            <w:tcBorders>
              <w:left w:val="single" w:sz="4" w:space="0" w:color="auto"/>
              <w:right w:val="single" w:sz="12" w:space="0" w:color="auto"/>
            </w:tcBorders>
            <w:shd w:val="clear" w:color="auto" w:fill="auto"/>
            <w:vAlign w:val="center"/>
          </w:tcPr>
          <w:p w:rsidR="009D01D3" w:rsidRPr="00E358A3" w:rsidRDefault="009D01D3" w:rsidP="0020168A">
            <w:pPr>
              <w:jc w:val="right"/>
              <w:rPr>
                <w:rFonts w:ascii="Calibri" w:hAnsi="Calibri" w:cs="Calibri"/>
                <w:color w:val="000000"/>
              </w:rPr>
            </w:pPr>
            <w:r>
              <w:rPr>
                <w:rFonts w:ascii="Calibri" w:hAnsi="Calibri" w:cs="Calibri"/>
                <w:color w:val="000000"/>
              </w:rPr>
              <w:t>Walker (2016)</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Estimate the minimum-cost ordering of interventions to reduce malaria burden and transmission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H</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pPr>
            <w:r>
              <w:t>Y</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N</w:t>
            </w:r>
          </w:p>
        </w:tc>
        <w:tc>
          <w:tcPr>
            <w:tcW w:w="146"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P,S</w:t>
            </w:r>
          </w:p>
        </w:tc>
        <w:tc>
          <w:tcPr>
            <w:tcW w:w="773"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Cost price of interventions, interventions efficacies and coverages, transmission intensity, seasonality, vector profiles</w:t>
            </w:r>
          </w:p>
        </w:tc>
        <w:tc>
          <w:tcPr>
            <w:tcW w:w="6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pPr>
            <w:r>
              <w:t>Cost of disease burden or transmission reduction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Y</w:t>
            </w:r>
          </w:p>
        </w:tc>
        <w:tc>
          <w:tcPr>
            <w:tcW w:w="621"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pPr>
            <w:r>
              <w:t xml:space="preserve">Simulated annealing for optimisation </w:t>
            </w:r>
          </w:p>
        </w:tc>
        <w:tc>
          <w:tcPr>
            <w:tcW w:w="150"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pPr>
            <w:r>
              <w:t>Y</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pPr>
            <w:r>
              <w:fldChar w:fldCharType="begin" w:fldLock="1"/>
            </w:r>
            <w:r>
              <w:instrText>ADDIN CSL_CITATION { "citationItems" : [ { "id" : "ITEM-1", "itemData" : { "DOI" : "10.1016/S2214-109X(16)30073-0", "ISBN" : "2214-109X", "ISSN" : "2214109X", "PMID" : "27269393", "abstract" : "Background: Reducing the burden of malaria is a global priority, but financial constraints mean that available resources must be allocated rationally to maximise their effect. We aimed to develop a model to estimate the most efficient (ie, minimum cost) ordering of interventions to reduce malaria burden and transmission. We also aimed to estimate the efficiency of different spatial scales of implementation. Methods: We combined a dynamic model capturing heterogeneity in malaria transmission across Africa with financial unit cost data for key malaria interventions. We combined estimates of patterns of malaria endemicity, seasonality in rainfall, and mosquito composition to map optimum packages of these interventions across Africa. Using non-linear optimisation methods, we examined how these optimum packages vary when control measures are deployed and assessed at national, subnational first administrative (provincial), or fine-scale (5 km2pixel) spatial scales. Findings: The most efficient package in a given setting varies depending on whether disease reduction or elimination is the target. Long-lasting insecticide-treated nets are generally the most cost-effective first intervention to achieve either goal, with seasonal malaria chemoprevention or indoor residual spraying added second depending on seasonality and vector species. These interventions are estimated to reduce malaria transmission to less than one case per 1000 people per year in 43\u00b74% (95% CI 40\u00b70-49\u00b70) of the population at risk in Africa. Adding three rounds of mass drug administration per year is estimated to increase this proportion to 90\u00b79% (95% CI 86\u00b79-94\u00b76). Further optimisation can be achieved by targeting policies at the provincial level, achieving an estimated 32\u00b71% (95% CI 29\u00b76-34\u00b75) cost saving relative to adopting country-wide policies. Nevertheless, we predict that only 26 (95% CI 22-29) of 41 countries could reduce transmission to these levels with these approaches. Interpretation: These results highlight the cost-benefits of carefully tailoring malaria interventions to the ecological landscape of different areas. However, novel interventions are necessary if malaria eradication is to be achieved. Funding: Bill &amp; Melinda Gates Foundation, UK Medical Research Council.", "author" : [ { "dropping-particle" : "", "family" : "Walker", "given" : "Patrick G.T.", "non-dropping-particle" : "", "parse-names" : false, "suffix" : "" }, { "dropping-particle" : "", "family" : "Griffin", "given" : "Jamie T", "non-dropping-particle" : "", "parse-names" : false, "suffix" : "" }, { "dropping-particle" : "", "family" : "Ferguson", "given" : "Neil M", "non-dropping-particle" : "", "parse-names" : false, "suffix" : "" }, { "dropping-particle" : "", "family" : "Ghani", "given" : "Azra C", "non-dropping-particle" : "", "parse-names" : false, "suffix" : "" } ], "container-title" : "The Lancet Global Health", "id" : "ITEM-1", "issue" : "7", "issued" : { "date-parts" : [ [ "2016", "7", "1" ] ] }, "page" : "e474-e484", "publisher" : "Elsevier", "title" : "Estimating the most efficient allocation of interventions to achieve reductions in Plasmodium falciparum malaria burden and transmission in Africa: A modelling study", "type" : "article-journal", "volume" : "4" }, "uris" : [ "http://www.mendeley.com/documents/?uuid=63b9d01e-d92a-3805-8ff8-745350c7c450" ] } ], "mendeley" : { "formattedCitation" : "(54)", "plainTextFormattedCitation" : "(54)", "previouslyFormattedCitation" : "(54)" }, "properties" : { "noteIndex" : 0 }, "schema" : "https://github.com/citation-style-language/schema/raw/master/csl-citation.json" }</w:instrText>
            </w:r>
            <w:r>
              <w:fldChar w:fldCharType="separate"/>
            </w:r>
            <w:r w:rsidRPr="009D01D3">
              <w:rPr>
                <w:noProof/>
              </w:rPr>
              <w:t>(54)</w:t>
            </w:r>
            <w:r>
              <w:fldChar w:fldCharType="end"/>
            </w:r>
          </w:p>
        </w:tc>
      </w:tr>
      <w:tr w:rsidR="009D01D3" w:rsidRPr="00E358A3" w:rsidTr="0020168A">
        <w:trPr>
          <w:trHeight w:val="1164"/>
        </w:trPr>
        <w:tc>
          <w:tcPr>
            <w:tcW w:w="260" w:type="pct"/>
            <w:tcBorders>
              <w:left w:val="nil"/>
              <w:right w:val="single" w:sz="4" w:space="0" w:color="auto"/>
            </w:tcBorders>
            <w:shd w:val="clear" w:color="auto" w:fill="auto"/>
            <w:vAlign w:val="center"/>
          </w:tcPr>
          <w:p w:rsidR="009D01D3" w:rsidRPr="00E358A3" w:rsidRDefault="009D01D3" w:rsidP="0020168A">
            <w:pPr>
              <w:rPr>
                <w:rFonts w:ascii="Calibri" w:hAnsi="Calibri"/>
                <w:color w:val="000000"/>
              </w:rPr>
            </w:pPr>
          </w:p>
        </w:tc>
        <w:tc>
          <w:tcPr>
            <w:tcW w:w="360" w:type="pct"/>
            <w:tcBorders>
              <w:left w:val="single" w:sz="4" w:space="0" w:color="auto"/>
              <w:right w:val="single" w:sz="12" w:space="0" w:color="auto"/>
            </w:tcBorders>
            <w:shd w:val="clear" w:color="auto" w:fill="auto"/>
            <w:vAlign w:val="center"/>
          </w:tcPr>
          <w:p w:rsidR="009D01D3" w:rsidRPr="00E358A3" w:rsidRDefault="009D01D3" w:rsidP="0020168A">
            <w:pPr>
              <w:jc w:val="right"/>
              <w:rPr>
                <w:rFonts w:ascii="Calibri" w:hAnsi="Calibri"/>
                <w:color w:val="000000"/>
              </w:rPr>
            </w:pPr>
            <w:r w:rsidRPr="00916231">
              <w:rPr>
                <w:rFonts w:ascii="Calibri" w:hAnsi="Calibri"/>
                <w:color w:val="000000"/>
              </w:rPr>
              <w:t>Winskill (2016)</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Compare the cost-effectiveness of RTS,S vaccination with increasing pre-existing interventions in SSA</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H</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N</w:t>
            </w:r>
          </w:p>
        </w:tc>
        <w:tc>
          <w:tcPr>
            <w:tcW w:w="146"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S</w:t>
            </w:r>
          </w:p>
        </w:tc>
        <w:tc>
          <w:tcPr>
            <w:tcW w:w="773"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Baseline parasite prevalence, seasonal transmission patterns, vector profiles, intervention choice and coverage level</w:t>
            </w:r>
          </w:p>
        </w:tc>
        <w:tc>
          <w:tcPr>
            <w:tcW w:w="6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Cases averted, DALYs averted, costs</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Y</w:t>
            </w:r>
          </w:p>
        </w:tc>
        <w:tc>
          <w:tcPr>
            <w:tcW w:w="621"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Method for cost-effective scale-up of intervnetions</w:t>
            </w:r>
          </w:p>
        </w:tc>
        <w:tc>
          <w:tcPr>
            <w:tcW w:w="150"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pPr>
            <w:r>
              <w:t>Y</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pPr>
            <w:r>
              <w:fldChar w:fldCharType="begin" w:fldLock="1"/>
            </w:r>
            <w:r>
              <w:instrText>ADDIN CSL_CITATION { "citationItems" : [ { "id" : "ITEM-1", "itemData" : { "DOI" : "10.1136/bmjgh-2016-000090", "ISSN" : "2059-7908", "PMID" : "28588994", "abstract" : "Objectives To evaluate the relative cost-effectiveness of introducing the RTS,S malaria vaccine in sub-Saharan Africa compared with further scale-up of existing interventions. Design A mathematical modelling and cost-effectiveness study. Setting Sub-Saharan Africa. Participants People of all ages. Interventions The analysis considers the introduction and scale-up of the RTS,S malaria vaccine and the scale-up of long-lasting insecticide-treated bed nets (LLINs), indoor residual spraying (IRS) and seasonal malaria chemoprevention (SMC). Main outcome measure The number of Plasmodium falciparum cases averted in all age groups over a 10-year period. Results Assuming access to treatment remains constant, increasing coverage of LLINs was consistently the most cost-effective intervention across a range of transmission settings and was found to occur early in the cost-effectiveness scale-up pathway. IRS, RTS,S and SMC entered the cost-effective pathway once LLIN coverage had been maximised. If non-linear production functions are included to capture the cost of reaching very high coverage, the resulting pathways become more complex and result in selection of multiple interventions. Conclusions RTS,S was consistently implemented later in the cost-effectiveness pathway than the LLINs, IRS and SMC but was still of value as a fourth intervention in many settings to reduce burden to the levels set out in the international goals.", "author" : [ { "dropping-particle" : "", "family" : "Winskill", "given" : "Peter", "non-dropping-particle" : "", "parse-names" : false, "suffix" : "" }, { "dropping-particle" : "", "family" : "Walker", "given" : "Patrick Gt", "non-dropping-particle" : "", "parse-names" : false, "suffix" : "" }, { "dropping-particle" : "", "family" : "Griffin", "given" : "Jamie T", "non-dropping-particle" : "", "parse-names" : false, "suffix" : "" }, { "dropping-particle" : "", "family" : "Ghani", "given" : "Azra C", "non-dropping-particle" : "", "parse-names" : false, "suffix" : "" } ], "container-title" : "BMJ Global Health", "id" : "ITEM-1", "issue" : "1", "issued" : { "date-parts" : [ [ "2017" ] ] }, "page" : "e000090", "title" : "Modelling the cost-effectiveness of introducing the RTS,S malaria vaccine relative to scaling up other malaria interventions in sub-Saharan Africa", "type" : "article-journal", "volume" : "2" }, "uris" : [ "http://www.mendeley.com/documents/?uuid=f66ccfca-d3f6-369e-bd86-46e1f40a28cb" ] } ], "mendeley" : { "formattedCitation" : "(55)", "plainTextFormattedCitation" : "(55)", "previouslyFormattedCitation" : "(55)" }, "properties" : { "noteIndex" : 0 }, "schema" : "https://github.com/citation-style-language/schema/raw/master/csl-citation.json" }</w:instrText>
            </w:r>
            <w:r>
              <w:fldChar w:fldCharType="separate"/>
            </w:r>
            <w:r w:rsidRPr="009D01D3">
              <w:rPr>
                <w:noProof/>
              </w:rPr>
              <w:t>(55)</w:t>
            </w:r>
            <w:r>
              <w:fldChar w:fldCharType="end"/>
            </w:r>
          </w:p>
        </w:tc>
      </w:tr>
      <w:tr w:rsidR="009D01D3" w:rsidRPr="00E358A3" w:rsidTr="0020168A">
        <w:trPr>
          <w:trHeight w:val="1164"/>
        </w:trPr>
        <w:tc>
          <w:tcPr>
            <w:tcW w:w="260" w:type="pct"/>
            <w:tcBorders>
              <w:left w:val="nil"/>
              <w:right w:val="single" w:sz="4" w:space="0" w:color="auto"/>
            </w:tcBorders>
            <w:shd w:val="clear" w:color="auto" w:fill="auto"/>
            <w:vAlign w:val="center"/>
          </w:tcPr>
          <w:p w:rsidR="009D01D3" w:rsidRPr="00E358A3" w:rsidRDefault="009D01D3" w:rsidP="0020168A">
            <w:pPr>
              <w:rPr>
                <w:rFonts w:ascii="Calibri" w:hAnsi="Calibri"/>
                <w:color w:val="000000"/>
              </w:rPr>
            </w:pPr>
          </w:p>
        </w:tc>
        <w:tc>
          <w:tcPr>
            <w:tcW w:w="360" w:type="pct"/>
            <w:tcBorders>
              <w:left w:val="single" w:sz="4" w:space="0" w:color="auto"/>
              <w:right w:val="single" w:sz="12" w:space="0" w:color="auto"/>
            </w:tcBorders>
            <w:shd w:val="clear" w:color="auto" w:fill="auto"/>
            <w:vAlign w:val="center"/>
          </w:tcPr>
          <w:p w:rsidR="009D01D3" w:rsidRPr="00916231" w:rsidRDefault="009D01D3" w:rsidP="0020168A">
            <w:pPr>
              <w:jc w:val="right"/>
              <w:rPr>
                <w:rFonts w:ascii="Calibri" w:hAnsi="Calibri"/>
                <w:color w:val="000000"/>
              </w:rPr>
            </w:pPr>
            <w:r w:rsidRPr="00916231">
              <w:rPr>
                <w:rFonts w:ascii="Calibri" w:hAnsi="Calibri"/>
                <w:color w:val="000000"/>
              </w:rPr>
              <w:t>Bretscher (2017)</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Default="009D01D3" w:rsidP="0020168A">
            <w:pPr>
              <w:jc w:val="center"/>
              <w:rPr>
                <w:rFonts w:ascii="Calibri" w:hAnsi="Calibri"/>
                <w:color w:val="000000"/>
              </w:rPr>
            </w:pPr>
            <w:r>
              <w:rPr>
                <w:rFonts w:ascii="Calibri" w:hAnsi="Calibri"/>
                <w:color w:val="000000"/>
              </w:rPr>
              <w:t>Impact of antimalarial type and population delivery modality on transmission</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olor w:val="000000"/>
              </w:rPr>
            </w:pPr>
            <w:r>
              <w:rPr>
                <w:rFonts w:ascii="Calibri" w:hAnsi="Calibri"/>
                <w:color w:val="000000"/>
              </w:rPr>
              <w:t>H</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olor w:val="000000"/>
              </w:rPr>
            </w:pPr>
            <w:r>
              <w:rPr>
                <w:rFonts w:ascii="Calibri" w:hAnsi="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olor w:val="000000"/>
              </w:rPr>
            </w:pPr>
            <w:r>
              <w:rPr>
                <w:rFonts w:ascii="Calibri" w:hAnsi="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olor w:val="000000"/>
              </w:rPr>
            </w:pPr>
            <w:r>
              <w:rPr>
                <w:rFonts w:ascii="Calibri" w:hAnsi="Calibri"/>
                <w:color w:val="000000"/>
              </w:rPr>
              <w:t>N</w:t>
            </w:r>
          </w:p>
        </w:tc>
        <w:tc>
          <w:tcPr>
            <w:tcW w:w="146"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olor w:val="000000"/>
              </w:rPr>
            </w:pPr>
            <w:r>
              <w:rPr>
                <w:rFonts w:ascii="Calibri" w:hAnsi="Calibri"/>
                <w:color w:val="000000"/>
              </w:rPr>
              <w:t>P,C,S</w:t>
            </w:r>
          </w:p>
        </w:tc>
        <w:tc>
          <w:tcPr>
            <w:tcW w:w="773"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olor w:val="000000"/>
              </w:rPr>
            </w:pPr>
            <w:r>
              <w:rPr>
                <w:rFonts w:ascii="Calibri" w:hAnsi="Calibri"/>
                <w:color w:val="000000"/>
              </w:rPr>
              <w:t>Infection and transmission parameters, drug efficacies, intervention coverage and efficacy</w:t>
            </w:r>
          </w:p>
        </w:tc>
        <w:tc>
          <w:tcPr>
            <w:tcW w:w="650"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olor w:val="000000"/>
              </w:rPr>
            </w:pPr>
            <w:r>
              <w:rPr>
                <w:rFonts w:ascii="Calibri" w:hAnsi="Calibri"/>
                <w:color w:val="000000"/>
              </w:rPr>
              <w:t>Reduction in clinical cases</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olor w:val="000000"/>
              </w:rPr>
            </w:pPr>
            <w:r>
              <w:rPr>
                <w:rFonts w:ascii="Calibri" w:hAnsi="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olor w:val="000000"/>
              </w:rPr>
            </w:pPr>
            <w:r>
              <w:rPr>
                <w:rFonts w:ascii="Calibri" w:hAnsi="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olor w:val="000000"/>
              </w:rPr>
            </w:pPr>
            <w:r>
              <w:rPr>
                <w:rFonts w:ascii="Calibri" w:hAnsi="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olor w:val="000000"/>
              </w:rPr>
            </w:pPr>
            <w:r>
              <w:rPr>
                <w:rFonts w:ascii="Calibri" w:hAnsi="Calibri"/>
                <w:color w:val="000000"/>
              </w:rPr>
              <w:t>N</w:t>
            </w:r>
          </w:p>
        </w:tc>
        <w:tc>
          <w:tcPr>
            <w:tcW w:w="621"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olor w:val="000000"/>
              </w:rPr>
            </w:pPr>
          </w:p>
        </w:tc>
        <w:tc>
          <w:tcPr>
            <w:tcW w:w="150"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pPr>
            <w:r>
              <w:t>N</w:t>
            </w:r>
          </w:p>
        </w:tc>
        <w:tc>
          <w:tcPr>
            <w:tcW w:w="150" w:type="pct"/>
            <w:tcBorders>
              <w:top w:val="single" w:sz="4" w:space="0" w:color="auto"/>
              <w:left w:val="nil"/>
              <w:bottom w:val="single" w:sz="4" w:space="0" w:color="auto"/>
              <w:right w:val="nil"/>
            </w:tcBorders>
            <w:vAlign w:val="center"/>
          </w:tcPr>
          <w:p w:rsidR="009D01D3" w:rsidRDefault="009D01D3" w:rsidP="0020168A">
            <w:pPr>
              <w:jc w:val="center"/>
            </w:pPr>
            <w:r>
              <w:fldChar w:fldCharType="begin" w:fldLock="1"/>
            </w:r>
            <w:r>
              <w:instrText>ADDIN CSL_CITATION { "citationItems" : [ { "id" : "ITEM-1", "itemData" : { "DOI" : "10.1186/s12936-017-1988-4", "ISSN" : "14752875", "PMID" : "28814310", "abstract" : "Anti-malarial drugs are an important tool for malaria control and elimination. Alongside their direct benefit in the treatment of disease, drug use has a community-level effect, clearing the reservoir of infection and reducing onward transmission of the parasite. Different compounds potentially have different impacts on transmission\u2014with some providing periods of prolonged chemoprophylaxis whilst others have greater transmission-blocking potential. The aim was to quantify the relative benefit of such properties for transmission reduction to inform target product profiles in the drug development process and choice of first-line anti-malarial treatment in different endemic settings. A mathematical model of Plasmodium falciparum epidemiology was used to estimate the transmission reduction that can be achieved by using drugs of varying chemoprophylactic (protection for 3, 30 or 60\u00a0days) or transmission-blocking activity (blocking 79, 92 or 100% of total onward transmission). Simulations were conducted at low, medium or high transmission intensity (slide-prevalence in 2\u201310\u00a0year olds being 1, 10 or 40%, respectively), with drugs administered either via case management or mass drug administration (MDA). Transmission reductions depend strongly on deployment strategy, treatment coverage and endemicity level. Transmission-blocking was most effective at low endemicity, whereas chemoprophylaxis was most useful at high endemicity levels. Increasing the duration of protection as much as possible was beneficial. Increasing transmission-blocking activity from the level of ACT to a 100% transmission-blocking drug (close to the effect estimated for ACT combined with primaquine) produced moderate impact but was not as effective as increasing the duration of protection in medium-to-high transmission settings (slide prevalence 10\u201340%). Combining both good transmission-blocking activity (e.g. as achieved by ACT or ACT\u00a0+\u00a0primaquine) and a long duration of protection (30\u00a0days or more, such as provided by piperaquine or mefloquine) within a drug regimen can substantially increase impact compared with drug regimens with only one of these properties in medium to high transmission areas (slide-prevalence in 2\u201310\u00a0year olds ~10 to 40%). These results applied whether the anti-malarials were used for case management or for MDA. These results emphasise the importance of increasing access to treatment for routine case management, and the potential value of choosing first-line anti-malar\u2026", "author" : [ { "dropping-particle" : "", "family" : "Bretscher", "given" : "Michael T.", "non-dropping-particle" : "", "parse-names" : false, "suffix" : "" }, { "dropping-particle" : "", "family" : "Griffin", "given" : "Jamie T.", "non-dropping-particle" : "", "parse-names" : false, "suffix" : "" }, { "dropping-particle" : "", "family" : "Ghani", "given" : "Azra C.", "non-dropping-particle" : "", "parse-names" : false, "suffix" : "" }, { "dropping-particle" : "", "family" : "Okell", "given" : "Lucy C.", "non-dropping-particle" : "", "parse-names" : false, "suffix" : "" } ], "container-title" : "Malaria Journal", "id" : "ITEM-1", "issue" : "1", "issued" : { "date-parts" : [ [ "2017" ] ] }, "page" : "1-12", "publisher" : "BioMed Central", "title" : "Modelling the benefits of long-acting or transmission-blocking drugs for reducing Plasmodium falciparum transmission by case management or by mass treatment", "type" : "article-journal", "volume" : "16" }, "uris" : [ "http://www.mendeley.com/documents/?uuid=b22b5940-73c9-4e40-b03a-c92b7ea5ad6d" ] } ], "mendeley" : { "formattedCitation" : "(56)", "plainTextFormattedCitation" : "(56)", "previouslyFormattedCitation" : "(56)" }, "properties" : { "noteIndex" : 0 }, "schema" : "https://github.com/citation-style-language/schema/raw/master/csl-citation.json" }</w:instrText>
            </w:r>
            <w:r>
              <w:fldChar w:fldCharType="separate"/>
            </w:r>
            <w:r w:rsidRPr="009D01D3">
              <w:rPr>
                <w:noProof/>
              </w:rPr>
              <w:t>(56)</w:t>
            </w:r>
            <w:r>
              <w:fldChar w:fldCharType="end"/>
            </w:r>
          </w:p>
        </w:tc>
      </w:tr>
      <w:tr w:rsidR="009D01D3" w:rsidRPr="00E358A3" w:rsidTr="0020168A">
        <w:trPr>
          <w:trHeight w:val="1164"/>
        </w:trPr>
        <w:tc>
          <w:tcPr>
            <w:tcW w:w="260" w:type="pct"/>
            <w:tcBorders>
              <w:left w:val="nil"/>
              <w:bottom w:val="single" w:sz="4" w:space="0" w:color="auto"/>
              <w:right w:val="single" w:sz="4" w:space="0" w:color="auto"/>
            </w:tcBorders>
            <w:shd w:val="clear" w:color="auto" w:fill="auto"/>
            <w:vAlign w:val="center"/>
          </w:tcPr>
          <w:p w:rsidR="009D01D3" w:rsidRPr="00E358A3" w:rsidRDefault="009D01D3" w:rsidP="0020168A">
            <w:pPr>
              <w:rPr>
                <w:rFonts w:ascii="Calibri" w:hAnsi="Calibri"/>
                <w:color w:val="000000"/>
              </w:rPr>
            </w:pPr>
          </w:p>
        </w:tc>
        <w:tc>
          <w:tcPr>
            <w:tcW w:w="360" w:type="pct"/>
            <w:tcBorders>
              <w:left w:val="single" w:sz="4" w:space="0" w:color="auto"/>
              <w:bottom w:val="single" w:sz="4" w:space="0" w:color="auto"/>
              <w:right w:val="single" w:sz="12" w:space="0" w:color="auto"/>
            </w:tcBorders>
            <w:shd w:val="clear" w:color="auto" w:fill="auto"/>
            <w:vAlign w:val="center"/>
          </w:tcPr>
          <w:p w:rsidR="009D01D3" w:rsidRDefault="009D01D3" w:rsidP="0020168A">
            <w:pPr>
              <w:jc w:val="right"/>
              <w:rPr>
                <w:rFonts w:ascii="Calibri" w:hAnsi="Calibri"/>
                <w:color w:val="000000"/>
              </w:rPr>
            </w:pPr>
            <w:r>
              <w:rPr>
                <w:rFonts w:ascii="Calibri" w:hAnsi="Calibri"/>
                <w:color w:val="000000"/>
              </w:rPr>
              <w:t>Watson (2017)</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Default="009D01D3" w:rsidP="0020168A">
            <w:pPr>
              <w:jc w:val="center"/>
              <w:rPr>
                <w:rFonts w:ascii="Calibri" w:hAnsi="Calibri"/>
                <w:color w:val="000000"/>
              </w:rPr>
            </w:pPr>
            <w:r>
              <w:rPr>
                <w:rFonts w:ascii="Calibri" w:hAnsi="Calibri"/>
                <w:color w:val="000000"/>
              </w:rPr>
              <w:t>Impact of rapid diagnostic tests (RDTs) on PfHRP2-geleted parasites</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olor w:val="000000"/>
              </w:rPr>
            </w:pPr>
            <w:r>
              <w:rPr>
                <w:rFonts w:ascii="Calibri" w:hAnsi="Calibri"/>
                <w:color w:val="000000"/>
              </w:rPr>
              <w:t>H</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olor w:val="000000"/>
              </w:rPr>
            </w:pPr>
            <w:r>
              <w:rPr>
                <w:rFonts w:ascii="Calibri" w:hAnsi="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olor w:val="000000"/>
              </w:rPr>
            </w:pPr>
            <w:r>
              <w:rPr>
                <w:rFonts w:ascii="Calibri" w:hAnsi="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olor w:val="000000"/>
              </w:rPr>
            </w:pPr>
            <w:r>
              <w:rPr>
                <w:rFonts w:ascii="Calibri" w:hAnsi="Calibri"/>
                <w:color w:val="000000"/>
              </w:rPr>
              <w:t>N</w:t>
            </w:r>
          </w:p>
        </w:tc>
        <w:tc>
          <w:tcPr>
            <w:tcW w:w="146"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olor w:val="000000"/>
              </w:rPr>
            </w:pPr>
            <w:r>
              <w:rPr>
                <w:rFonts w:ascii="Calibri" w:hAnsi="Calibri"/>
                <w:color w:val="000000"/>
              </w:rPr>
              <w:t>P,C,S</w:t>
            </w:r>
          </w:p>
        </w:tc>
        <w:tc>
          <w:tcPr>
            <w:tcW w:w="773"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olor w:val="000000"/>
              </w:rPr>
            </w:pPr>
            <w:r>
              <w:rPr>
                <w:rFonts w:ascii="Calibri" w:hAnsi="Calibri"/>
                <w:color w:val="000000"/>
              </w:rPr>
              <w:t>Infection, treatment and transmission probabilities</w:t>
            </w:r>
          </w:p>
        </w:tc>
        <w:tc>
          <w:tcPr>
            <w:tcW w:w="650"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olor w:val="000000"/>
              </w:rPr>
            </w:pPr>
            <w:r>
              <w:rPr>
                <w:rFonts w:ascii="Calibri" w:hAnsi="Calibri"/>
                <w:color w:val="000000"/>
              </w:rPr>
              <w:t>Rate at which population infected only with PfHRP2-deleted mutants</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olor w:val="000000"/>
              </w:rPr>
            </w:pPr>
            <w:r>
              <w:rPr>
                <w:rFonts w:ascii="Calibri" w:hAnsi="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olor w:val="000000"/>
              </w:rPr>
            </w:pPr>
            <w:r>
              <w:rPr>
                <w:rFonts w:ascii="Calibri" w:hAnsi="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olor w:val="000000"/>
              </w:rPr>
            </w:pPr>
            <w:r>
              <w:rPr>
                <w:rFonts w:ascii="Calibri" w:hAnsi="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olor w:val="000000"/>
              </w:rPr>
            </w:pPr>
            <w:r>
              <w:rPr>
                <w:rFonts w:ascii="Calibri" w:hAnsi="Calibri"/>
                <w:color w:val="000000"/>
              </w:rPr>
              <w:t>N</w:t>
            </w:r>
          </w:p>
        </w:tc>
        <w:tc>
          <w:tcPr>
            <w:tcW w:w="621"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PfHRP2 dynamics, immunity</w:t>
            </w:r>
          </w:p>
        </w:tc>
        <w:tc>
          <w:tcPr>
            <w:tcW w:w="150"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pPr>
            <w:r>
              <w:t>N</w:t>
            </w:r>
          </w:p>
        </w:tc>
        <w:tc>
          <w:tcPr>
            <w:tcW w:w="150" w:type="pct"/>
            <w:tcBorders>
              <w:top w:val="single" w:sz="4" w:space="0" w:color="auto"/>
              <w:left w:val="nil"/>
              <w:bottom w:val="single" w:sz="4" w:space="0" w:color="auto"/>
              <w:right w:val="nil"/>
            </w:tcBorders>
            <w:vAlign w:val="center"/>
          </w:tcPr>
          <w:p w:rsidR="009D01D3" w:rsidRDefault="009D01D3" w:rsidP="0020168A">
            <w:pPr>
              <w:jc w:val="center"/>
            </w:pPr>
            <w:r>
              <w:fldChar w:fldCharType="begin" w:fldLock="1"/>
            </w:r>
            <w:r>
              <w:instrText>ADDIN CSL_CITATION { "citationItems" : [ { "id" : "ITEM-1", "itemData" : { "DOI" : "10.7554/eLife.25008", "ISSN" : "2050-084X", "PMID" : "28837020", "abstract" : "Rapid diagnostic tests (RDTs) have transformed malaria diagnosis. The most prevalent P. falciparum RDTs detect histidine-rich protein 2 (PfHRP2). However, pfhrp2 gene deletions yielding false-negative RDTs, first reported in South America in 2010, have been confirmed in Africa and Asia. We developed a mathematical model to explore the potential for RDT-led diagnosis to drive selection of pfhrp2 -deleted parasites. Low malaria prevalence and high frequencies of people seeking treatment resulted in the greatest selection pressure. Calibrating our model against confirmed pfhrp2 -deletions in the Democratic Republic of Congo, we estimate a starting frequency of 6% pfhrp2 -deletion prior to RDT introduction. Furthermore, the patterns observed necessitate a degree of selection driven by the introduction of PfHRP2-based RDT-guided treatment. Combining this with parasite prevalence and treatment coverage estimates, we map the model-predicted spread of pfhrp2 -deletion, and identify the geographic regions in which surveillance for pfhrp2 -deletion should be prioritised.", "author" : [ { "dropping-particle" : "", "family" : "Watson", "given" : "Oliver John", "non-dropping-particle" : "", "parse-names" : false, "suffix" : "" }, { "dropping-particle" : "", "family" : "Slater", "given" : "Hannah C", "non-dropping-particle" : "", "parse-names" : false, "suffix" : "" }, { "dropping-particle" : "", "family" : "Verity", "given" : "Robert", "non-dropping-particle" : "", "parse-names" : false, "suffix" : "" }, { "dropping-particle" : "", "family" : "Parr", "given" : "Jonathan B", "non-dropping-particle" : "", "parse-names" : false, "suffix" : "" }, { "dropping-particle" : "", "family" : "Mwandagalirwa", "given" : "Melchior K", "non-dropping-particle" : "", "parse-names" : false, "suffix" : "" }, { "dropping-particle" : "", "family" : "Tshefu", "given" : "Antoinette", "non-dropping-particle" : "", "parse-names" : false, "suffix" : "" }, { "dropping-particle" : "", "family" : "Meshnick", "given" : "Steven R", "non-dropping-particle" : "", "parse-names" : false, "suffix" : "" }, { "dropping-particle" : "", "family" : "Ghani", "given" : "Azra C", "non-dropping-particle" : "", "parse-names" : false, "suffix" : "" } ], "container-title" : "eLife", "id" : "ITEM-1", "issued" : { "date-parts" : [ [ "2017" ] ] }, "page" : "e25008", "title" : "Modelling the drivers of the spread of Plasmodium falciparum hrp2 gene deletions in sub-Saharan Africa", "type" : "article-journal", "volume" : "6" }, "uris" : [ "http://www.mendeley.com/documents/?uuid=33e58c2f-c5e9-444a-be9b-86c0e46b1310" ] } ], "mendeley" : { "formattedCitation" : "(57)", "plainTextFormattedCitation" : "(57)", "previouslyFormattedCitation" : "(57)" }, "properties" : { "noteIndex" : 0 }, "schema" : "https://github.com/citation-style-language/schema/raw/master/csl-citation.json" }</w:instrText>
            </w:r>
            <w:r>
              <w:fldChar w:fldCharType="separate"/>
            </w:r>
            <w:r w:rsidRPr="009D01D3">
              <w:rPr>
                <w:noProof/>
              </w:rPr>
              <w:t>(57)</w:t>
            </w:r>
            <w:r>
              <w:fldChar w:fldCharType="end"/>
            </w:r>
            <w:r>
              <w:t xml:space="preserve"> </w:t>
            </w:r>
          </w:p>
        </w:tc>
      </w:tr>
      <w:tr w:rsidR="009D01D3" w:rsidRPr="00E358A3" w:rsidTr="0020168A">
        <w:trPr>
          <w:trHeight w:val="1164"/>
        </w:trPr>
        <w:tc>
          <w:tcPr>
            <w:tcW w:w="620" w:type="pct"/>
            <w:gridSpan w:val="2"/>
            <w:tcBorders>
              <w:top w:val="nil"/>
              <w:left w:val="nil"/>
              <w:bottom w:val="single" w:sz="4" w:space="0" w:color="auto"/>
              <w:right w:val="single" w:sz="12" w:space="0" w:color="auto"/>
            </w:tcBorders>
            <w:shd w:val="clear" w:color="auto" w:fill="auto"/>
            <w:vAlign w:val="center"/>
          </w:tcPr>
          <w:p w:rsidR="009D01D3" w:rsidRPr="00E358A3" w:rsidRDefault="009D01D3" w:rsidP="0020168A">
            <w:pPr>
              <w:rPr>
                <w:rFonts w:ascii="Calibri" w:hAnsi="Calibri"/>
                <w:color w:val="000000"/>
              </w:rPr>
            </w:pPr>
            <w:r w:rsidRPr="00914806">
              <w:rPr>
                <w:rFonts w:ascii="Calibri" w:hAnsi="Calibri"/>
                <w:color w:val="000000"/>
              </w:rPr>
              <w:t>Churcher (2010)</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olor w:val="000000"/>
              </w:rPr>
              <w:t>Assess the impact of vector parasite densities on transmission-blocking interventions (TBIs)</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olor w:val="000000"/>
              </w:rPr>
              <w:t>M</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pPr>
            <w:r w:rsidRPr="00E358A3">
              <w:rPr>
                <w:rFonts w:ascii="Calibri" w:hAnsi="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olor w:val="000000"/>
              </w:rPr>
              <w:t>N</w:t>
            </w:r>
          </w:p>
        </w:tc>
        <w:tc>
          <w:tcPr>
            <w:tcW w:w="146"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olor w:val="000000"/>
              </w:rPr>
              <w:t>P</w:t>
            </w:r>
          </w:p>
        </w:tc>
        <w:tc>
          <w:tcPr>
            <w:tcW w:w="773"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olor w:val="000000"/>
              </w:rPr>
              <w:t>Vector parasite density parameters, HBR</w:t>
            </w:r>
          </w:p>
        </w:tc>
        <w:tc>
          <w:tcPr>
            <w:tcW w:w="6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pPr>
            <w:r w:rsidRPr="00E358A3">
              <w:rPr>
                <w:rFonts w:ascii="Calibri" w:hAnsi="Calibri"/>
                <w:color w:val="000000"/>
              </w:rPr>
              <w:t>Prevalence of infectious mosquitoes, density of salivary gland sporozoites</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olor w:val="000000"/>
              </w:rPr>
              <w:t>N</w:t>
            </w:r>
          </w:p>
        </w:tc>
        <w:tc>
          <w:tcPr>
            <w:tcW w:w="621"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pPr>
            <w:r w:rsidRPr="00E358A3">
              <w:rPr>
                <w:rFonts w:ascii="Calibri" w:hAnsi="Calibri"/>
                <w:color w:val="000000"/>
              </w:rPr>
              <w:t>Mosquito parasite densities</w:t>
            </w:r>
          </w:p>
        </w:tc>
        <w:tc>
          <w:tcPr>
            <w:tcW w:w="1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pPr>
            <w: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pPr>
            <w:r w:rsidRPr="00E358A3">
              <w:fldChar w:fldCharType="begin" w:fldLock="1"/>
            </w:r>
            <w:r>
              <w:instrText>ADDIN CSL_CITATION { "citationItems" : [ { "id" : "ITEM-1", "itemData" : { "DOI" : "10.1186/1475-2875-9-311", "ISBN" : "1475-2875 (Electronic) 1475-2875 (Linking)", "ISSN" : "1475-2875", "PMID" : "21050427", "abstract" : "BACKGROUND: The combined effects of multiple density-dependent, regulatory processes may have an important impact on the growth and stability of a population. In a malaria model system, it has been shown that the progression of Plasmodium berghei through Anopheles stephensi and the survival of the mosquito both depend non-linearly on parasite density. These processes regulating the development of the malaria parasite within the mosquito may influence the success of transmission-blocking interventions (TBIs) currently under development. METHODS: An individual-based stochastic mathematical model is used to investigate the combined impact of these multiple regulatory processes and examine how TBIs, which target different parasite life-stages within the mosquito, may influence overall parasite transmission. RESULTS: The best parasite molecular targets will vary between different epidemiological settings. Interventions that reduce ookinete density beneath a threshold level are likely to have auxiliary benefits, as transmission would be further reduced by density-dependent processes that restrict sporogonic development at low parasite densities. TBIs which reduce parasite density but fail to clear the parasite could cause a modest increase in transmission by increasing the number of infectious bites made by a mosquito during its lifetime whilst failing to sufficiently reduce its infectivity. Interventions with a higher variance in efficacy will therefore tend to cause a greater reduction in overall transmission than a TBI with a more uniform effectiveness. Care should be taken when interpreting these results as parasite intensity values in natural parasite-vector combinations of human malaria are likely to be significantly lower than those in this model system. CONCLUSIONS: A greater understanding of the development of the malaria parasite within the mosquito is required to fully evaluate the impact of TBIs. If parasite-induced vector mortality influenced the population dynamics of Plasmodium species infecting humans in malaria endemic regions, it would be important to quantify the variability and duration of TBI efficacy to ensure that community benefits of control measures are not overestimated.", "author" : [ { "dropping-particle" : "", "family" : "Churcher", "given" : "Thomas S", "non-dropping-particle" : "", "parse-names" : false, "suffix" : "" }, { "dropping-particle" : "", "family" : "Dawes", "given" : "Emma J", "non-dropping-particle" : "", "parse-names" : false, "suffix" : "" }, { "dropping-particle" : "", "family" : "Sinden", "given" : "Robert E", "non-dropping-particle" : "", "parse-names" : false, "suffix" : "" }, { "dropping-particle" : "", "family" : "Christophides", "given" : "George K", "non-dropping-particle" : "", "parse-names" : false, "suffix" : "" }, { "dropping-particle" : "", "family" : "Koella", "given" : "Jacob C", "non-dropping-particle" : "", "parse-names" : false, "suffix" : "" }, { "dropping-particle" : "", "family" : "Bas\u00e1\u00f1ez", "given" : "Mar\u00eda-Gloria", "non-dropping-particle" : "", "parse-names" : false, "suffix" : "" } ], "container-title" : "Malaria Journal", "id" : "ITEM-1", "issue" : "1", "issued" : { "date-parts" : [ [ "2010" ] ] }, "page" : "311", "title" : "Population biology of malaria within the mosquito: density-dependent processes and potential implications for transmission-blocking interventions", "type" : "article-journal", "volume" : "9" }, "uris" : [ "http://www.mendeley.com/documents/?uuid=794ecdcb-ebbd-4efd-bc4a-b67e9c94ace6" ] } ], "mendeley" : { "formattedCitation" : "(58)", "plainTextFormattedCitation" : "(58)", "previouslyFormattedCitation" : "(58)" }, "properties" : { "noteIndex" : 0 }, "schema" : "https://github.com/citation-style-language/schema/raw/master/csl-citation.json" }</w:instrText>
            </w:r>
            <w:r w:rsidRPr="00E358A3">
              <w:fldChar w:fldCharType="separate"/>
            </w:r>
            <w:r w:rsidRPr="009D01D3">
              <w:rPr>
                <w:noProof/>
              </w:rPr>
              <w:t>(58)</w:t>
            </w:r>
            <w:r w:rsidRPr="00E358A3">
              <w:fldChar w:fldCharType="end"/>
            </w:r>
          </w:p>
        </w:tc>
      </w:tr>
      <w:tr w:rsidR="009D01D3" w:rsidRPr="00E358A3" w:rsidTr="0020168A">
        <w:trPr>
          <w:trHeight w:val="32"/>
        </w:trPr>
        <w:tc>
          <w:tcPr>
            <w:tcW w:w="620" w:type="pct"/>
            <w:gridSpan w:val="2"/>
            <w:tcBorders>
              <w:top w:val="single" w:sz="4" w:space="0" w:color="auto"/>
              <w:left w:val="nil"/>
              <w:right w:val="single" w:sz="12" w:space="0" w:color="auto"/>
            </w:tcBorders>
            <w:shd w:val="clear" w:color="auto" w:fill="auto"/>
            <w:vAlign w:val="bottom"/>
          </w:tcPr>
          <w:p w:rsidR="009D01D3" w:rsidRPr="00E358A3" w:rsidRDefault="009D01D3" w:rsidP="0020168A">
            <w:pPr>
              <w:rPr>
                <w:rFonts w:ascii="Calibri" w:hAnsi="Calibri"/>
                <w:color w:val="000000"/>
              </w:rPr>
            </w:pPr>
            <w:r w:rsidRPr="00E358A3">
              <w:rPr>
                <w:rFonts w:ascii="Calibri" w:hAnsi="Calibri"/>
                <w:color w:val="000000"/>
              </w:rPr>
              <w:t>Gatton (2004)</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p>
        </w:tc>
        <w:tc>
          <w:tcPr>
            <w:tcW w:w="146"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p>
        </w:tc>
        <w:tc>
          <w:tcPr>
            <w:tcW w:w="773"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p>
        </w:tc>
        <w:tc>
          <w:tcPr>
            <w:tcW w:w="6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p>
        </w:tc>
        <w:tc>
          <w:tcPr>
            <w:tcW w:w="621"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p>
        </w:tc>
        <w:tc>
          <w:tcPr>
            <w:tcW w:w="1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pP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pPr>
            <w:r w:rsidRPr="00E358A3">
              <w:fldChar w:fldCharType="begin" w:fldLock="1"/>
            </w:r>
            <w:r>
              <w:instrText>ADDIN CSL_CITATION { "citationItems" : [ { "id" : "ITEM-1", "itemData" : { "ISSN" : "1469-8161", "abstract" : "Mathematical models of the in-host dynamics of malaria infections provide a valuable tool to explore aspects of the host\u2013parasite interaction that are not possible to investigate experimentally. This paper presents predictions of several important parameter values for 2 parasite strains/groups: parasite PfEMP1 switching rates, dynamics of host anti-PfEMP1 antibodies and parameters related to specific and non-specific host immune responses. A stochastic simulation model of the in-host dynamics of Plasmodium falciparum infections in na\u00efve hosts was used to make these predictions. This model incorporates a novel process to simulate antigenic variation by the parasite, and specific and non-specific immune responses by the host. Comparison of model output to a range of published statistics indicated that the model is capable of reproducing the features of clinical P. falciparum infections, including the characteristic recrudescent behaviour. Using the model, we explored the hypothesized switching mechanism of a fast overall rate of antigenic variation early in an infection and found that it is compatible with chronic infections when the var genes are split into 2 groups; fast and slow switching.", "author" : [ { "dropping-particle" : "", "family" : "Gatton", "given" : "M L", "non-dropping-particle" : "", "parse-names" : false, "suffix" : "" }, { "dropping-particle" : "", "family" : "Cheng", "given" : "Q", "non-dropping-particle" : "", "parse-names" : false, "suffix" : "" } ], "container-title" : "Parasitology", "id" : "ITEM-1", "issue" : "4", "issued" : { "date-parts" : [ [ "2004" ] ] }, "page" : "367-376", "publisher" : "Cambridge University Press", "title" : "Investigating antigenic variation and other parasite\u2013host interactions in Plasmodium falciparum infections in na\u00efve hosts", "type" : "article-journal", "volume" : "128" }, "uris" : [ "http://www.mendeley.com/documents/?uuid=74235084-0874-4961-8fae-c56e425abfde" ] } ], "mendeley" : { "formattedCitation" : "(59)", "plainTextFormattedCitation" : "(59)", "previouslyFormattedCitation" : "(59)" }, "properties" : { "noteIndex" : 0 }, "schema" : "https://github.com/citation-style-language/schema/raw/master/csl-citation.json" }</w:instrText>
            </w:r>
            <w:r w:rsidRPr="00E358A3">
              <w:fldChar w:fldCharType="separate"/>
            </w:r>
            <w:r w:rsidRPr="009D01D3">
              <w:rPr>
                <w:noProof/>
              </w:rPr>
              <w:t>(59)</w:t>
            </w:r>
            <w:r w:rsidRPr="00E358A3">
              <w:fldChar w:fldCharType="end"/>
            </w:r>
          </w:p>
        </w:tc>
      </w:tr>
      <w:tr w:rsidR="009D01D3" w:rsidRPr="00E358A3" w:rsidTr="0020168A">
        <w:trPr>
          <w:trHeight w:val="49"/>
        </w:trPr>
        <w:tc>
          <w:tcPr>
            <w:tcW w:w="260" w:type="pct"/>
            <w:tcBorders>
              <w:top w:val="nil"/>
              <w:left w:val="nil"/>
              <w:right w:val="single" w:sz="4" w:space="0" w:color="auto"/>
            </w:tcBorders>
            <w:shd w:val="clear" w:color="auto" w:fill="auto"/>
            <w:vAlign w:val="center"/>
          </w:tcPr>
          <w:p w:rsidR="009D01D3" w:rsidRPr="00E358A3" w:rsidRDefault="009D01D3" w:rsidP="0020168A">
            <w:pPr>
              <w:rPr>
                <w:rFonts w:ascii="Calibri" w:hAnsi="Calibri"/>
                <w:color w:val="000000"/>
              </w:rPr>
            </w:pPr>
          </w:p>
        </w:tc>
        <w:tc>
          <w:tcPr>
            <w:tcW w:w="360" w:type="pct"/>
            <w:tcBorders>
              <w:left w:val="single" w:sz="4" w:space="0" w:color="auto"/>
              <w:right w:val="single" w:sz="12" w:space="0" w:color="auto"/>
            </w:tcBorders>
            <w:shd w:val="clear" w:color="auto" w:fill="auto"/>
            <w:vAlign w:val="center"/>
          </w:tcPr>
          <w:p w:rsidR="009D01D3" w:rsidRPr="00E358A3" w:rsidRDefault="009D01D3" w:rsidP="0020168A">
            <w:pPr>
              <w:jc w:val="right"/>
              <w:rPr>
                <w:rFonts w:ascii="Calibri" w:hAnsi="Calibri"/>
                <w:color w:val="000000"/>
              </w:rPr>
            </w:pPr>
            <w:r w:rsidRPr="00914806">
              <w:rPr>
                <w:rFonts w:ascii="Calibri" w:hAnsi="Calibri"/>
                <w:color w:val="000000"/>
              </w:rPr>
              <w:t>Gatton (2010)</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olor w:val="000000"/>
              </w:rPr>
              <w:t>Compare interventions in low to moderate transmission settings</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olor w:val="000000"/>
              </w:rPr>
              <w:t>H,</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pPr>
            <w:r w:rsidRPr="00E358A3">
              <w:rPr>
                <w:rFonts w:ascii="Calibri" w:hAnsi="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olor w:val="000000"/>
              </w:rPr>
              <w:t>Y</w:t>
            </w:r>
          </w:p>
        </w:tc>
        <w:tc>
          <w:tcPr>
            <w:tcW w:w="146"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olor w:val="000000"/>
              </w:rPr>
              <w:t>P,V,S</w:t>
            </w:r>
          </w:p>
        </w:tc>
        <w:tc>
          <w:tcPr>
            <w:tcW w:w="773"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sidRPr="00E358A3">
              <w:rPr>
                <w:rFonts w:ascii="Calibri" w:hAnsi="Calibri"/>
                <w:color w:val="000000"/>
              </w:rPr>
              <w:t>EIR, treatment coverage, bednet coverage, parasite and mosquito-related parameters</w:t>
            </w:r>
          </w:p>
        </w:tc>
        <w:tc>
          <w:tcPr>
            <w:tcW w:w="6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pPr>
            <w:r w:rsidRPr="00E358A3">
              <w:rPr>
                <w:rFonts w:ascii="Calibri" w:hAnsi="Calibri"/>
                <w:color w:val="000000"/>
              </w:rPr>
              <w:t>Interruption of transmission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olor w:val="000000"/>
              </w:rPr>
              <w:t>N</w:t>
            </w:r>
          </w:p>
        </w:tc>
        <w:tc>
          <w:tcPr>
            <w:tcW w:w="621"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pPr>
            <w:r w:rsidRPr="00E358A3">
              <w:rPr>
                <w:rFonts w:ascii="Calibri" w:hAnsi="Calibri"/>
                <w:color w:val="000000"/>
              </w:rPr>
              <w:t xml:space="preserve">Genetic variation of </w:t>
            </w:r>
            <w:r w:rsidRPr="00E358A3">
              <w:rPr>
                <w:rFonts w:ascii="Calibri" w:hAnsi="Calibri"/>
                <w:i/>
                <w:iCs/>
                <w:color w:val="000000"/>
              </w:rPr>
              <w:t>P. falciparum</w:t>
            </w:r>
            <w:r w:rsidRPr="00E358A3">
              <w:rPr>
                <w:rFonts w:ascii="Calibri" w:hAnsi="Calibri"/>
                <w:color w:val="000000"/>
              </w:rPr>
              <w:t>, liver stage parasite development</w:t>
            </w:r>
          </w:p>
        </w:tc>
        <w:tc>
          <w:tcPr>
            <w:tcW w:w="1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pPr>
            <w: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pPr>
            <w:r w:rsidRPr="00E358A3">
              <w:fldChar w:fldCharType="begin" w:fldLock="1"/>
            </w:r>
            <w:r>
              <w:instrText>ADDIN CSL_CITATION { "citationItems" : [ { "id" : "ITEM-1", "itemData" : { "DOI" : "10.1371/journal.pone.0015149", "ISBN" : "1932-6203 (Electronic)\\r1932-6203 (Linking)", "ISSN" : "19326203", "PMID" : "21152042", "abstract" : "Malaria has been eliminated from over 40 countries with an additional 39 currently planning for, or committed to, elimination. Information on the likely impact of available interventions, and the required time, is urgently needed to help plan resource allocation. Mathematical modelling has been used to investigate the impact of various interventions; the strength of the conclusions is boosted when several models with differing formulation produce similar data. Here we predict by using an individual-based stochastic simulation model of seasonal Plasmodium falciparum transmission that transmission can be interrupted and parasite reintroductions controlled in villages of 1,000 individuals where the entomological inoculation rate is &lt;7 infectious bites per person per year using chemotherapy and bed net strategies. Above this transmission intensity bed nets and symptomatic treatment alone were not sufficient to interrupt transmission and control the importation of malaria for at least 150 days. Our model results suggest that 1) stochastic events impact the likelihood of successfully interrupting transmission with large variability in the times required, 2) the relative reduction in morbidity caused by the interventions were age-group specific, changing over time, and 3) the post-intervention changes in morbidity were larger than the corresponding impact on transmission. These results generally agree with the conclusions from previously published models. However the model also predicted changes in parasite population structure as a result of improved treatment of symptomatic individuals; the survival probability of introduced parasites reduced leading to an increase in the prevalence of sub-patent infections in semi-immune individuals. This novel finding requires further investigation in the field because, if confirmed, such a change would have a negative impact on attempts to eliminate the disease from areas of moderate transmission.", "author" : [ { "dropping-particle" : "", "family" : "Gatton", "given" : "Michelle L", "non-dropping-particle" : "", "parse-names" : false, "suffix" : "" }, { "dropping-particle" : "", "family" : "Cheng", "given" : "Qin", "non-dropping-particle" : "", "parse-names" : false, "suffix" : "" } ], "container-title" : "PLoS ONE", "id" : "ITEM-1", "issue" : "12", "issued" : { "date-parts" : [ [ "2010" ] ] }, "page" : "e15149", "title" : "Interrupting malaria transmission: Quantifying the impact of interventions in regions of low to moderate transmission", "type" : "article-journal", "volume" : "5" }, "uris" : [ "http://www.mendeley.com/documents/?uuid=fcd48a3c-939e-4009-8683-c16248b698f2" ] } ], "mendeley" : { "formattedCitation" : "(60)", "plainTextFormattedCitation" : "(60)", "previouslyFormattedCitation" : "(60)" }, "properties" : { "noteIndex" : 0 }, "schema" : "https://github.com/citation-style-language/schema/raw/master/csl-citation.json" }</w:instrText>
            </w:r>
            <w:r w:rsidRPr="00E358A3">
              <w:fldChar w:fldCharType="separate"/>
            </w:r>
            <w:r w:rsidRPr="009D01D3">
              <w:rPr>
                <w:noProof/>
              </w:rPr>
              <w:t>(60)</w:t>
            </w:r>
            <w:r w:rsidRPr="00E358A3">
              <w:fldChar w:fldCharType="end"/>
            </w:r>
          </w:p>
        </w:tc>
      </w:tr>
      <w:tr w:rsidR="009D01D3" w:rsidRPr="00E358A3" w:rsidTr="0020168A">
        <w:trPr>
          <w:trHeight w:val="49"/>
        </w:trPr>
        <w:tc>
          <w:tcPr>
            <w:tcW w:w="260" w:type="pct"/>
            <w:tcBorders>
              <w:top w:val="nil"/>
              <w:left w:val="nil"/>
              <w:bottom w:val="single" w:sz="4" w:space="0" w:color="auto"/>
              <w:right w:val="single" w:sz="4" w:space="0" w:color="auto"/>
            </w:tcBorders>
            <w:shd w:val="clear" w:color="auto" w:fill="auto"/>
            <w:vAlign w:val="center"/>
          </w:tcPr>
          <w:p w:rsidR="009D01D3" w:rsidRPr="00E358A3" w:rsidRDefault="009D01D3" w:rsidP="0020168A">
            <w:pPr>
              <w:rPr>
                <w:rFonts w:ascii="Calibri" w:hAnsi="Calibri"/>
                <w:color w:val="000000"/>
              </w:rPr>
            </w:pPr>
          </w:p>
        </w:tc>
        <w:tc>
          <w:tcPr>
            <w:tcW w:w="360" w:type="pct"/>
            <w:tcBorders>
              <w:left w:val="single" w:sz="4" w:space="0" w:color="auto"/>
              <w:bottom w:val="single" w:sz="4" w:space="0" w:color="auto"/>
              <w:right w:val="single" w:sz="12" w:space="0" w:color="auto"/>
            </w:tcBorders>
            <w:shd w:val="clear" w:color="auto" w:fill="auto"/>
            <w:vAlign w:val="center"/>
          </w:tcPr>
          <w:p w:rsidR="009D01D3" w:rsidRPr="00E358A3" w:rsidRDefault="009D01D3" w:rsidP="0020168A">
            <w:pPr>
              <w:jc w:val="right"/>
              <w:rPr>
                <w:rFonts w:ascii="Calibri" w:hAnsi="Calibri"/>
                <w:color w:val="000000"/>
              </w:rPr>
            </w:pPr>
            <w:r>
              <w:rPr>
                <w:rFonts w:ascii="Calibri" w:hAnsi="Calibri"/>
                <w:color w:val="000000"/>
              </w:rPr>
              <w:t>Gatton (2017)</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Investigate impact of PfHRP2 presence in parasite populations on malaria-based outcomes</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H</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N</w:t>
            </w:r>
          </w:p>
        </w:tc>
        <w:tc>
          <w:tcPr>
            <w:tcW w:w="146"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P</w:t>
            </w:r>
          </w:p>
        </w:tc>
        <w:tc>
          <w:tcPr>
            <w:tcW w:w="773"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Parasite PfHRP status, rapid diagnostic test (RDT) type, vector survival characteristics</w:t>
            </w:r>
          </w:p>
        </w:tc>
        <w:tc>
          <w:tcPr>
            <w:tcW w:w="6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EIR, time to extinction for parasite types, RDT positivity %, number of infections by parasite type</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N</w:t>
            </w:r>
          </w:p>
        </w:tc>
        <w:tc>
          <w:tcPr>
            <w:tcW w:w="621"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Pharmacokinetics, parasite PfHRP2 status</w:t>
            </w:r>
          </w:p>
        </w:tc>
        <w:tc>
          <w:tcPr>
            <w:tcW w:w="1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pPr>
            <w: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pPr>
            <w:r>
              <w:fldChar w:fldCharType="begin" w:fldLock="1"/>
            </w:r>
            <w:r>
              <w:instrText>ADDIN CSL_CITATION { "citationItems" : [ { "id" : "ITEM-1", "itemData" : { "DOI" : "10.1093/infdis/jix094", "ISSN" : "15376613", "PMID" : "28329034", "abstract" : "Background. Rapid diagnostic tests (RDTs) are an important tool for malaria diagnosis, with most using antibodies against Plasmodium falciparum histidine-rich protein 2 (PfHRP2). Reports of P. falciparum lacking this protein are increasing, creating a problem for diagnosis of falciparum malaria in locations without quality-assured microscopy. Methods. An agent-based stochastic simulation model of P. falciparum transmission was used to investigate the selective pressure exerted on parasite populations by use of RDTs for diagnosis of symptomatic cases. The model considered parasites with normal, reduced, or no PfHRP2, and diagnosis using PfHRP2-only or combination RDTs. Results. Use of PfHRP2-only RDTs in communities where a PfHRP2-negative parasite was introduced during the simulation resulted in transmission of the parasite in &gt;80% of cases, compared with &lt;30% for normal or PfHRP2-reduced parasites. Using PfHRP2-only RDTs in the presence of PfHRP2-negative parasites caused an increase in prevalence, reduced RDT positivity within symptomatic patients but no change in the number of antimalarial treatments due to false-negative RDT results. Diagnosis with PfHRP2/Pf-Plasmodium lactate dehydrogenase combination RDTs did not select for PfHRP2-negative parasites. Conclusions. The use of PfHRP2-only RDTs is sufficient to select P. falciparum parasites lacking this protein, thus posing a significant public health problem, which could be moderated by using PfHRP2/Pf-Plasmodium lactate dehydrogenase combination RDTs.", "author" : [ { "dropping-particle" : "", "family" : "Gatton", "given" : "Michelle L.", "non-dropping-particle" : "", "parse-names" : false, "suffix" : "" }, { "dropping-particle" : "", "family" : "Dunn", "given" : "Jessica", "non-dropping-particle" : "", "parse-names" : false, "suffix" : "" }, { "dropping-particle" : "", "family" : "Chaudhry", "given" : "Alisha", "non-dropping-particle" : "", "parse-names" : false, "suffix" : "" }, { "dropping-particle" : "", "family" : "Ciketic", "given" : "Sadmir", "non-dropping-particle" : "", "parse-names" : false, "suffix" : "" }, { "dropping-particle" : "", "family" : "Cunningham", "given" : "Jane", "non-dropping-particle" : "", "parse-names" : false, "suffix" : "" }, { "dropping-particle" : "", "family" : "Cheng", "given" : "Qin", "non-dropping-particle" : "", "parse-names" : false, "suffix" : "" } ], "container-title" : "Journal of Infectious Diseases", "id" : "ITEM-1", "issue" : "7", "issued" : { "date-parts" : [ [ "2017", "4", "1" ] ] }, "page" : "1156-1166", "publisher" : "Oxford University Press", "title" : "Implications of parasites lacking plasmodium falciparum histidine-rich protein 2 on Malaria morbidity and control when rapid diagnostic tests are used for diagnosis", "type" : "article-journal", "volume" : "215" }, "uris" : [ "http://www.mendeley.com/documents/?uuid=60b6f662-c413-3b5e-b136-467db127b12d" ] } ], "mendeley" : { "formattedCitation" : "(61)", "plainTextFormattedCitation" : "(61)", "previouslyFormattedCitation" : "(61)" }, "properties" : { "noteIndex" : 0 }, "schema" : "https://github.com/citation-style-language/schema/raw/master/csl-citation.json" }</w:instrText>
            </w:r>
            <w:r>
              <w:fldChar w:fldCharType="separate"/>
            </w:r>
            <w:r w:rsidRPr="009D01D3">
              <w:rPr>
                <w:noProof/>
              </w:rPr>
              <w:t>(61)</w:t>
            </w:r>
            <w:r>
              <w:fldChar w:fldCharType="end"/>
            </w:r>
          </w:p>
        </w:tc>
      </w:tr>
      <w:tr w:rsidR="009D01D3" w:rsidRPr="00E358A3" w:rsidTr="0020168A">
        <w:trPr>
          <w:trHeight w:val="269"/>
        </w:trPr>
        <w:tc>
          <w:tcPr>
            <w:tcW w:w="620" w:type="pct"/>
            <w:gridSpan w:val="2"/>
            <w:tcBorders>
              <w:top w:val="single" w:sz="4" w:space="0" w:color="auto"/>
              <w:left w:val="nil"/>
              <w:right w:val="single" w:sz="12" w:space="0" w:color="auto"/>
            </w:tcBorders>
            <w:shd w:val="clear" w:color="auto" w:fill="auto"/>
            <w:vAlign w:val="center"/>
          </w:tcPr>
          <w:p w:rsidR="009D01D3" w:rsidRPr="00E358A3" w:rsidRDefault="009D01D3" w:rsidP="0020168A">
            <w:pPr>
              <w:rPr>
                <w:rFonts w:ascii="Calibri" w:hAnsi="Calibri" w:cs="Calibri"/>
                <w:color w:val="000000"/>
              </w:rPr>
            </w:pPr>
            <w:r w:rsidRPr="00C45088">
              <w:rPr>
                <w:rFonts w:ascii="Calibri" w:hAnsi="Calibri"/>
                <w:color w:val="000000"/>
              </w:rPr>
              <w:t>Zhou (2010)</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46"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773"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6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621"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pPr>
          </w:p>
        </w:tc>
        <w:tc>
          <w:tcPr>
            <w:tcW w:w="1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pP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pPr>
            <w:r>
              <w:fldChar w:fldCharType="begin" w:fldLock="1"/>
            </w:r>
            <w:r>
              <w:instrText>ADDIN CSL_CITATION { "citationItems" : [ { "id" : "ITEM-1", "itemData" : { "ISBN" : "9781617387029", "abstract" : "Anopheles gambiae is the primary mosquito species that serves as a vector for the transmission of the Plasmodium fal- ciparum malaria parasite among humans in malaria endemic areas. This paper introduces an agent-based model represent- ing the Anopheles gambiae mosquito life cycle and its C++ implementation calledAGiLESim. This model explicitly sim- ulates the eight distinct stages in the Anopheles gambiae mosquito life cycle and handles female and male mosquitoes in the aquatic and adult phases individually. In this paper, we discuss the daily mortality rate and the mosquito development time at each stage, and the oviposition rule that guides egg- laying behavior of gravid adult female mosquito agents. In the implementation section, we illustrate the framework of our C++ software architecture. Finally, sensitivity analysis of the three key parameters, the initial mosquito abundance, the adult daily mortality rate, and the daily temperature, used in our model is given.", "author" : [ { "dropping-particle" : "", "family" : "Zhou", "given" : "Y.", "non-dropping-particle" : "", "parse-names" : false, "suffix" : "" }, { "dropping-particle" : "", "family" : "Arifin", "given" : "S. M.", "non-dropping-particle" : "", "parse-names" : false, "suffix" : "" }, { "dropping-particle" : "", "family" : "Gentile", "given" : "J.", "non-dropping-particle" : "", "parse-names" : false, "suffix" : "" }, { "dropping-particle" : "", "family" : "Kurtz", "given" : "S. J.", "non-dropping-particle" : "", "parse-names" : false, "suffix" : "" }, { "dropping-particle" : "", "family" : "Davis", "given" : "G. J.", "non-dropping-particle" : "", "parse-names" : false, "suffix" : "" }, { "dropping-particle" : "", "family" : "Wendelberger", "given" : "B. A.", "non-dropping-particle" : "", "parse-names" : false, "suffix" : "" } ], "container-title" : "Proceedings of the 2010 Summer Computer Simulation Conference", "id" : "ITEM-1", "issue" : "1", "issued" : { "date-parts" : [ [ "2010" ] ] }, "page" : "201-208", "title" : "An agent-based model of the Anopheles gambiae mosquito life cycle", "type" : "article-journal", "volume" : "1" }, "uris" : [ "http://www.mendeley.com/documents/?uuid=3f5f7f1b-3236-45f7-89c8-9a97cabaee62" ] } ], "mendeley" : { "formattedCitation" : "(62)", "plainTextFormattedCitation" : "(62)", "previouslyFormattedCitation" : "(62)" }, "properties" : { "noteIndex" : 0 }, "schema" : "https://github.com/citation-style-language/schema/raw/master/csl-citation.json" }</w:instrText>
            </w:r>
            <w:r>
              <w:fldChar w:fldCharType="separate"/>
            </w:r>
            <w:r w:rsidRPr="009D01D3">
              <w:rPr>
                <w:noProof/>
              </w:rPr>
              <w:t>(62)</w:t>
            </w:r>
            <w:r>
              <w:fldChar w:fldCharType="end"/>
            </w:r>
          </w:p>
        </w:tc>
      </w:tr>
      <w:tr w:rsidR="009D01D3" w:rsidRPr="00E358A3" w:rsidTr="0020168A">
        <w:trPr>
          <w:trHeight w:val="592"/>
        </w:trPr>
        <w:tc>
          <w:tcPr>
            <w:tcW w:w="260" w:type="pct"/>
            <w:tcBorders>
              <w:left w:val="nil"/>
              <w:right w:val="single" w:sz="4" w:space="0" w:color="auto"/>
            </w:tcBorders>
            <w:shd w:val="clear" w:color="auto" w:fill="auto"/>
            <w:vAlign w:val="center"/>
          </w:tcPr>
          <w:p w:rsidR="009D01D3" w:rsidRPr="00E358A3" w:rsidRDefault="009D01D3" w:rsidP="0020168A"/>
        </w:tc>
        <w:tc>
          <w:tcPr>
            <w:tcW w:w="360" w:type="pct"/>
            <w:tcBorders>
              <w:left w:val="single" w:sz="4" w:space="0" w:color="auto"/>
              <w:right w:val="single" w:sz="12" w:space="0" w:color="auto"/>
            </w:tcBorders>
            <w:shd w:val="clear" w:color="auto" w:fill="auto"/>
            <w:vAlign w:val="center"/>
          </w:tcPr>
          <w:p w:rsidR="009D01D3" w:rsidRPr="00C45088" w:rsidRDefault="009D01D3" w:rsidP="0020168A">
            <w:pPr>
              <w:jc w:val="right"/>
              <w:rPr>
                <w:rFonts w:ascii="Calibri" w:hAnsi="Calibri" w:cs="Calibri"/>
                <w:color w:val="000000"/>
                <w:highlight w:val="green"/>
              </w:rPr>
            </w:pPr>
            <w:r w:rsidRPr="00C45088">
              <w:rPr>
                <w:rFonts w:ascii="Calibri" w:hAnsi="Calibri"/>
                <w:color w:val="000000"/>
              </w:rPr>
              <w:t>Arifin (2011)</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olor w:val="000000"/>
              </w:rPr>
              <w:t xml:space="preserve">Compare output of spatial and non-spatial ABM, investigate impact of environmental </w:t>
            </w:r>
            <w:r w:rsidRPr="00E358A3">
              <w:rPr>
                <w:rFonts w:ascii="Calibri" w:hAnsi="Calibri"/>
                <w:color w:val="000000"/>
              </w:rPr>
              <w:lastRenderedPageBreak/>
              <w:t>heterogeneity on vector abundance</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olor w:val="000000"/>
              </w:rPr>
              <w:lastRenderedPageBreak/>
              <w:t>M</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olor w:val="000000"/>
              </w:rPr>
              <w:t>Y</w:t>
            </w:r>
          </w:p>
        </w:tc>
        <w:tc>
          <w:tcPr>
            <w:tcW w:w="146"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olor w:val="000000"/>
              </w:rPr>
              <w:t>V,S</w:t>
            </w:r>
          </w:p>
        </w:tc>
        <w:tc>
          <w:tcPr>
            <w:tcW w:w="773"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olor w:val="000000"/>
              </w:rPr>
              <w:t>Aquatic habitat density, bloodmeal density</w:t>
            </w:r>
          </w:p>
        </w:tc>
        <w:tc>
          <w:tcPr>
            <w:tcW w:w="6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olor w:val="000000"/>
              </w:rPr>
              <w:t>Vector abundance</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olor w:val="000000"/>
              </w:rPr>
              <w:t>N</w:t>
            </w:r>
          </w:p>
        </w:tc>
        <w:tc>
          <w:tcPr>
            <w:tcW w:w="621"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Potential for age-specific mortality rates for vectors.</w:t>
            </w:r>
          </w:p>
        </w:tc>
        <w:tc>
          <w:tcPr>
            <w:tcW w:w="1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sidRPr="00E358A3">
              <w:fldChar w:fldCharType="begin" w:fldLock="1"/>
            </w:r>
            <w:r>
              <w:instrText>ADDIN CSL_CITATION { "citationItems" : [ { "id" : "ITEM-1", "itemData" : { "DOI" : "10.4018/jats.2011070102", "ISBN" : "1-930638-56-6", "ISSN" : "1943-0744", "abstract" : "In agent-based modeling (ABM), an explicit spatial representation may be required for certain aspects of the system to be modeled realistically. A spatial ABM includes landscapes in which agents seek resources necessary for their survival. The spatial heterogeneity of the underlying landscape plays a crucial role in the resource-seeking process. This study describes a previous agent-based model of malaria, and the modeling of its spatial extension. In both models, all mosquito agents are represented individually. In the new spatial model, the agents also possess explicit spatial information. Within a landscape, adult female mosquito agents search for two types of resources: aquatic habitats (AHs) and bloodmeal locations (BMLs). These resources are specified within different spatial patterns, or landscapes. Model verification between the non-spatial and spatial models by means of docking is examined. Using different landscapes, the authors show that mosquito abundance remains unchanged. With the same overall system capacity, varying the density of resources in a landscape does not affect abundance. When the density of resources is constant, the overall capacity drives the system. For the spatial model, using landscapes with different resource densities of both resource-types, the authors show that spatial heterogeneity influences the mosquito population.", "author" : [ { "dropping-particle" : "", "family" : "Arifin", "given" : "S. M. Niaz", "non-dropping-particle" : "", "parse-names" : false, "suffix" : "" }, { "dropping-particle" : "", "family" : "Davis", "given" : "Gregory J.", "non-dropping-particle" : "", "parse-names" : false, "suffix" : "" }, { "dropping-particle" : "", "family" : "Zhou", "given" : "Ying", "non-dropping-particle" : "", "parse-names" : false, "suffix" : "" } ], "container-title" : "International Journal of Agent Technologies and Systems", "id" : "ITEM-1", "issue" : "3", "issued" : { "date-parts" : [ [ "2011" ] ] }, "page" : "17-34", "title" : "A Spatial Agent-Based Model of Malaria: Model Verification and Effects of Spatial Heterogeneity", "type" : "article-journal", "volume" : "3" }, "uris" : [ "http://www.mendeley.com/documents/?uuid=42ba6d9b-637c-4f53-8d1f-ba098b7334b3" ] } ], "mendeley" : { "formattedCitation" : "(63)", "plainTextFormattedCitation" : "(63)", "previouslyFormattedCitation" : "(63)" }, "properties" : { "noteIndex" : 0 }, "schema" : "https://github.com/citation-style-language/schema/raw/master/csl-citation.json" }</w:instrText>
            </w:r>
            <w:r w:rsidRPr="00E358A3">
              <w:fldChar w:fldCharType="separate"/>
            </w:r>
            <w:r w:rsidRPr="009D01D3">
              <w:rPr>
                <w:noProof/>
              </w:rPr>
              <w:t>(63)</w:t>
            </w:r>
            <w:r w:rsidRPr="00E358A3">
              <w:fldChar w:fldCharType="end"/>
            </w:r>
          </w:p>
        </w:tc>
      </w:tr>
      <w:tr w:rsidR="009D01D3" w:rsidRPr="00E358A3" w:rsidTr="0020168A">
        <w:trPr>
          <w:trHeight w:val="592"/>
        </w:trPr>
        <w:tc>
          <w:tcPr>
            <w:tcW w:w="260" w:type="pct"/>
            <w:tcBorders>
              <w:left w:val="nil"/>
              <w:right w:val="single" w:sz="4" w:space="0" w:color="auto"/>
            </w:tcBorders>
            <w:shd w:val="clear" w:color="auto" w:fill="auto"/>
            <w:vAlign w:val="center"/>
          </w:tcPr>
          <w:p w:rsidR="009D01D3" w:rsidRPr="00E358A3" w:rsidRDefault="009D01D3" w:rsidP="0020168A"/>
        </w:tc>
        <w:tc>
          <w:tcPr>
            <w:tcW w:w="360" w:type="pct"/>
            <w:tcBorders>
              <w:left w:val="single" w:sz="4" w:space="0" w:color="auto"/>
              <w:right w:val="single" w:sz="12" w:space="0" w:color="auto"/>
            </w:tcBorders>
            <w:shd w:val="clear" w:color="auto" w:fill="auto"/>
            <w:vAlign w:val="center"/>
          </w:tcPr>
          <w:p w:rsidR="009D01D3" w:rsidRPr="00E358A3" w:rsidRDefault="009D01D3" w:rsidP="0020168A">
            <w:pPr>
              <w:jc w:val="right"/>
              <w:rPr>
                <w:rFonts w:ascii="Calibri" w:hAnsi="Calibri" w:cs="Calibri"/>
                <w:color w:val="000000"/>
              </w:rPr>
            </w:pPr>
            <w:r w:rsidRPr="00914806">
              <w:rPr>
                <w:rFonts w:ascii="Calibri" w:hAnsi="Calibri" w:cs="Calibri"/>
                <w:color w:val="000000"/>
              </w:rPr>
              <w:t>Arifin (2013)</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Compare results with Gu (2009A, B), assess ITN and LSM on vector populations</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H,M</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46"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Nil</w:t>
            </w:r>
          </w:p>
        </w:tc>
        <w:tc>
          <w:tcPr>
            <w:tcW w:w="773"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Spatial landscape, intervention efficacy parameters</w:t>
            </w:r>
          </w:p>
        </w:tc>
        <w:tc>
          <w:tcPr>
            <w:tcW w:w="6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pPr>
            <w:r w:rsidRPr="00E358A3">
              <w:rPr>
                <w:rFonts w:ascii="Calibri" w:hAnsi="Calibri" w:cs="Calibri"/>
                <w:color w:val="000000"/>
              </w:rPr>
              <w:t>Female adult mosquito abundance</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pPr>
            <w:r w:rsidRPr="00E358A3">
              <w:rPr>
                <w:rFonts w:ascii="Calibri" w:hAnsi="Calibri" w:cs="Calibri"/>
                <w:color w:val="000000"/>
              </w:rPr>
              <w:t>"Docking" technique of cross-validation</w:t>
            </w:r>
          </w:p>
        </w:tc>
        <w:tc>
          <w:tcPr>
            <w:tcW w:w="1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pPr>
            <w:r>
              <w:rPr>
                <w:rFonts w:ascii="Calibri" w:hAnsi="Calibri" w:cs="Calibri"/>
                <w:color w:val="000000"/>
              </w:rP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fldChar w:fldCharType="begin" w:fldLock="1"/>
            </w:r>
            <w:r>
              <w:rPr>
                <w:rFonts w:ascii="Calibri" w:hAnsi="Calibri" w:cs="Calibri"/>
                <w:color w:val="000000"/>
              </w:rPr>
              <w:instrText>ADDIN CSL_CITATION { "citationItems" : [ { "id" : "ITEM-1", "itemData" : { "DOI" : "10.1186/1475-2875-12-290", "abstract" : "Background: Agent-based models (ABMs) have been used to estimate the effects of malaria-control interventions. Early studies have shown the efficacy of larval source management (LSM) and insecticide-treated nets (ITNs) as vector-control interventions, applied both in isolation and in combination. However, the robustness of results can be affected by several important modelling assumptions, including the type of boundary used for landscapes, and the number of replicated simulation runs reported in results. Selection of the ITN coverage definition may also affect the predictive findings. Hence, by replication, independent verification of prior findings of published models bears special importance. Methods: A spatially-explicit entomological ABM of Anopheles gambiae is used to simulate the resource-seeking process of mosquitoes in grid-based landscapes. To explore LSM and replicate results of an earlier LSM study, the original landscapes and scenarios are replicated by using a landscape generator tool, and 1,800 replicated simulations are run using absorbing and non-absorbing boundaries. To explore ITNs and evaluate the relative impacts of the different ITN coverage schemes, the settings of an earlier ITN study are replicated, the coverage schemes are defined and simulated, and 9,000 replicated simulations for three ITN parameters (coverage, repellence and mortality) are run. To evaluate LSM and ITNs in combination, landscapes with varying densities of houses and human populations are generated, and 12,000 simulations are run. Results: General agreement with an earlier LSM study is observed when an absorbing boundary is used. However, using a non-absorbing boundary produces significantly different results, which may be attributed to the unrealistic killing effect of an absorbing boundary. Abundance cannot be completely suppressed by removing aquatic habitats within 300 m of houses. Also, with density-dependent oviposition, removal of insufficient number of aquatic habitats may prove counter-productive. The importance of performing large number of simulation runs is also demonstrated. For ITNs, the choice of coverage scheme has important implications, and too high repellence yields detrimental effects. When LSM and ITNs are applied in combination, ITNs\u2019 mortality can play more important roles with higher densities of houses. With partial mortality, increasing ITN coverage is more effective than increasing LSM coverage, and integrating both interventions yie\u2026", "author" : [ { "dropping-particle" : "", "family" : "Arifin", "given" : "S M Niaz", "non-dropping-particle" : "", "parse-names" : false, "suffix" : "" }, { "dropping-particle" : "", "family" : "Madey", "given" : "Gregory R", "non-dropping-particle" : "", "parse-names" : false, "suffix" : "" }, { "dropping-particle" : "", "family" : "Collins", "given" : "Frank H", "non-dropping-particle" : "", "parse-names" : false, "suffix" : "" } ], "container-title" : "Malar J", "id" : "ITEM-1", "issue" : "1", "issued" : { "date-parts" : [ [ "2013" ] ] }, "page" : "290-313", "title" : "Examining the impact of larval source management and insecticide-treated nets using a spatial agent-based model of Anopheles gambiae and a landscape generator tool", "type" : "article-journal", "volume" : "12" }, "uris" : [ "http://www.mendeley.com/documents/?uuid=00950d1b-f9a6-4f09-bf04-dd31d8310fd1" ] } ], "mendeley" : { "formattedCitation" : "(64)", "plainTextFormattedCitation" : "(64)", "previouslyFormattedCitation" : "(64)" }, "properties" : { "noteIndex" : 0 }, "schema" : "https://github.com/citation-style-language/schema/raw/master/csl-citation.json" }</w:instrText>
            </w:r>
            <w:r w:rsidRPr="00E358A3">
              <w:rPr>
                <w:rFonts w:ascii="Calibri" w:hAnsi="Calibri" w:cs="Calibri"/>
                <w:color w:val="000000"/>
              </w:rPr>
              <w:fldChar w:fldCharType="separate"/>
            </w:r>
            <w:r w:rsidRPr="009D01D3">
              <w:rPr>
                <w:rFonts w:ascii="Calibri" w:hAnsi="Calibri" w:cs="Calibri"/>
                <w:noProof/>
                <w:color w:val="000000"/>
              </w:rPr>
              <w:t>(64)</w:t>
            </w:r>
            <w:r w:rsidRPr="00E358A3">
              <w:rPr>
                <w:rFonts w:ascii="Calibri" w:hAnsi="Calibri" w:cs="Calibri"/>
                <w:color w:val="000000"/>
              </w:rPr>
              <w:fldChar w:fldCharType="end"/>
            </w:r>
          </w:p>
        </w:tc>
      </w:tr>
      <w:tr w:rsidR="009D01D3" w:rsidRPr="00E358A3" w:rsidTr="0020168A">
        <w:trPr>
          <w:trHeight w:val="1511"/>
        </w:trPr>
        <w:tc>
          <w:tcPr>
            <w:tcW w:w="260" w:type="pct"/>
            <w:tcBorders>
              <w:left w:val="nil"/>
              <w:right w:val="single" w:sz="4" w:space="0" w:color="auto"/>
            </w:tcBorders>
            <w:shd w:val="clear" w:color="auto" w:fill="auto"/>
            <w:vAlign w:val="center"/>
          </w:tcPr>
          <w:p w:rsidR="009D01D3" w:rsidRPr="00E358A3" w:rsidRDefault="009D01D3" w:rsidP="0020168A"/>
        </w:tc>
        <w:tc>
          <w:tcPr>
            <w:tcW w:w="360" w:type="pct"/>
            <w:tcBorders>
              <w:left w:val="single" w:sz="4" w:space="0" w:color="auto"/>
              <w:right w:val="single" w:sz="12" w:space="0" w:color="auto"/>
            </w:tcBorders>
            <w:shd w:val="clear" w:color="auto" w:fill="auto"/>
            <w:vAlign w:val="center"/>
          </w:tcPr>
          <w:p w:rsidR="009D01D3" w:rsidRPr="00914806" w:rsidRDefault="009D01D3" w:rsidP="0020168A">
            <w:pPr>
              <w:jc w:val="right"/>
              <w:rPr>
                <w:rFonts w:ascii="Calibri" w:hAnsi="Calibri"/>
                <w:color w:val="000000"/>
              </w:rPr>
            </w:pPr>
            <w:r w:rsidRPr="00914806">
              <w:rPr>
                <w:rFonts w:ascii="Calibri" w:hAnsi="Calibri"/>
                <w:color w:val="000000"/>
              </w:rPr>
              <w:t>Arifin (2014)</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olor w:val="000000"/>
              </w:rPr>
              <w:t xml:space="preserve">Compare impact of hypothetical vector control interventions </w:t>
            </w:r>
            <w:r>
              <w:rPr>
                <w:rFonts w:ascii="Calibri" w:hAnsi="Calibri"/>
                <w:color w:val="000000"/>
              </w:rPr>
              <w:t>(</w:t>
            </w:r>
            <w:r w:rsidRPr="00E358A3">
              <w:rPr>
                <w:rFonts w:ascii="Calibri" w:hAnsi="Calibri"/>
                <w:color w:val="000000"/>
              </w:rPr>
              <w:t>HVCIs) on vector prevalence</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olor w:val="000000"/>
              </w:rPr>
              <w:t>M</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olor w:val="000000"/>
              </w:rPr>
              <w:t>Y</w:t>
            </w:r>
          </w:p>
        </w:tc>
        <w:tc>
          <w:tcPr>
            <w:tcW w:w="146"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olor w:val="000000"/>
              </w:rPr>
              <w:t>Nil</w:t>
            </w:r>
          </w:p>
        </w:tc>
        <w:tc>
          <w:tcPr>
            <w:tcW w:w="773"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olor w:val="000000"/>
              </w:rPr>
              <w:t>Coverage and killing capacity of interventions, environmental descriptors</w:t>
            </w:r>
          </w:p>
        </w:tc>
        <w:tc>
          <w:tcPr>
            <w:tcW w:w="6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olor w:val="000000"/>
              </w:rPr>
              <w:t>Female adult mosquito abundance, potentially infectious mosquito abundance</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olor w:val="000000"/>
              </w:rPr>
              <w:t>N</w:t>
            </w:r>
          </w:p>
        </w:tc>
        <w:tc>
          <w:tcPr>
            <w:tcW w:w="621"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olor w:val="000000"/>
              </w:rPr>
              <w:t>Hypothetical interventions that can reflect real strategies</w:t>
            </w:r>
          </w:p>
        </w:tc>
        <w:tc>
          <w:tcPr>
            <w:tcW w:w="1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fldChar w:fldCharType="begin" w:fldLock="1"/>
            </w:r>
            <w:r>
              <w:rPr>
                <w:rFonts w:ascii="Calibri" w:hAnsi="Calibri" w:cs="Calibri"/>
                <w:color w:val="000000"/>
              </w:rPr>
              <w:instrText>ADDIN CSL_CITATION { "citationItems" : [ { "id" : "ITEM-1", "itemData" : { "DOI" : "10.1186/1475-2875-13-424", "ISBN" : "1475-2875", "ISSN" : "1475-2875", "PMID" : "25373418", "abstract" : "BACKGROUND: Agent-based models (ABMs) have been used to model the behaviour of individual mosquitoes and other aspects of malaria. In this paper, a conceptual entomological model of the population dynamics of Anopheles gambiae and the agent-based implementations derived from it are described. Hypothetical vector control interventions (HVCIs) are implemented to target specific activities in the mosquito life cycle, and their impacts are evaluated. METHODS: The core model is described in terms of the complete An. gambiae mosquito life cycle. Primary features include the development and mortality rates in different aquatic and adult stages, the aquatic habitats and oviposition. The density- and age-dependent larval and adult mortality rates (vector senescence) allow the model to capture the age-dependent aspects of the mosquito biology. Details of hypothetical interventions are also described. RESULTS: Results show that with varying coverage and temperature ranges, the hypothetical interventions targeting the gonotrophic cycle stages produce higher impacts than the rest in reducing the potentially infectious female (PIF) mosquito populations, due to their multi-hour mortality impacts and their applicability at multiple gonotrophic cycles. Thus, these stages may be the most effective points of target for newly developed and novel interventions. A combined HVCI with low coverage can produce additive synergistic impacts and can be more effective than isolated HVCIs with comparatively higher coverages. It is emphasized that although the model described in this paper is designed specifically around the mosquito An. gambiae, it could effectively apply to many other major malaria vectors in the world (including the three most efficient nominal anopheline species An. gambiae, Anopheles coluzzii and Anopheles arabiensis) by incorporating a variety of factors (seasonality cycles, rainfall, humidity, etc.). Thus, the model can essentially be treated as a generic Anopheles model, offering an excellent framework for such extensions. The utility of the core model has also been demonstrated by several other applications, each of which investigates well-defined biological research questions across a variety of dimensions (including spatial models, insecticide resistance, and sterile insect techniques).", "author" : [ { "dropping-particle" : "", "family" : "Arifin", "given" : "S M Niaz", "non-dropping-particle" : "", "parse-names" : false, "suffix" : "" }, { "dropping-particle" : "", "family" : "Zhou", "given" : "Ying", "non-dropping-particle" : "", "parse-names" : false, "suffix" : "" }, { "dropping-particle" : "", "family" : "Davis", "given" : "Gregory J", "non-dropping-particle" : "", "parse-names" : false, "suffix" : "" }, { "dropping-particle" : "", "family" : "Gentile", "given" : "James E", "non-dropping-particle" : "", "parse-names" : false, "suffix" : "" }, { "dropping-particle" : "", "family" : "Madey", "given" : "Gregory R", "non-dropping-particle" : "", "parse-names" : false, "suffix" : "" }, { "dropping-particle" : "", "family" : "Collins", "given" : "Frank H", "non-dropping-particle" : "", "parse-names" : false, "suffix" : "" } ], "container-title" : "Malaria Journal", "id" : "ITEM-1", "issue" : "1", "issued" : { "date-parts" : [ [ "2014" ] ] }, "page" : "424-442", "title" : "An agent-based model of the population dynamics of Anopheles gambiae", "type" : "article-journal", "volume" : "13" }, "uris" : [ "http://www.mendeley.com/documents/?uuid=b4a9ecc9-3a6a-4e3f-b543-0a3098fc1ae8" ] } ], "mendeley" : { "formattedCitation" : "(65)", "plainTextFormattedCitation" : "(65)", "previouslyFormattedCitation" : "(65)" }, "properties" : { "noteIndex" : 0 }, "schema" : "https://github.com/citation-style-language/schema/raw/master/csl-citation.json" }</w:instrText>
            </w:r>
            <w:r w:rsidRPr="00E358A3">
              <w:rPr>
                <w:rFonts w:ascii="Calibri" w:hAnsi="Calibri" w:cs="Calibri"/>
                <w:color w:val="000000"/>
              </w:rPr>
              <w:fldChar w:fldCharType="separate"/>
            </w:r>
            <w:r w:rsidRPr="009D01D3">
              <w:rPr>
                <w:rFonts w:ascii="Calibri" w:hAnsi="Calibri" w:cs="Calibri"/>
                <w:noProof/>
                <w:color w:val="000000"/>
              </w:rPr>
              <w:t>(65)</w:t>
            </w:r>
            <w:r w:rsidRPr="00E358A3">
              <w:rPr>
                <w:rFonts w:ascii="Calibri" w:hAnsi="Calibri" w:cs="Calibri"/>
                <w:color w:val="000000"/>
              </w:rPr>
              <w:fldChar w:fldCharType="end"/>
            </w:r>
          </w:p>
        </w:tc>
      </w:tr>
      <w:tr w:rsidR="009D01D3" w:rsidRPr="00E358A3" w:rsidTr="0020168A">
        <w:trPr>
          <w:trHeight w:val="42"/>
        </w:trPr>
        <w:tc>
          <w:tcPr>
            <w:tcW w:w="260" w:type="pct"/>
            <w:tcBorders>
              <w:left w:val="nil"/>
              <w:right w:val="single" w:sz="4" w:space="0" w:color="auto"/>
            </w:tcBorders>
            <w:shd w:val="clear" w:color="auto" w:fill="auto"/>
            <w:vAlign w:val="center"/>
          </w:tcPr>
          <w:p w:rsidR="009D01D3" w:rsidRPr="00E358A3" w:rsidRDefault="009D01D3" w:rsidP="0020168A"/>
        </w:tc>
        <w:tc>
          <w:tcPr>
            <w:tcW w:w="360" w:type="pct"/>
            <w:tcBorders>
              <w:left w:val="single" w:sz="4" w:space="0" w:color="auto"/>
              <w:right w:val="single" w:sz="12" w:space="0" w:color="auto"/>
            </w:tcBorders>
            <w:shd w:val="clear" w:color="auto" w:fill="auto"/>
            <w:vAlign w:val="center"/>
          </w:tcPr>
          <w:p w:rsidR="009D01D3" w:rsidRPr="00914806" w:rsidRDefault="009D01D3" w:rsidP="0020168A">
            <w:pPr>
              <w:jc w:val="right"/>
              <w:rPr>
                <w:rFonts w:ascii="Calibri" w:hAnsi="Calibri"/>
                <w:color w:val="000000"/>
              </w:rPr>
            </w:pPr>
            <w:r w:rsidRPr="00914806">
              <w:rPr>
                <w:rFonts w:ascii="Calibri" w:hAnsi="Calibri"/>
                <w:color w:val="000000"/>
              </w:rPr>
              <w:t>Gentile (2015)</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sidRPr="00E358A3">
              <w:rPr>
                <w:rFonts w:ascii="Calibri" w:hAnsi="Calibri"/>
                <w:color w:val="000000"/>
              </w:rPr>
              <w:t xml:space="preserve">Assess impact of sterile insect technique (SIT) on female </w:t>
            </w:r>
            <w:r w:rsidRPr="00E358A3">
              <w:rPr>
                <w:rFonts w:ascii="Calibri" w:hAnsi="Calibri"/>
                <w:i/>
                <w:iCs/>
                <w:color w:val="000000"/>
              </w:rPr>
              <w:t xml:space="preserve">A. gambiae </w:t>
            </w:r>
            <w:r w:rsidRPr="00E358A3">
              <w:rPr>
                <w:rFonts w:ascii="Calibri" w:hAnsi="Calibri"/>
                <w:color w:val="000000"/>
              </w:rPr>
              <w:t>population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sidRPr="00E358A3">
              <w:rPr>
                <w:rFonts w:ascii="Calibri" w:hAnsi="Calibri"/>
                <w:color w:val="000000"/>
              </w:rPr>
              <w:t>M</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sidRPr="00E358A3">
              <w:rPr>
                <w:rFonts w:ascii="Calibri" w:hAnsi="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sidRPr="00E358A3">
              <w:rPr>
                <w:rFonts w:ascii="Calibri" w:hAnsi="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sidRPr="00E358A3">
              <w:rPr>
                <w:rFonts w:ascii="Calibri" w:hAnsi="Calibri"/>
                <w:color w:val="000000"/>
              </w:rPr>
              <w:t>Y</w:t>
            </w:r>
          </w:p>
        </w:tc>
        <w:tc>
          <w:tcPr>
            <w:tcW w:w="146"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S</w:t>
            </w:r>
          </w:p>
        </w:tc>
        <w:tc>
          <w:tcPr>
            <w:tcW w:w="773"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sidRPr="00E358A3">
              <w:rPr>
                <w:rFonts w:ascii="Calibri" w:hAnsi="Calibri"/>
                <w:color w:val="000000"/>
              </w:rPr>
              <w:t>Mosquito state transition parameters</w:t>
            </w:r>
          </w:p>
        </w:tc>
        <w:tc>
          <w:tcPr>
            <w:tcW w:w="6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sidRPr="00E358A3">
              <w:rPr>
                <w:rFonts w:ascii="Calibri" w:hAnsi="Calibri"/>
                <w:color w:val="000000"/>
              </w:rPr>
              <w:t>Female wildtype proportion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sidRPr="00E358A3">
              <w:rPr>
                <w:rFonts w:ascii="Calibri" w:hAnsi="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sidRPr="00E358A3">
              <w:rPr>
                <w:rFonts w:ascii="Calibri" w:hAnsi="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sidRPr="00E358A3">
              <w:rPr>
                <w:rFonts w:ascii="Calibri" w:hAnsi="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sidRPr="00E358A3">
              <w:rPr>
                <w:rFonts w:ascii="Calibri" w:hAnsi="Calibri"/>
                <w:color w:val="000000"/>
              </w:rPr>
              <w:t>N</w:t>
            </w:r>
          </w:p>
        </w:tc>
        <w:tc>
          <w:tcPr>
            <w:tcW w:w="621"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sidRPr="00E358A3">
              <w:rPr>
                <w:rFonts w:ascii="Calibri" w:hAnsi="Calibri"/>
                <w:color w:val="000000"/>
              </w:rPr>
              <w:t>Mating competitiveness of transgenic male vectors</w:t>
            </w:r>
          </w:p>
        </w:tc>
        <w:tc>
          <w:tcPr>
            <w:tcW w:w="1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fldChar w:fldCharType="begin" w:fldLock="1"/>
            </w:r>
            <w:r>
              <w:rPr>
                <w:rFonts w:ascii="Calibri" w:hAnsi="Calibri" w:cs="Calibri"/>
                <w:color w:val="000000"/>
              </w:rPr>
              <w:instrText>ADDIN CSL_CITATION { "citationItems" : [ { "id" : "ITEM-1", "itemData" : { "DOI" : "10.1186/s12936-015-0587-5", "ISBN" : "1475-2875", "ISSN" : "1475-2875", "PMID" : "25889145", "abstract" : "BACKGROUND: There is a renewed effort to develop novel malaria control strategies as even well-implemented existing malaria control tools may fail to block transmission in some regions. Currently, transgenic implementations of the sterile insect technique (SIT) such as the release of insects with a dominant lethal, homing endonuclease genes, or flightless mosquitoes are in development. These implementations involve the release of transgenic male mosquitoes whose matings with wild females produce either no viable offspring or no female offspring. As these technologies are all in their infancy, little is known about the relative efficiencies of the various implementations. METHODS: This paper describes agent-based modelling of emerging and theoretical implementations of transgenic SIT in Anopheles gambiae for the control of malaria. It reports on female suppression as it is affected by the SIT implementation, the number of released males, and competitiveness of released males. CONCLUSIONS: The simulation experiments suggest that a late-acting bisex lethal gene is the most efficient of the four implementations we simulated. They demonstrate 1) the relative impact of release size on a campaign's effectiveness 2) late-acting genes are preferred because of their ability to exploit density dependent larval mortality 3) late-acting bisex lethal genes achieve elimination before their female-killing counterparts.", "author" : [ { "dropping-particle" : "", "family" : "Gentile", "given" : "James E", "non-dropping-particle" : "", "parse-names" : false, "suffix" : "" }, { "dropping-particle" : "", "family" : "Rund", "given" : "Samuel S C", "non-dropping-particle" : "", "parse-names" : false, "suffix" : "" }, { "dropping-particle" : "", "family" : "Madey", "given" : "Gregory R", "non-dropping-particle" : "", "parse-names" : false, "suffix" : "" } ], "container-title" : "Malaria Journal", "id" : "ITEM-1", "issue" : "1", "issued" : { "date-parts" : [ [ "2015" ] ] }, "page" : "92-103", "title" : "Modelling sterile insect technique to control the population of Anopheles gambiae.", "type" : "article-journal", "volume" : "14" }, "uris" : [ "http://www.mendeley.com/documents/?uuid=d349ffc2-33cd-40d2-917a-b6603c423e3a" ] } ], "mendeley" : { "formattedCitation" : "(66)", "plainTextFormattedCitation" : "(66)", "previouslyFormattedCitation" : "(66)" }, "properties" : { "noteIndex" : 0 }, "schema" : "https://github.com/citation-style-language/schema/raw/master/csl-citation.json" }</w:instrText>
            </w:r>
            <w:r w:rsidRPr="00E358A3">
              <w:rPr>
                <w:rFonts w:ascii="Calibri" w:hAnsi="Calibri" w:cs="Calibri"/>
                <w:color w:val="000000"/>
              </w:rPr>
              <w:fldChar w:fldCharType="separate"/>
            </w:r>
            <w:r w:rsidRPr="009D01D3">
              <w:rPr>
                <w:rFonts w:ascii="Calibri" w:hAnsi="Calibri" w:cs="Calibri"/>
                <w:noProof/>
                <w:color w:val="000000"/>
              </w:rPr>
              <w:t>(66)</w:t>
            </w:r>
            <w:r w:rsidRPr="00E358A3">
              <w:rPr>
                <w:rFonts w:ascii="Calibri" w:hAnsi="Calibri" w:cs="Calibri"/>
                <w:color w:val="000000"/>
              </w:rPr>
              <w:fldChar w:fldCharType="end"/>
            </w:r>
          </w:p>
        </w:tc>
      </w:tr>
      <w:tr w:rsidR="009D01D3" w:rsidRPr="00E358A3" w:rsidTr="0020168A">
        <w:trPr>
          <w:trHeight w:val="42"/>
        </w:trPr>
        <w:tc>
          <w:tcPr>
            <w:tcW w:w="260" w:type="pct"/>
            <w:tcBorders>
              <w:left w:val="nil"/>
              <w:right w:val="single" w:sz="4" w:space="0" w:color="auto"/>
            </w:tcBorders>
            <w:shd w:val="clear" w:color="auto" w:fill="auto"/>
            <w:vAlign w:val="center"/>
          </w:tcPr>
          <w:p w:rsidR="009D01D3" w:rsidRPr="00E358A3" w:rsidRDefault="009D01D3" w:rsidP="0020168A"/>
        </w:tc>
        <w:tc>
          <w:tcPr>
            <w:tcW w:w="360" w:type="pct"/>
            <w:tcBorders>
              <w:left w:val="single" w:sz="4" w:space="0" w:color="auto"/>
              <w:right w:val="single" w:sz="12" w:space="0" w:color="auto"/>
            </w:tcBorders>
            <w:shd w:val="clear" w:color="auto" w:fill="auto"/>
            <w:vAlign w:val="center"/>
          </w:tcPr>
          <w:p w:rsidR="009D01D3" w:rsidRPr="00C45088" w:rsidRDefault="009D01D3" w:rsidP="0020168A">
            <w:pPr>
              <w:jc w:val="right"/>
              <w:rPr>
                <w:rFonts w:ascii="Calibri" w:hAnsi="Calibri"/>
                <w:color w:val="000000"/>
              </w:rPr>
            </w:pPr>
            <w:r w:rsidRPr="00C45088">
              <w:rPr>
                <w:rFonts w:ascii="Calibri" w:hAnsi="Calibri"/>
                <w:color w:val="000000"/>
              </w:rPr>
              <w:t>Arifin (2015)</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Present a framework that integrates ABM outputs with a geographic information system (GIS)</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M</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Y</w:t>
            </w:r>
          </w:p>
        </w:tc>
        <w:tc>
          <w:tcPr>
            <w:tcW w:w="146"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olor w:val="000000"/>
              </w:rPr>
            </w:pPr>
            <w:r>
              <w:rPr>
                <w:rFonts w:ascii="Calibri" w:hAnsi="Calibri"/>
                <w:color w:val="000000"/>
              </w:rPr>
              <w:t>Nil</w:t>
            </w:r>
          </w:p>
        </w:tc>
        <w:tc>
          <w:tcPr>
            <w:tcW w:w="773"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Intervention coverage</w:t>
            </w:r>
          </w:p>
        </w:tc>
        <w:tc>
          <w:tcPr>
            <w:tcW w:w="6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Mosquito abundance, oviposition counts per habitat, blood meal count per house</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N</w:t>
            </w:r>
          </w:p>
        </w:tc>
        <w:tc>
          <w:tcPr>
            <w:tcW w:w="621"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Hot spot analysis to identify significant locations, use of GIS with ABM</w:t>
            </w:r>
          </w:p>
        </w:tc>
        <w:tc>
          <w:tcPr>
            <w:tcW w:w="1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Pr>
                <w:rFonts w:ascii="Calibri" w:hAnsi="Calibri" w:cs="Calibri"/>
                <w:color w:val="000000"/>
              </w:rPr>
              <w:fldChar w:fldCharType="begin" w:fldLock="1"/>
            </w:r>
            <w:r>
              <w:rPr>
                <w:rFonts w:ascii="Calibri" w:hAnsi="Calibri" w:cs="Calibri"/>
                <w:color w:val="000000"/>
              </w:rPr>
              <w:instrText>ADDIN CSL_CITATION { "citationItems" : [ { "id" : "ITEM-1", "itemData" : { "DOI" : "10.3390/land4020378", "ISBN" : "10.3390/land4020378", "ISSN" : "2073-445X", "abstract" : "A landscape epidemiology modeling framework is presented which integrates the simulation outputs from an established spatial agent-based model (ABM) of malaria with a geographic information system (GIS). For a study area in Kenya, five landscape scenarios are constructed with varying coverage levels of two mosquito-control interventions. For each scenario, maps are presented to show the average distributions of three output indices obtained from the results of 750 simulation runs. Hot spot analysis is performed to detect statistically significant hot spots and cold spots. Additional spatial analysis is conducted using ordinary kriging with circular semivariograms for all scenarios. The integration of epidemiological simulation-based results with spatial analyses techniques within a single modeling framework can be a valuable tool for conducting a variety of disease control activities such as exploring new biological insights, monitoring epidemiological landscape changes, and guiding resource allocation for further investigation.", "author" : [ { "dropping-particle" : "", "family" : "Arifin", "given" : "S.", "non-dropping-particle" : "", "parse-names" : false, "suffix" : "" }, { "dropping-particle" : "", "family" : "Arifin", "given" : "Rumana", "non-dropping-particle" : "", "parse-names" : false, "suffix" : "" }, { "dropping-particle" : "", "family" : "Pitts", "given" : "Dilkushi", "non-dropping-particle" : "", "parse-names" : false, "suffix" : "" }, { "dropping-particle" : "", "family" : "Rahman", "given" : "M.", "non-dropping-particle" : "", "parse-names" : false, "suffix" : "" }, { "dropping-particle" : "", "family" : "Nowreen", "given" : "Sara", "non-dropping-particle" : "", "parse-names" : false, "suffix" : "" }, { "dropping-particle" : "", "family" : "Madey", "given" : "Gregory", "non-dropping-particle" : "", "parse-names" : false, "suffix" : "" }, { "dropping-particle" : "", "family" : "Collins", "given" : "Frank", "non-dropping-particle" : "", "parse-names" : false, "suffix" : "" } ], "container-title" : "Land", "id" : "ITEM-1", "issue" : "2", "issued" : { "date-parts" : [ [ "2015" ] ] }, "page" : "378-412", "title" : "Landscape Epidemiology Modeling Using an Agent-Based Model and a Geographic Information System", "type" : "article-journal", "volume" : "4" }, "uris" : [ "http://www.mendeley.com/documents/?uuid=28e1fecb-9d72-48d2-9c38-bec7af3b16f2" ] } ], "mendeley" : { "formattedCitation" : "(67)", "plainTextFormattedCitation" : "(67)", "previouslyFormattedCitation" : "(67)" }, "properties" : { "noteIndex" : 0 }, "schema" : "https://github.com/citation-style-language/schema/raw/master/csl-citation.json" }</w:instrText>
            </w:r>
            <w:r>
              <w:rPr>
                <w:rFonts w:ascii="Calibri" w:hAnsi="Calibri" w:cs="Calibri"/>
                <w:color w:val="000000"/>
              </w:rPr>
              <w:fldChar w:fldCharType="separate"/>
            </w:r>
            <w:r w:rsidRPr="009D01D3">
              <w:rPr>
                <w:rFonts w:ascii="Calibri" w:hAnsi="Calibri" w:cs="Calibri"/>
                <w:noProof/>
                <w:color w:val="000000"/>
              </w:rPr>
              <w:t>(67)</w:t>
            </w:r>
            <w:r>
              <w:rPr>
                <w:rFonts w:ascii="Calibri" w:hAnsi="Calibri" w:cs="Calibri"/>
                <w:color w:val="000000"/>
              </w:rPr>
              <w:fldChar w:fldCharType="end"/>
            </w:r>
          </w:p>
        </w:tc>
      </w:tr>
      <w:tr w:rsidR="009D01D3" w:rsidRPr="00E358A3" w:rsidTr="0020168A">
        <w:trPr>
          <w:trHeight w:val="42"/>
        </w:trPr>
        <w:tc>
          <w:tcPr>
            <w:tcW w:w="260" w:type="pct"/>
            <w:tcBorders>
              <w:left w:val="nil"/>
              <w:bottom w:val="single" w:sz="4" w:space="0" w:color="auto"/>
              <w:right w:val="single" w:sz="4" w:space="0" w:color="auto"/>
            </w:tcBorders>
            <w:shd w:val="clear" w:color="auto" w:fill="auto"/>
            <w:vAlign w:val="center"/>
          </w:tcPr>
          <w:p w:rsidR="009D01D3" w:rsidRPr="00E358A3" w:rsidRDefault="009D01D3" w:rsidP="0020168A"/>
        </w:tc>
        <w:tc>
          <w:tcPr>
            <w:tcW w:w="360" w:type="pct"/>
            <w:tcBorders>
              <w:left w:val="single" w:sz="4" w:space="0" w:color="auto"/>
              <w:bottom w:val="single" w:sz="4" w:space="0" w:color="auto"/>
              <w:right w:val="single" w:sz="12" w:space="0" w:color="auto"/>
            </w:tcBorders>
            <w:shd w:val="clear" w:color="auto" w:fill="auto"/>
            <w:vAlign w:val="center"/>
          </w:tcPr>
          <w:p w:rsidR="009D01D3" w:rsidRPr="00E358A3" w:rsidRDefault="009D01D3" w:rsidP="0020168A">
            <w:pPr>
              <w:jc w:val="right"/>
              <w:rPr>
                <w:rFonts w:ascii="Calibri" w:hAnsi="Calibri"/>
                <w:color w:val="000000"/>
              </w:rPr>
            </w:pPr>
            <w:r>
              <w:rPr>
                <w:rFonts w:ascii="Calibri" w:hAnsi="Calibri"/>
                <w:color w:val="000000"/>
              </w:rPr>
              <w:t>Alam (2017)</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Pr="00D87717" w:rsidRDefault="009D01D3" w:rsidP="0020168A">
            <w:pPr>
              <w:jc w:val="center"/>
              <w:rPr>
                <w:rFonts w:ascii="Calibri" w:hAnsi="Calibri"/>
                <w:color w:val="000000"/>
              </w:rPr>
            </w:pPr>
            <w:r>
              <w:rPr>
                <w:rFonts w:ascii="Calibri" w:hAnsi="Calibri"/>
                <w:color w:val="000000"/>
              </w:rPr>
              <w:t xml:space="preserve">Adapt </w:t>
            </w:r>
            <w:r>
              <w:rPr>
                <w:rFonts w:ascii="Calibri" w:hAnsi="Calibri"/>
                <w:i/>
                <w:iCs/>
                <w:color w:val="000000"/>
              </w:rPr>
              <w:t>A. gambiae</w:t>
            </w:r>
            <w:r>
              <w:rPr>
                <w:rFonts w:ascii="Calibri" w:hAnsi="Calibri"/>
                <w:color w:val="000000"/>
              </w:rPr>
              <w:t xml:space="preserve"> ABM to </w:t>
            </w:r>
            <w:r>
              <w:rPr>
                <w:rFonts w:ascii="Calibri" w:hAnsi="Calibri"/>
                <w:i/>
                <w:iCs/>
                <w:color w:val="000000"/>
              </w:rPr>
              <w:t>A. vagus</w:t>
            </w:r>
            <w:r>
              <w:rPr>
                <w:rFonts w:ascii="Calibri" w:hAnsi="Calibri"/>
                <w:color w:val="000000"/>
              </w:rPr>
              <w:t>, assess interventions in Bandarban, Bangladesh</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M</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Y</w:t>
            </w:r>
          </w:p>
        </w:tc>
        <w:tc>
          <w:tcPr>
            <w:tcW w:w="146"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olor w:val="000000"/>
              </w:rPr>
            </w:pPr>
            <w:r>
              <w:rPr>
                <w:rFonts w:ascii="Calibri" w:hAnsi="Calibri"/>
                <w:color w:val="000000"/>
              </w:rPr>
              <w:t>P,V</w:t>
            </w:r>
          </w:p>
        </w:tc>
        <w:tc>
          <w:tcPr>
            <w:tcW w:w="773"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Daily temperature and rainfall, vector active times, landscape information</w:t>
            </w:r>
          </w:p>
        </w:tc>
        <w:tc>
          <w:tcPr>
            <w:tcW w:w="6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Female abundance, abundance of vector life stages</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N</w:t>
            </w:r>
          </w:p>
        </w:tc>
        <w:tc>
          <w:tcPr>
            <w:tcW w:w="621"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rPr>
            </w:pPr>
            <w:r>
              <w:rPr>
                <w:rFonts w:ascii="Calibri" w:hAnsi="Calibri"/>
                <w:color w:val="000000"/>
              </w:rPr>
              <w:t>Docking validation technique, temperature-dependant vector development</w:t>
            </w:r>
          </w:p>
        </w:tc>
        <w:tc>
          <w:tcPr>
            <w:tcW w:w="1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Pr>
                <w:rFonts w:ascii="Calibri" w:hAnsi="Calibri" w:cs="Calibri"/>
                <w:color w:val="000000"/>
              </w:rPr>
              <w:fldChar w:fldCharType="begin" w:fldLock="1"/>
            </w:r>
            <w:r>
              <w:rPr>
                <w:rFonts w:ascii="Calibri" w:hAnsi="Calibri" w:cs="Calibri"/>
                <w:color w:val="000000"/>
              </w:rPr>
              <w:instrText>ADDIN CSL_CITATION { "citationItems" : [ { "id" : "ITEM-1", "itemData" : { "DOI" : "10.1186/s12936-017-2075-6", "ISSN" : "14752875", "PMID" : "29078771", "abstract" : "Malaria, being a mosquito-borne infectious disease, is still one of the most devastating global health issues. The malaria vector Anopheles vagus is widely distributed in Asia and a dominant vector in Bandarban, Bangladesh. However, despite its wide distribution, no agent based model (ABM) of An. vagus has yet been developed. Additionally, its response to combined vector control interventions has not been examined. A spatial ABM, denoted as ABM $$_{vagus}$$ v a g u s , was designed and implemented based on the biological attributes of An. vagus by modifying an established, existing ABM of Anopheles gambiae. Environmental factors such as temperature and rainfall were incorporated into ABM $$_{vagus}$$ v a g u s using daily weather profiles. Real-life field data of Bandarban were used to generate landscapes which were used in the simulations. ABM $$_{vagus}$$ v a g u s was verified and validated using several standard techniques and against real-life field data. Using artificial landscapes, the individual and combined efficacies of existing vector control interventions are modeled, applied, and examined. Simulated female abundance curves generated by ABM $$_{vagus}$$ v a g u s closely follow the patterns observed in the field. Due to the use of daily temperature and rainfall data, ABM $$_{vagus}$$ v a g u s was able to generate seasonal patterns for a particular area. When two interventions were applied with parameters set to mid-ranges, ITNs/LLINs with IRS produced better results compared to the other cases. Moreover, any intervention combined with ITNs/LLINs yielded better results. Not surprisingly, three interventions applied in combination generate best results compared to any two interventions applied in combination. Output of ABM $$_{vagus}$$ v a g u s showed high sensitivity to real-life field data of the environmental factors and the landscape of a particular area. Hence, it is recommended to use the model for a given area in connection to its local field data. For applying combined interventions, three interventions altogether are highly recommended whenever possible. It is also suggested that ITNs/LLINs with IRS can be applied when three interventions are not available.", "author" : [ { "dropping-particle" : "", "family" : "Alam", "given" : "Mohammad Shafiul Md Zahangir", "non-dropping-particle" : "", "parse-names" : false, "suffix" : "" }, { "dropping-particle" : "", "family" : "Niaz Arifin", "given" : "S. M.", "non-dropping-particle" : "", "parse-names" : false, "suffix" : "" }, { "dropping-particle" : "", "family" : "Al-Amin", "given" : "Hasan Mohammad", "non-dropping-particle" : "", "parse-names" : false, "suffix" : "" }, { "dropping-particle" : "", "family" : "Alam", "given" : "Mohammad Shafiul Md Zahangir", "non-dropping-particle" : "", "parse-names" : false, "suffix" : "" }, { "dropping-particle" : "", "family" : "Rahman", "given" : "M. Sohel", "non-dropping-particle" : "", "parse-names" : false, "suffix" : "" } ], "container-title" : "Malaria Journal", "id" : "ITEM-1", "issue" : "1", "issued" : { "date-parts" : [ [ "2017", "12", "27" ] ] }, "page" : "1-20", "publisher" : "BioMed Central", "title" : "A spatial agent-based model of Anopheles vagus for malaria epidemiology: Examining the impact of vector control interventions", "type" : "article-journal", "volume" : "16" }, "uris" : [ "http://www.mendeley.com/documents/?uuid=4c6e407c-9202-4f78-b889-fd95526f4464" ] } ], "mendeley" : { "formattedCitation" : "(68)", "plainTextFormattedCitation" : "(68)", "previouslyFormattedCitation" : "(68)" }, "properties" : { "noteIndex" : 0 }, "schema" : "https://github.com/citation-style-language/schema/raw/master/csl-citation.json" }</w:instrText>
            </w:r>
            <w:r>
              <w:rPr>
                <w:rFonts w:ascii="Calibri" w:hAnsi="Calibri" w:cs="Calibri"/>
                <w:color w:val="000000"/>
              </w:rPr>
              <w:fldChar w:fldCharType="separate"/>
            </w:r>
            <w:r w:rsidRPr="009D01D3">
              <w:rPr>
                <w:rFonts w:ascii="Calibri" w:hAnsi="Calibri" w:cs="Calibri"/>
                <w:noProof/>
                <w:color w:val="000000"/>
              </w:rPr>
              <w:t>(68)</w:t>
            </w:r>
            <w:r>
              <w:rPr>
                <w:rFonts w:ascii="Calibri" w:hAnsi="Calibri" w:cs="Calibri"/>
                <w:color w:val="000000"/>
              </w:rPr>
              <w:fldChar w:fldCharType="end"/>
            </w:r>
          </w:p>
        </w:tc>
      </w:tr>
      <w:tr w:rsidR="009D01D3" w:rsidRPr="00E358A3" w:rsidTr="0020168A">
        <w:trPr>
          <w:trHeight w:val="1109"/>
        </w:trPr>
        <w:tc>
          <w:tcPr>
            <w:tcW w:w="620" w:type="pct"/>
            <w:gridSpan w:val="2"/>
            <w:tcBorders>
              <w:top w:val="single" w:sz="4" w:space="0" w:color="auto"/>
              <w:left w:val="nil"/>
              <w:right w:val="single" w:sz="12" w:space="0" w:color="auto"/>
            </w:tcBorders>
            <w:shd w:val="clear" w:color="auto" w:fill="auto"/>
            <w:vAlign w:val="center"/>
            <w:hideMark/>
          </w:tcPr>
          <w:p w:rsidR="009D01D3" w:rsidRPr="00E358A3" w:rsidRDefault="009D01D3" w:rsidP="0020168A">
            <w:pPr>
              <w:rPr>
                <w:rFonts w:ascii="Calibri" w:hAnsi="Calibri" w:cs="Calibri"/>
                <w:color w:val="000000"/>
              </w:rPr>
            </w:pPr>
            <w:r w:rsidRPr="00914806">
              <w:rPr>
                <w:rFonts w:ascii="Calibri" w:hAnsi="Calibri" w:cs="Calibri"/>
                <w:color w:val="000000"/>
              </w:rPr>
              <w:t>Eckhoff (2011)</w:t>
            </w:r>
          </w:p>
        </w:tc>
        <w:tc>
          <w:tcPr>
            <w:tcW w:w="674" w:type="pct"/>
            <w:tcBorders>
              <w:top w:val="single" w:sz="4" w:space="0" w:color="auto"/>
              <w:left w:val="single" w:sz="12" w:space="0" w:color="auto"/>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Outline new model, assess impact of various interventions on malaria transmission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H,M</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46"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P,C,S</w:t>
            </w:r>
          </w:p>
        </w:tc>
        <w:tc>
          <w:tcPr>
            <w:tcW w:w="773"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Probabilities of successful actions</w:t>
            </w:r>
          </w:p>
        </w:tc>
        <w:tc>
          <w:tcPr>
            <w:tcW w:w="6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HBR, EIR, adult mortality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Animal blood meals, indoor feeding, preferential and variable larval survival</w:t>
            </w:r>
          </w:p>
        </w:tc>
        <w:tc>
          <w:tcPr>
            <w:tcW w:w="1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fldChar w:fldCharType="begin" w:fldLock="1"/>
            </w:r>
            <w:r>
              <w:rPr>
                <w:rFonts w:ascii="Calibri" w:hAnsi="Calibri" w:cs="Calibri"/>
                <w:color w:val="000000"/>
              </w:rPr>
              <w:instrText>ADDIN CSL_CITATION { "citationItems" : [ { "id" : "ITEM-1", "itemData" : { "abstract" : "Background: Malaria is a major public health issue in much of the world, and the mosquito vectors which drive transmission are key targets for interventions. Mathematical models for planning malaria eradication benefit from detailed representations of local mosquito populations, their natural dynamics and their response to campaign pressures. Methods: A new model is presented for mosquito population dynamics, effects of weather, and impacts of multiple simultaneous interventions. This model is then embedded in a large-scale individual-based simulation and results for local elimination of malaria are discussed. Mosquito population behaviours, such as anthropophily and indoor feeding, are included to study their effect upon the efficacy of vector control-based elimination campaigns. Results: Results for vector control tools, such as bed nets, indoor spraying, larval control and space spraying, both alone and in combination, are displayed for a single-location simulation with vector species and seasonality characteristic of central Tanzania, varying baseline transmission intensity and vector bionomics. The sensitivities to habitat type, anthropophily, indoor feeding, and baseline transmission intensity are explored. Conclusions: The ability to model a spectrum of local vector species with different ecologies and behaviours allows local customization of packages of interventions and exploration of the effect of proposed new tools.", "author" : [ { "dropping-particle" : "", "family" : "Eckhoff", "given" : "Philip A", "non-dropping-particle" : "", "parse-names" : false, "suffix" : "" } ], "container-title" : "Malaria Journal", "id" : "ITEM-1", "issue" : "1", "issued" : { "date-parts" : [ [ "2011" ] ] }, "page" : "303-319", "title" : "A malaria transmission-directed model of mosquito life cycle and ecology", "type" : "article-journal", "volume" : "10" }, "uris" : [ "http://www.mendeley.com/documents/?uuid=22796e56-a0ac-46e8-b2bf-03c54b423b8a" ] } ], "mendeley" : { "formattedCitation" : "(69)", "plainTextFormattedCitation" : "(69)", "previouslyFormattedCitation" : "(69)" }, "properties" : { "noteIndex" : 0 }, "schema" : "https://github.com/citation-style-language/schema/raw/master/csl-citation.json" }</w:instrText>
            </w:r>
            <w:r w:rsidRPr="00E358A3">
              <w:rPr>
                <w:rFonts w:ascii="Calibri" w:hAnsi="Calibri" w:cs="Calibri"/>
                <w:color w:val="000000"/>
              </w:rPr>
              <w:fldChar w:fldCharType="separate"/>
            </w:r>
            <w:r w:rsidRPr="009D01D3">
              <w:rPr>
                <w:rFonts w:ascii="Calibri" w:hAnsi="Calibri" w:cs="Calibri"/>
                <w:noProof/>
                <w:color w:val="000000"/>
              </w:rPr>
              <w:t>(69)</w:t>
            </w:r>
            <w:r w:rsidRPr="00E358A3">
              <w:rPr>
                <w:rFonts w:ascii="Calibri" w:hAnsi="Calibri" w:cs="Calibri"/>
                <w:color w:val="000000"/>
              </w:rPr>
              <w:fldChar w:fldCharType="end"/>
            </w:r>
          </w:p>
        </w:tc>
      </w:tr>
      <w:tr w:rsidR="009D01D3" w:rsidRPr="00E358A3" w:rsidTr="0020168A">
        <w:trPr>
          <w:trHeight w:val="42"/>
        </w:trPr>
        <w:tc>
          <w:tcPr>
            <w:tcW w:w="260" w:type="pct"/>
            <w:tcBorders>
              <w:top w:val="nil"/>
              <w:left w:val="nil"/>
              <w:bottom w:val="nil"/>
              <w:right w:val="single" w:sz="4" w:space="0" w:color="auto"/>
            </w:tcBorders>
            <w:shd w:val="clear" w:color="auto" w:fill="auto"/>
            <w:vAlign w:val="center"/>
          </w:tcPr>
          <w:p w:rsidR="009D01D3" w:rsidRPr="00E358A3" w:rsidRDefault="009D01D3" w:rsidP="0020168A"/>
        </w:tc>
        <w:tc>
          <w:tcPr>
            <w:tcW w:w="360" w:type="pct"/>
            <w:tcBorders>
              <w:top w:val="nil"/>
              <w:left w:val="single" w:sz="4" w:space="0" w:color="auto"/>
              <w:bottom w:val="nil"/>
              <w:right w:val="single" w:sz="12" w:space="0" w:color="auto"/>
            </w:tcBorders>
            <w:shd w:val="clear" w:color="auto" w:fill="auto"/>
            <w:vAlign w:val="center"/>
          </w:tcPr>
          <w:p w:rsidR="009D01D3" w:rsidRDefault="009D01D3" w:rsidP="0020168A">
            <w:pPr>
              <w:jc w:val="right"/>
              <w:rPr>
                <w:rFonts w:ascii="Calibri" w:hAnsi="Calibri" w:cs="Calibri"/>
                <w:color w:val="000000"/>
              </w:rPr>
            </w:pPr>
            <w:r>
              <w:rPr>
                <w:rFonts w:ascii="Calibri" w:hAnsi="Calibri" w:cs="Calibri"/>
                <w:color w:val="000000"/>
              </w:rPr>
              <w:t>Eckhoff (2012)</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Investigate the acquisition of immunity and its dependence on age and exposure</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H</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46"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P</w:t>
            </w:r>
          </w:p>
        </w:tc>
        <w:tc>
          <w:tcPr>
            <w:tcW w:w="773"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Parasite characteristics immunity and development parameters, rainfall, temperature</w:t>
            </w:r>
          </w:p>
        </w:tc>
        <w:tc>
          <w:tcPr>
            <w:tcW w:w="6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Malaria prevalence, mean parasitaemia</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PfEMP-1 surface antigen variation and highly specific parasite development</w:t>
            </w:r>
          </w:p>
        </w:tc>
        <w:tc>
          <w:tcPr>
            <w:tcW w:w="150"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Pr>
                <w:rFonts w:ascii="Calibri" w:hAnsi="Calibri" w:cs="Calibri"/>
                <w:color w:val="000000"/>
              </w:rPr>
              <w:fldChar w:fldCharType="begin" w:fldLock="1"/>
            </w:r>
            <w:r>
              <w:rPr>
                <w:rFonts w:ascii="Calibri" w:hAnsi="Calibri" w:cs="Calibri"/>
                <w:color w:val="000000"/>
              </w:rPr>
              <w:instrText>ADDIN CSL_CITATION { "citationItems" : [ { "id" : "ITEM-1", "itemData" : { "DOI" : "10.1186/1475-2875-11-419", "ISBN" : "1475-2875", "ISSN" : "1475-2875", "PMID" : "23241282", "abstract" : "The development of parasitological immunity against malaria affects the ability to detect infection, the efficiency of the local human parasite reservoir at infecting mosquitoes, and the response to reintroduction of parasites to previously cleared areas. Observations of similar age-trends in detected prevalence and mean parasitaemia across more than an order-of-magnitude of variation in baseline transmission complicate simple exposure-driven explanations.", "author" : [ { "dropping-particle" : "", "family" : "Eckhoff", "given" : "Philip a", "non-dropping-particle" : "", "parse-names" : false, "suffix" : "" } ], "container-title" : "Malaria journal", "id" : "ITEM-1", "issue" : "1", "issued" : { "date-parts" : [ [ "2012" ] ] }, "page" : "419", "title" : "Malaria parasite diversity and transmission intensity affect development of parasitological immunity in a mathematical model.", "type" : "article-journal", "volume" : "11" }, "uris" : [ "http://www.mendeley.com/documents/?uuid=fc4bf16d-2945-414e-8e6e-9241acd6baf0" ] } ], "mendeley" : { "formattedCitation" : "(70)", "plainTextFormattedCitation" : "(70)", "previouslyFormattedCitation" : "(70)" }, "properties" : { "noteIndex" : 0 }, "schema" : "https://github.com/citation-style-language/schema/raw/master/csl-citation.json" }</w:instrText>
            </w:r>
            <w:r>
              <w:rPr>
                <w:rFonts w:ascii="Calibri" w:hAnsi="Calibri" w:cs="Calibri"/>
                <w:color w:val="000000"/>
              </w:rPr>
              <w:fldChar w:fldCharType="separate"/>
            </w:r>
            <w:r w:rsidRPr="009D01D3">
              <w:rPr>
                <w:rFonts w:ascii="Calibri" w:hAnsi="Calibri" w:cs="Calibri"/>
                <w:noProof/>
                <w:color w:val="000000"/>
              </w:rPr>
              <w:t>(70)</w:t>
            </w:r>
            <w:r>
              <w:rPr>
                <w:rFonts w:ascii="Calibri" w:hAnsi="Calibri" w:cs="Calibri"/>
                <w:color w:val="000000"/>
              </w:rPr>
              <w:fldChar w:fldCharType="end"/>
            </w:r>
          </w:p>
        </w:tc>
      </w:tr>
      <w:tr w:rsidR="009D01D3" w:rsidRPr="00E358A3" w:rsidTr="0020168A">
        <w:trPr>
          <w:trHeight w:val="42"/>
        </w:trPr>
        <w:tc>
          <w:tcPr>
            <w:tcW w:w="260" w:type="pct"/>
            <w:tcBorders>
              <w:top w:val="nil"/>
              <w:left w:val="nil"/>
              <w:bottom w:val="nil"/>
              <w:right w:val="single" w:sz="4" w:space="0" w:color="auto"/>
            </w:tcBorders>
            <w:shd w:val="clear" w:color="auto" w:fill="auto"/>
            <w:vAlign w:val="center"/>
          </w:tcPr>
          <w:p w:rsidR="009D01D3" w:rsidRPr="00E358A3" w:rsidRDefault="009D01D3" w:rsidP="0020168A"/>
        </w:tc>
        <w:tc>
          <w:tcPr>
            <w:tcW w:w="360" w:type="pct"/>
            <w:tcBorders>
              <w:top w:val="nil"/>
              <w:left w:val="single" w:sz="4" w:space="0" w:color="auto"/>
              <w:bottom w:val="nil"/>
              <w:right w:val="single" w:sz="12" w:space="0" w:color="auto"/>
            </w:tcBorders>
            <w:shd w:val="clear" w:color="auto" w:fill="auto"/>
            <w:vAlign w:val="center"/>
          </w:tcPr>
          <w:p w:rsidR="009D01D3" w:rsidRDefault="009D01D3" w:rsidP="0020168A">
            <w:pPr>
              <w:jc w:val="right"/>
              <w:rPr>
                <w:rFonts w:ascii="Calibri" w:hAnsi="Calibri" w:cs="Calibri"/>
                <w:color w:val="000000"/>
              </w:rPr>
            </w:pPr>
            <w:r w:rsidRPr="00C45088">
              <w:rPr>
                <w:rFonts w:ascii="Calibri" w:hAnsi="Calibri" w:cs="Calibri"/>
                <w:color w:val="000000"/>
              </w:rPr>
              <w:t>Eckhoff (2013)</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Model effects of multiple interventions on malaria transmission</w:t>
            </w:r>
          </w:p>
        </w:tc>
        <w:tc>
          <w:tcPr>
            <w:tcW w:w="152" w:type="pct"/>
            <w:tcBorders>
              <w:top w:val="single" w:sz="4" w:space="0" w:color="auto"/>
              <w:left w:val="nil"/>
              <w:bottom w:val="single" w:sz="4" w:space="0" w:color="auto"/>
              <w:right w:val="nil"/>
            </w:tcBorders>
            <w:shd w:val="clear" w:color="auto" w:fill="auto"/>
            <w:vAlign w:val="center"/>
          </w:tcPr>
          <w:p w:rsidR="009D01D3" w:rsidRPr="0018588C" w:rsidRDefault="009D01D3" w:rsidP="0020168A">
            <w:pPr>
              <w:jc w:val="center"/>
              <w:rPr>
                <w:rFonts w:ascii="Calibri" w:hAnsi="Calibri" w:cs="Calibri"/>
                <w:color w:val="000000"/>
              </w:rPr>
            </w:pPr>
            <w:r w:rsidRPr="00C45088">
              <w:rPr>
                <w:rFonts w:ascii="Calibri" w:hAnsi="Calibri" w:cs="Calibri"/>
                <w:color w:val="000000"/>
              </w:rPr>
              <w:t>H,M</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Y</w:t>
            </w:r>
          </w:p>
        </w:tc>
        <w:tc>
          <w:tcPr>
            <w:tcW w:w="146"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P,C,V,S</w:t>
            </w:r>
          </w:p>
        </w:tc>
        <w:tc>
          <w:tcPr>
            <w:tcW w:w="773"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Intervention coverage and efficacy, EIR, vector endophagy</w:t>
            </w:r>
          </w:p>
        </w:tc>
        <w:tc>
          <w:tcPr>
            <w:tcW w:w="6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Prevalence, daily EIR</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Multiple vector species modelled</w:t>
            </w:r>
          </w:p>
        </w:tc>
        <w:tc>
          <w:tcPr>
            <w:tcW w:w="150"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Pr>
                <w:rFonts w:ascii="Calibri" w:hAnsi="Calibri" w:cs="Calibri"/>
                <w:color w:val="000000"/>
              </w:rPr>
              <w:fldChar w:fldCharType="begin" w:fldLock="1"/>
            </w:r>
            <w:r>
              <w:rPr>
                <w:rFonts w:ascii="Calibri" w:hAnsi="Calibri" w:cs="Calibri"/>
                <w:color w:val="000000"/>
              </w:rPr>
              <w:instrText>ADDIN CSL_CITATION { "citationItems" : [ { "id" : "ITEM-1", "itemData" : { "DOI" : "10.4269/ajtmh.12-0007", "ISBN" : "1476-1645 (Electronic)\\r0002-9637 (Linking)", "ISSN" : "00029637", "PMID" : "23589530", "abstract" : "A model for Anopheles population dynamics and malaria transmission is combined with a within-host dynamics microsolver to study baseline transmission, the effects of seasonality, and the impact of interventions. The Garki Project is recreated in simulation of the pre-intervention baseline and the different combinations of interventions deployed. Modifications are introduced, and longer project duration, extension of dry-season spraying, and transmission-blocking vaccines together achieve local elimination in some conditions. A variety of interventions are simulated in transmission settings that vary in transmission intensity and underlying seasonality. Adding vaccines to existing vector control efforts extends the ability to achieve elimination to higher baseline transmission and less favorable vector behavior. If one species of the Anopheles gambiae species complex feeds disproportionately outdoors for a given complex average behavior, vector control impacts are less than for a single species. Non-zero dry-season transmission limits seasonal oscillation in parasite dynamics and impact of wet-season interventions.", "author" : [ { "dropping-particle" : "", "family" : "Eckhoff", "given" : "Philip", "non-dropping-particle" : "", "parse-names" : false, "suffix" : "" } ], "container-title" : "American Journal of Tropical Medicine and Hygiene", "id" : "ITEM-1", "issue" : "5", "issued" : { "date-parts" : [ [ "2013" ] ] }, "page" : "817-827", "title" : "Mathematical models of within-host and transmission dynamics to determine effects of malaria interventions in a variety of transmission settings", "type" : "article-journal", "volume" : "88" }, "uris" : [ "http://www.mendeley.com/documents/?uuid=d7891bcb-6efb-4241-adc8-f72730fbd220" ] } ], "mendeley" : { "formattedCitation" : "(71)", "plainTextFormattedCitation" : "(71)", "previouslyFormattedCitation" : "(71)" }, "properties" : { "noteIndex" : 0 }, "schema" : "https://github.com/citation-style-language/schema/raw/master/csl-citation.json" }</w:instrText>
            </w:r>
            <w:r>
              <w:rPr>
                <w:rFonts w:ascii="Calibri" w:hAnsi="Calibri" w:cs="Calibri"/>
                <w:color w:val="000000"/>
              </w:rPr>
              <w:fldChar w:fldCharType="separate"/>
            </w:r>
            <w:r w:rsidRPr="009D01D3">
              <w:rPr>
                <w:rFonts w:ascii="Calibri" w:hAnsi="Calibri" w:cs="Calibri"/>
                <w:noProof/>
                <w:color w:val="000000"/>
              </w:rPr>
              <w:t>(71)</w:t>
            </w:r>
            <w:r>
              <w:rPr>
                <w:rFonts w:ascii="Calibri" w:hAnsi="Calibri" w:cs="Calibri"/>
                <w:color w:val="000000"/>
              </w:rPr>
              <w:fldChar w:fldCharType="end"/>
            </w:r>
          </w:p>
        </w:tc>
      </w:tr>
      <w:tr w:rsidR="009D01D3" w:rsidRPr="00E358A3" w:rsidTr="0020168A">
        <w:trPr>
          <w:trHeight w:val="42"/>
        </w:trPr>
        <w:tc>
          <w:tcPr>
            <w:tcW w:w="260" w:type="pct"/>
            <w:tcBorders>
              <w:top w:val="nil"/>
              <w:left w:val="nil"/>
              <w:bottom w:val="nil"/>
              <w:right w:val="single" w:sz="4" w:space="0" w:color="auto"/>
            </w:tcBorders>
            <w:shd w:val="clear" w:color="auto" w:fill="auto"/>
            <w:vAlign w:val="center"/>
          </w:tcPr>
          <w:p w:rsidR="009D01D3" w:rsidRPr="00E358A3" w:rsidRDefault="009D01D3" w:rsidP="0020168A"/>
        </w:tc>
        <w:tc>
          <w:tcPr>
            <w:tcW w:w="360" w:type="pct"/>
            <w:tcBorders>
              <w:top w:val="nil"/>
              <w:left w:val="single" w:sz="4" w:space="0" w:color="auto"/>
              <w:bottom w:val="nil"/>
              <w:right w:val="single" w:sz="12" w:space="0" w:color="auto"/>
            </w:tcBorders>
            <w:shd w:val="clear" w:color="auto" w:fill="auto"/>
            <w:vAlign w:val="center"/>
          </w:tcPr>
          <w:p w:rsidR="009D01D3" w:rsidRDefault="009D01D3" w:rsidP="0020168A">
            <w:pPr>
              <w:jc w:val="right"/>
              <w:rPr>
                <w:rFonts w:ascii="Calibri" w:hAnsi="Calibri" w:cs="Calibri"/>
                <w:color w:val="000000"/>
                <w:highlight w:val="green"/>
              </w:rPr>
            </w:pPr>
            <w:r w:rsidRPr="00C45088">
              <w:rPr>
                <w:rFonts w:ascii="Calibri" w:hAnsi="Calibri" w:cs="Calibri"/>
                <w:color w:val="000000"/>
              </w:rPr>
              <w:t>Wenger (2013)</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Model expected impacts of present and future vaccines</w:t>
            </w:r>
          </w:p>
        </w:tc>
        <w:tc>
          <w:tcPr>
            <w:tcW w:w="152" w:type="pct"/>
            <w:tcBorders>
              <w:top w:val="single" w:sz="4" w:space="0" w:color="auto"/>
              <w:left w:val="nil"/>
              <w:bottom w:val="single" w:sz="4" w:space="0" w:color="auto"/>
              <w:right w:val="nil"/>
            </w:tcBorders>
            <w:shd w:val="clear" w:color="auto" w:fill="auto"/>
            <w:vAlign w:val="center"/>
          </w:tcPr>
          <w:p w:rsidR="009D01D3" w:rsidRPr="00725E85" w:rsidRDefault="009D01D3" w:rsidP="0020168A">
            <w:pPr>
              <w:jc w:val="center"/>
              <w:rPr>
                <w:rFonts w:ascii="Calibri" w:hAnsi="Calibri" w:cs="Calibri"/>
                <w:color w:val="000000"/>
                <w:highlight w:val="green"/>
              </w:rPr>
            </w:pPr>
            <w:r w:rsidRPr="00C45088">
              <w:rPr>
                <w:rFonts w:ascii="Calibri" w:hAnsi="Calibri" w:cs="Calibri"/>
                <w:color w:val="000000"/>
              </w:rPr>
              <w:t>H</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Y</w:t>
            </w:r>
          </w:p>
        </w:tc>
        <w:tc>
          <w:tcPr>
            <w:tcW w:w="146"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P,S</w:t>
            </w:r>
          </w:p>
        </w:tc>
        <w:tc>
          <w:tcPr>
            <w:tcW w:w="773"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Climate and vector parameters, EIR</w:t>
            </w:r>
          </w:p>
        </w:tc>
        <w:tc>
          <w:tcPr>
            <w:tcW w:w="650"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Prevalence, daily EIR, daily clinical incidence rate</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50"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N</w:t>
            </w:r>
          </w:p>
        </w:tc>
        <w:tc>
          <w:tcPr>
            <w:tcW w:w="150" w:type="pct"/>
            <w:tcBorders>
              <w:top w:val="single" w:sz="4" w:space="0" w:color="auto"/>
              <w:left w:val="nil"/>
              <w:bottom w:val="single" w:sz="4" w:space="0" w:color="auto"/>
              <w:right w:val="nil"/>
            </w:tcBorders>
            <w:vAlign w:val="center"/>
          </w:tcPr>
          <w:p w:rsidR="009D01D3" w:rsidRDefault="009D01D3" w:rsidP="0020168A">
            <w:pPr>
              <w:jc w:val="center"/>
              <w:rPr>
                <w:rFonts w:ascii="Calibri" w:hAnsi="Calibri" w:cs="Calibri"/>
                <w:color w:val="000000"/>
              </w:rPr>
            </w:pPr>
            <w:r>
              <w:rPr>
                <w:rFonts w:ascii="Calibri" w:hAnsi="Calibri" w:cs="Calibri"/>
                <w:color w:val="000000"/>
              </w:rPr>
              <w:fldChar w:fldCharType="begin" w:fldLock="1"/>
            </w:r>
            <w:r>
              <w:rPr>
                <w:rFonts w:ascii="Calibri" w:hAnsi="Calibri" w:cs="Calibri"/>
                <w:color w:val="000000"/>
              </w:rPr>
              <w:instrText>ADDIN CSL_CITATION { "citationItems" : [ { "id" : "ITEM-1", "itemData" : { "ISBN" : "1475-2875", "abstract" : "Background: With the encouraging advent of new malaria vaccine candidates, mathematical modelling of expected impacts of present and future vaccines as part of multi-intervention strategies is especially relevant. Methods: The impact of potential malaria vaccines is presented utilizing the EMOD model, a comprehensive model of the vector life cycle coupled to a detailed mechanistic representation of intra-host parasite and immune dynamics. Values of baseline transmission and vector feeding behaviour parameters are identified, for which local elimination is enabled by layering pre-erythrocytic vaccines of various efficacies on top of high and sustained insecticide-treated net coverage. The expected reduction in clinical cases is further explored in a scenario that targets children by adding a pre-erythrocytic vaccine to the EPI programme for newborns. Results: At high transmission, there is a minimal reduction in clinical disease cases, as the time to infection is only slightly delayed. At lower transmission, there is an accelerating community-level protection that has subtle dependences on heterogeneities in vector behaviour, ecology, and intervention coverage. At very low transmission, the trend reverses as many children are vaccinated to prevent few cases. Conclusions: The maximum-impact setting is one in which the impact of increasing bed net coverage has saturated, vector feeding is primarily outdoors, and transmission is just above the threshold where small perturbations from a vaccine intervention result in large community benefits.", "author" : [ { "dropping-particle" : "", "family" : "Wenger", "given" : "E A", "non-dropping-particle" : "", "parse-names" : false, "suffix" : "" }, { "dropping-particle" : "", "family" : "Eckhoff", "given" : "P A", "non-dropping-particle" : "", "parse-names" : false, "suffix" : "" } ], "container-title" : "Malaria Journal", "id" : "ITEM-1", "issued" : { "date-parts" : [ [ "2013" ] ] }, "page" : "126", "title" : "A mathematical model of the impact of present and future malaria vaccines.", "type" : "article-journal", "volume" : "12" }, "uris" : [ "http://www.mendeley.com/documents/?uuid=684531c2-b3ca-40d9-82e6-324789d9c3db" ] } ], "mendeley" : { "formattedCitation" : "(72)", "plainTextFormattedCitation" : "(72)", "previouslyFormattedCitation" : "(72)" }, "properties" : { "noteIndex" : 0 }, "schema" : "https://github.com/citation-style-language/schema/raw/master/csl-citation.json" }</w:instrText>
            </w:r>
            <w:r>
              <w:rPr>
                <w:rFonts w:ascii="Calibri" w:hAnsi="Calibri" w:cs="Calibri"/>
                <w:color w:val="000000"/>
              </w:rPr>
              <w:fldChar w:fldCharType="separate"/>
            </w:r>
            <w:r w:rsidRPr="009D01D3">
              <w:rPr>
                <w:rFonts w:ascii="Calibri" w:hAnsi="Calibri" w:cs="Calibri"/>
                <w:noProof/>
                <w:color w:val="000000"/>
              </w:rPr>
              <w:t>(72)</w:t>
            </w:r>
            <w:r>
              <w:rPr>
                <w:rFonts w:ascii="Calibri" w:hAnsi="Calibri" w:cs="Calibri"/>
                <w:color w:val="000000"/>
              </w:rPr>
              <w:fldChar w:fldCharType="end"/>
            </w:r>
          </w:p>
        </w:tc>
      </w:tr>
      <w:tr w:rsidR="009D01D3" w:rsidRPr="00E358A3" w:rsidTr="0020168A">
        <w:trPr>
          <w:trHeight w:val="42"/>
        </w:trPr>
        <w:tc>
          <w:tcPr>
            <w:tcW w:w="260" w:type="pct"/>
            <w:tcBorders>
              <w:top w:val="nil"/>
              <w:left w:val="nil"/>
              <w:bottom w:val="nil"/>
              <w:right w:val="single" w:sz="4" w:space="0" w:color="auto"/>
            </w:tcBorders>
            <w:shd w:val="clear" w:color="auto" w:fill="auto"/>
            <w:vAlign w:val="center"/>
            <w:hideMark/>
          </w:tcPr>
          <w:p w:rsidR="009D01D3" w:rsidRPr="00E358A3" w:rsidRDefault="009D01D3" w:rsidP="0020168A"/>
        </w:tc>
        <w:tc>
          <w:tcPr>
            <w:tcW w:w="360" w:type="pct"/>
            <w:tcBorders>
              <w:top w:val="nil"/>
              <w:left w:val="single" w:sz="4" w:space="0" w:color="auto"/>
              <w:bottom w:val="nil"/>
              <w:right w:val="single" w:sz="12" w:space="0" w:color="auto"/>
            </w:tcBorders>
            <w:shd w:val="clear" w:color="auto" w:fill="auto"/>
            <w:vAlign w:val="center"/>
            <w:hideMark/>
          </w:tcPr>
          <w:p w:rsidR="009D01D3" w:rsidRPr="00030554" w:rsidRDefault="009D01D3" w:rsidP="0020168A">
            <w:pPr>
              <w:jc w:val="right"/>
              <w:rPr>
                <w:rFonts w:ascii="Calibri" w:hAnsi="Calibri" w:cs="Calibri"/>
                <w:color w:val="000000"/>
              </w:rPr>
            </w:pPr>
            <w:r w:rsidRPr="00E71D21">
              <w:rPr>
                <w:rFonts w:ascii="Calibri" w:hAnsi="Calibri" w:cs="Calibri"/>
                <w:color w:val="000000"/>
              </w:rPr>
              <w:t>McCarthy (2015)</w:t>
            </w:r>
          </w:p>
        </w:tc>
        <w:tc>
          <w:tcPr>
            <w:tcW w:w="674" w:type="pct"/>
            <w:tcBorders>
              <w:top w:val="single" w:sz="4" w:space="0" w:color="auto"/>
              <w:left w:val="single" w:sz="12" w:space="0" w:color="auto"/>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Calibrate Eckhoff (2011) to immune system parameters, evaluate impact of pre-erythrocytic vaccine in varying transmission conditions</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H,M</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46"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P,C,V</w:t>
            </w:r>
          </w:p>
        </w:tc>
        <w:tc>
          <w:tcPr>
            <w:tcW w:w="773"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Age-stratified prevalence, fever incidence, age-stratified severe disease incidence</w:t>
            </w:r>
          </w:p>
        </w:tc>
        <w:tc>
          <w:tcPr>
            <w:tcW w:w="6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Parasite prevalence, severe disease incidence, per-bite vaccine efficacy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Severe malaria diagnosis, parasite antigenic variation, innate and adaptive immunity</w:t>
            </w:r>
          </w:p>
        </w:tc>
        <w:tc>
          <w:tcPr>
            <w:tcW w:w="1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fldChar w:fldCharType="begin" w:fldLock="1"/>
            </w:r>
            <w:r>
              <w:rPr>
                <w:rFonts w:ascii="Calibri" w:hAnsi="Calibri" w:cs="Calibri"/>
                <w:color w:val="000000"/>
              </w:rPr>
              <w:instrText>ADDIN CSL_CITATION { "citationItems" : [ { "id" : "ITEM-1", "itemData" : { "DOI" : "10.1186/1475-2875-14-6", "ISBN" : "1475-2875", "ISSN" : "1475-2875", "abstract" : "A pre-erythrocytic vaccine could provide a useful tool for burden reduction and eventual eradication of malaria. Mathematical malaria models provide a mechanism for evaluating the effective burden reduction across a range of transmission conditions where such a vaccine might be deployed.", "author" : [ { "dropping-particle" : "", "family" : "McCarthy", "given" : "Kevin A", "non-dropping-particle" : "", "parse-names" : false, "suffix" : "" }, { "dropping-particle" : "", "family" : "Wenger", "given" : "Edward A", "non-dropping-particle" : "", "parse-names" : false, "suffix" : "" }, { "dropping-particle" : "", "family" : "Huynh", "given" : "Grace H", "non-dropping-particle" : "", "parse-names" : false, "suffix" : "" }, { "dropping-particle" : "", "family" : "Eckhoff", "given" : "Philip A", "non-dropping-particle" : "", "parse-names" : false, "suffix" : "" } ], "container-title" : "Malaria Journal", "id" : "ITEM-1", "issue" : "1", "issued" : { "date-parts" : [ [ "2015" ] ] }, "page" : "6", "title" : "Calibration of an intrahost malaria model and parameter ensemble evaluation of a pre-erythrocytic vaccine", "type" : "article-journal", "volume" : "14" }, "uris" : [ "http://www.mendeley.com/documents/?uuid=b4cef582-4774-46f9-8272-8df134630908" ] } ], "mendeley" : { "formattedCitation" : "(73)", "plainTextFormattedCitation" : "(73)", "previouslyFormattedCitation" : "(73)" }, "properties" : { "noteIndex" : 0 }, "schema" : "https://github.com/citation-style-language/schema/raw/master/csl-citation.json" }</w:instrText>
            </w:r>
            <w:r w:rsidRPr="00E358A3">
              <w:rPr>
                <w:rFonts w:ascii="Calibri" w:hAnsi="Calibri" w:cs="Calibri"/>
                <w:color w:val="000000"/>
              </w:rPr>
              <w:fldChar w:fldCharType="separate"/>
            </w:r>
            <w:r w:rsidRPr="009D01D3">
              <w:rPr>
                <w:rFonts w:ascii="Calibri" w:hAnsi="Calibri" w:cs="Calibri"/>
                <w:noProof/>
                <w:color w:val="000000"/>
              </w:rPr>
              <w:t>(73)</w:t>
            </w:r>
            <w:r w:rsidRPr="00E358A3">
              <w:rPr>
                <w:rFonts w:ascii="Calibri" w:hAnsi="Calibri" w:cs="Calibri"/>
                <w:color w:val="000000"/>
              </w:rPr>
              <w:fldChar w:fldCharType="end"/>
            </w:r>
          </w:p>
        </w:tc>
      </w:tr>
      <w:tr w:rsidR="009D01D3" w:rsidRPr="00E358A3" w:rsidTr="0020168A">
        <w:trPr>
          <w:trHeight w:val="1740"/>
        </w:trPr>
        <w:tc>
          <w:tcPr>
            <w:tcW w:w="260" w:type="pct"/>
            <w:tcBorders>
              <w:top w:val="nil"/>
              <w:left w:val="nil"/>
              <w:bottom w:val="nil"/>
              <w:right w:val="single" w:sz="4" w:space="0" w:color="auto"/>
            </w:tcBorders>
            <w:shd w:val="clear" w:color="auto" w:fill="auto"/>
            <w:vAlign w:val="center"/>
            <w:hideMark/>
          </w:tcPr>
          <w:p w:rsidR="009D01D3" w:rsidRPr="00E358A3" w:rsidRDefault="009D01D3" w:rsidP="0020168A"/>
        </w:tc>
        <w:tc>
          <w:tcPr>
            <w:tcW w:w="360" w:type="pct"/>
            <w:tcBorders>
              <w:top w:val="nil"/>
              <w:left w:val="single" w:sz="4" w:space="0" w:color="auto"/>
              <w:bottom w:val="nil"/>
              <w:right w:val="single" w:sz="12" w:space="0" w:color="auto"/>
            </w:tcBorders>
            <w:shd w:val="clear" w:color="auto" w:fill="auto"/>
            <w:vAlign w:val="center"/>
            <w:hideMark/>
          </w:tcPr>
          <w:p w:rsidR="009D01D3" w:rsidRPr="00030554" w:rsidRDefault="009D01D3" w:rsidP="0020168A">
            <w:pPr>
              <w:jc w:val="right"/>
              <w:rPr>
                <w:rFonts w:ascii="Calibri" w:hAnsi="Calibri" w:cs="Calibri"/>
                <w:color w:val="000000"/>
              </w:rPr>
            </w:pPr>
            <w:r w:rsidRPr="00E71D21">
              <w:rPr>
                <w:rFonts w:ascii="Calibri" w:hAnsi="Calibri" w:cs="Calibri"/>
                <w:color w:val="000000"/>
              </w:rPr>
              <w:t>Gerardin (2015A)</w:t>
            </w:r>
          </w:p>
        </w:tc>
        <w:tc>
          <w:tcPr>
            <w:tcW w:w="674" w:type="pct"/>
            <w:tcBorders>
              <w:top w:val="single" w:sz="4" w:space="0" w:color="auto"/>
              <w:left w:val="single" w:sz="12" w:space="0" w:color="auto"/>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Comparison of antimalarials using pharmacokinetic and pharmacodynamic modelling</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H,M</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46"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P,C,S</w:t>
            </w:r>
          </w:p>
        </w:tc>
        <w:tc>
          <w:tcPr>
            <w:tcW w:w="773"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Environmental data, EIR, parameters relating to antimalarial pharmacokinetics</w:t>
            </w:r>
          </w:p>
        </w:tc>
        <w:tc>
          <w:tcPr>
            <w:tcW w:w="6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Asexual parasite prevalence</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Pharmacokinetics (PK), pharmacodynamics (PD)</w:t>
            </w:r>
          </w:p>
        </w:tc>
        <w:tc>
          <w:tcPr>
            <w:tcW w:w="1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fldChar w:fldCharType="begin" w:fldLock="1"/>
            </w:r>
            <w:r>
              <w:rPr>
                <w:rFonts w:ascii="Calibri" w:hAnsi="Calibri" w:cs="Calibri"/>
                <w:color w:val="000000"/>
              </w:rPr>
              <w:instrText>ADDIN CSL_CITATION { "citationItems" : [ { "id" : "ITEM-1", "itemData" : { "DOI" : "10.1186/s12879-015-0887-y", "ISBN" : "1471-2334", "abstract" : "Background: Antimalarial drugs are a powerful tool for malaria control and elimination. Artemisinin-based combination therapies (ACTs) can reduce transmission when widely distributed in a campaign setting. Modelling mass antimalarial campaigns can elucidate how to most effectively deploy drug-based interventions and quantitatively compare the effects of cure, prophylaxis, and transmission-blocking in suppressing parasite prevalence. Methods: A previously established agent-based model that includes innate and adaptive immunity was used to simulate malaria infections and transmission. Pharmacokinetics of artemether, lumefantrine, dihydroartemisinin, piperaquine, and primaquine were modelled with a double-exponential distribution-elimination model including weight-dependent parameters and age-dependent dosing. Drug killing of asexual parasites and gametocytes was calibrated to clinical data. Mass distribution of ACTs and primaquine was simulated with seasonal mosquito dynamics at a range of transmission intensities. Results: A single mass campaign with antimalarial drugs is insufficient to permanently reduce malaria prevalence when transmission is high. Current diagnostics are insufficiently sensitive to accurately identify asymptomatic infections, and mass-screen-and-treat campaigns aremuch less efficacious than mass drug administrations. Improving campaign coverage leads to decreased prevalence one month after the end of the campaign, while increasing compliance lengthens the duration of protection against reinfection. Use of a long-lasting prophylactic as part of a mass drug administration regimen confers the most benefit under conditions of high transmission and moderately high coverage. Addition of primaquine can reduce prevalence but exerts its largest effect when coupled with a long-lasting prophylactic. Conclusions: Mass administration of antimalarial drugs can be a powerful tool to reduce prevalence for a few months post-campaign. A slow-decaying prophylactic administered with a parasite-clearing drug offers strong protection against reinfection, especially in highly endemic areas. Transmission-blocking drugs have only limited effects unless administered with a prophylactic under very high coverage.", "author" : [ { "dropping-particle" : "", "family" : "Gerardin", "given" : "Jaline", "non-dropping-particle" : "", "parse-names" : false, "suffix" : "" }, { "dropping-particle" : "", "family" : "Eckhoff", "given" : "Philip", "non-dropping-particle" : "", "parse-names" : false, "suffix" : "" }, { "dropping-particle" : "", "family" : "Wenger", "given" : "Edward A", "non-dropping-particle" : "", "parse-names" : false, "suffix" : "" } ], "container-title" : "BMC Infectious Diseases", "id" : "ITEM-1", "issue" : "1", "issued" : { "date-parts" : [ [ "2015" ] ] }, "page" : "144-157", "title" : "Mass campaigns with antimalarial drugs: a modelling comparison of artemether-lumefantrine and DHA-piperaquine with and without primaquine as tools for malaria control and elimination", "type" : "article-journal", "volume" : "15" }, "uris" : [ "http://www.mendeley.com/documents/?uuid=0c10a109-204f-4c16-9ef4-e16a2fee4c52" ] } ], "mendeley" : { "formattedCitation" : "(74)", "plainTextFormattedCitation" : "(74)", "previouslyFormattedCitation" : "(74)" }, "properties" : { "noteIndex" : 0 }, "schema" : "https://github.com/citation-style-language/schema/raw/master/csl-citation.json" }</w:instrText>
            </w:r>
            <w:r w:rsidRPr="00E358A3">
              <w:rPr>
                <w:rFonts w:ascii="Calibri" w:hAnsi="Calibri" w:cs="Calibri"/>
                <w:color w:val="000000"/>
              </w:rPr>
              <w:fldChar w:fldCharType="separate"/>
            </w:r>
            <w:r w:rsidRPr="009D01D3">
              <w:rPr>
                <w:rFonts w:ascii="Calibri" w:hAnsi="Calibri" w:cs="Calibri"/>
                <w:noProof/>
                <w:color w:val="000000"/>
              </w:rPr>
              <w:t>(74)</w:t>
            </w:r>
            <w:r w:rsidRPr="00E358A3">
              <w:rPr>
                <w:rFonts w:ascii="Calibri" w:hAnsi="Calibri" w:cs="Calibri"/>
                <w:color w:val="000000"/>
              </w:rPr>
              <w:fldChar w:fldCharType="end"/>
            </w:r>
          </w:p>
        </w:tc>
      </w:tr>
      <w:tr w:rsidR="009D01D3" w:rsidRPr="00E358A3" w:rsidTr="0020168A">
        <w:trPr>
          <w:trHeight w:val="1561"/>
        </w:trPr>
        <w:tc>
          <w:tcPr>
            <w:tcW w:w="260" w:type="pct"/>
            <w:tcBorders>
              <w:top w:val="nil"/>
              <w:left w:val="nil"/>
              <w:bottom w:val="nil"/>
              <w:right w:val="single" w:sz="4" w:space="0" w:color="auto"/>
            </w:tcBorders>
            <w:shd w:val="clear" w:color="auto" w:fill="auto"/>
            <w:vAlign w:val="center"/>
            <w:hideMark/>
          </w:tcPr>
          <w:p w:rsidR="009D01D3" w:rsidRPr="00E358A3" w:rsidRDefault="009D01D3" w:rsidP="0020168A">
            <w:pPr>
              <w:rPr>
                <w:rFonts w:ascii="Calibri" w:hAnsi="Calibri" w:cs="Calibri"/>
                <w:color w:val="000000"/>
              </w:rPr>
            </w:pPr>
          </w:p>
        </w:tc>
        <w:tc>
          <w:tcPr>
            <w:tcW w:w="360" w:type="pct"/>
            <w:tcBorders>
              <w:top w:val="nil"/>
              <w:left w:val="single" w:sz="4" w:space="0" w:color="auto"/>
              <w:bottom w:val="nil"/>
              <w:right w:val="single" w:sz="12" w:space="0" w:color="auto"/>
            </w:tcBorders>
            <w:shd w:val="clear" w:color="auto" w:fill="auto"/>
            <w:vAlign w:val="center"/>
            <w:hideMark/>
          </w:tcPr>
          <w:p w:rsidR="009D01D3" w:rsidRPr="00030554" w:rsidRDefault="009D01D3" w:rsidP="0020168A">
            <w:pPr>
              <w:jc w:val="right"/>
              <w:rPr>
                <w:rFonts w:ascii="Calibri" w:hAnsi="Calibri" w:cs="Calibri"/>
                <w:color w:val="000000"/>
              </w:rPr>
            </w:pPr>
            <w:r w:rsidRPr="00E71D21">
              <w:rPr>
                <w:rFonts w:ascii="Calibri" w:hAnsi="Calibri" w:cs="Calibri"/>
                <w:color w:val="000000"/>
              </w:rPr>
              <w:t>Gerardin (2015B)</w:t>
            </w:r>
          </w:p>
        </w:tc>
        <w:tc>
          <w:tcPr>
            <w:tcW w:w="674" w:type="pct"/>
            <w:tcBorders>
              <w:top w:val="single" w:sz="4" w:space="0" w:color="auto"/>
              <w:left w:val="single" w:sz="12" w:space="0" w:color="auto"/>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Characterise infectious reservoir by age and detection threshold, without intervention and under targeted elimination campaigns</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H,M</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46"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P,C</w:t>
            </w:r>
          </w:p>
        </w:tc>
        <w:tc>
          <w:tcPr>
            <w:tcW w:w="773"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Age-stratified prevalence and clinical incidence data, EIRs, age- and season-stratified asexual parasite and gametocyte densities</w:t>
            </w:r>
          </w:p>
        </w:tc>
        <w:tc>
          <w:tcPr>
            <w:tcW w:w="6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Asexual parasite and gametocyte densities</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Importation of cases</w:t>
            </w:r>
          </w:p>
        </w:tc>
        <w:tc>
          <w:tcPr>
            <w:tcW w:w="1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fldChar w:fldCharType="begin" w:fldLock="1"/>
            </w:r>
            <w:r>
              <w:rPr>
                <w:rFonts w:ascii="Calibri" w:hAnsi="Calibri" w:cs="Calibri"/>
                <w:color w:val="000000"/>
              </w:rPr>
              <w:instrText>ADDIN CSL_CITATION { "citationItems" : [ { "id" : "ITEM-1", "itemData" : { "DOI" : "10.1186/s12936-015-0751-y", "ISBN" : "1475-2875", "abstract" : "Background: Elimination of malaria can only be achieved through removal of all vectors or complete depletion of the infectious reservoir in humans. Mechanistic models can be built to synthesize diverse observations from the field collected under a variety of conditions and subsequently used to query the infectious reservoir in great detail. Methods: The EMOD model of malaria transmission was calibrated to prevalence, incidence, asexual parasite density, gametocyte density, infection duration, and infectiousness data from nine study sites. The infectious reservoir was characterized by age and parasite detectability with diagnostics of varying sensitivity over a range of transmission intensities with and without case management and vector control. Mass screen-and-treat drug campaigns were tested for likelihood of achieving elimination. Results: The composition of the infectious reservoir is similar over a range of transmission intensities, and higher intensity settings are biased towards infections in children. Recent ramp-ups in case management and use of insecticide-treated bed nets (ITNs) reduce the infectious reservoir and shift the composition towards sub-microscopic infections. Mass campaigns with anti-malarial drugs are highly effective at interrupting transmission if deployed shortly after ITN campaigns. Conclusions: Low-density infections comprise a substantial portion of the infectious reservoir. Proper timing of vector control, seasonal variation in transmission intensity and mass drug campaigns allows lingering population immunity to help drive a region towards elimination.", "author" : [ { "dropping-particle" : "", "family" : "Gerardin", "given" : "Jaline", "non-dropping-particle" : "", "parse-names" : false, "suffix" : "" }, { "dropping-particle" : "", "family" : "Ou\u00e9draogo", "given" : "Andr\u00e9 Lin", "non-dropping-particle" : "", "parse-names" : false, "suffix" : "" }, { "dropping-particle" : "", "family" : "McCarthy", "given" : "Kevin A", "non-dropping-particle" : "", "parse-names" : false, "suffix" : "" }, { "dropping-particle" : "", "family" : "Eckhoff", "given" : "Philip A", "non-dropping-particle" : "", "parse-names" : false, "suffix" : "" }, { "dropping-particle" : "", "family" : "Wenger", "given" : "Edward A", "non-dropping-particle" : "", "parse-names" : false, "suffix" : "" } ], "container-title" : "Malaria Journal", "id" : "ITEM-1", "issue" : "1", "issued" : { "date-parts" : [ [ "2015" ] ] }, "page" : "231-243", "title" : "Characterization of the infectious reservoir of malaria with an agent-based model calibrated to age-stratified parasite densities and infectiousness", "type" : "article-journal", "volume" : "14" }, "uris" : [ "http://www.mendeley.com/documents/?uuid=ae340d62-196b-4d0a-84fe-0c47121b04a6" ] } ], "mendeley" : { "formattedCitation" : "(75)", "plainTextFormattedCitation" : "(75)", "previouslyFormattedCitation" : "(75)" }, "properties" : { "noteIndex" : 0 }, "schema" : "https://github.com/citation-style-language/schema/raw/master/csl-citation.json" }</w:instrText>
            </w:r>
            <w:r w:rsidRPr="00E358A3">
              <w:rPr>
                <w:rFonts w:ascii="Calibri" w:hAnsi="Calibri" w:cs="Calibri"/>
                <w:color w:val="000000"/>
              </w:rPr>
              <w:fldChar w:fldCharType="separate"/>
            </w:r>
            <w:r w:rsidRPr="009D01D3">
              <w:rPr>
                <w:rFonts w:ascii="Calibri" w:hAnsi="Calibri" w:cs="Calibri"/>
                <w:noProof/>
                <w:color w:val="000000"/>
              </w:rPr>
              <w:t>(75)</w:t>
            </w:r>
            <w:r w:rsidRPr="00E358A3">
              <w:rPr>
                <w:rFonts w:ascii="Calibri" w:hAnsi="Calibri" w:cs="Calibri"/>
                <w:color w:val="000000"/>
              </w:rPr>
              <w:fldChar w:fldCharType="end"/>
            </w:r>
          </w:p>
        </w:tc>
      </w:tr>
      <w:tr w:rsidR="009D01D3" w:rsidRPr="00E358A3" w:rsidTr="0020168A">
        <w:trPr>
          <w:trHeight w:val="388"/>
        </w:trPr>
        <w:tc>
          <w:tcPr>
            <w:tcW w:w="260" w:type="pct"/>
            <w:tcBorders>
              <w:top w:val="nil"/>
              <w:left w:val="nil"/>
              <w:right w:val="single" w:sz="4" w:space="0" w:color="auto"/>
            </w:tcBorders>
            <w:shd w:val="clear" w:color="auto" w:fill="auto"/>
            <w:vAlign w:val="center"/>
            <w:hideMark/>
          </w:tcPr>
          <w:p w:rsidR="009D01D3" w:rsidRPr="00E358A3" w:rsidRDefault="009D01D3" w:rsidP="0020168A"/>
        </w:tc>
        <w:tc>
          <w:tcPr>
            <w:tcW w:w="360" w:type="pct"/>
            <w:tcBorders>
              <w:top w:val="nil"/>
              <w:left w:val="single" w:sz="4" w:space="0" w:color="auto"/>
              <w:right w:val="single" w:sz="12" w:space="0" w:color="auto"/>
            </w:tcBorders>
            <w:shd w:val="clear" w:color="auto" w:fill="auto"/>
            <w:vAlign w:val="center"/>
            <w:hideMark/>
          </w:tcPr>
          <w:p w:rsidR="009D01D3" w:rsidRPr="00E71D21" w:rsidRDefault="009D01D3" w:rsidP="0020168A">
            <w:pPr>
              <w:jc w:val="right"/>
              <w:rPr>
                <w:rFonts w:ascii="Calibri" w:hAnsi="Calibri" w:cs="Calibri"/>
                <w:color w:val="000000"/>
              </w:rPr>
            </w:pPr>
            <w:r w:rsidRPr="00E71D21">
              <w:rPr>
                <w:rFonts w:ascii="Calibri" w:hAnsi="Calibri" w:cs="Calibri"/>
                <w:color w:val="000000"/>
              </w:rPr>
              <w:t>Gerardin (2016)</w:t>
            </w:r>
          </w:p>
        </w:tc>
        <w:tc>
          <w:tcPr>
            <w:tcW w:w="674" w:type="pct"/>
            <w:tcBorders>
              <w:top w:val="single" w:sz="4" w:space="0" w:color="auto"/>
              <w:left w:val="single" w:sz="12" w:space="0" w:color="auto"/>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Estimate household exposure to malaria transmission based on spatial infection status in Zambia</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H</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46"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C</w:t>
            </w:r>
          </w:p>
        </w:tc>
        <w:tc>
          <w:tcPr>
            <w:tcW w:w="773"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Household location, age structure, RDT positivity by age (for population structure)</w:t>
            </w:r>
          </w:p>
        </w:tc>
        <w:tc>
          <w:tcPr>
            <w:tcW w:w="6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Transmission intensity per household, number of clinical cases and new infections averted, fraction of infected individuals treated, probability of less than one onward infection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Importation of cases</w:t>
            </w:r>
          </w:p>
        </w:tc>
        <w:tc>
          <w:tcPr>
            <w:tcW w:w="1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Pr>
                <w:rFonts w:ascii="Calibri" w:hAnsi="Calibri" w:cs="Calibri"/>
                <w:color w:val="000000"/>
              </w:rPr>
              <w:t>Y</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fldChar w:fldCharType="begin" w:fldLock="1"/>
            </w:r>
            <w:r>
              <w:rPr>
                <w:rFonts w:ascii="Calibri" w:hAnsi="Calibri" w:cs="Calibri"/>
                <w:color w:val="000000"/>
              </w:rPr>
              <w:instrText>ADDIN CSL_CITATION { "citationItems" : [ { "id" : "ITEM-1", "itemData" : { "DOI" : "10.1371/journal.pcbi.1004707", "ISBN" : "1553-7358 (Electronic)\\r1553-734X (Linking)", "ISSN" : "1553-7358", "PMID" : "26764905", "abstract" : "Mass campaigns with antimalarial drugs are potentially a powerful tool for local elimination of malaria, yet current diagnostic technologies are insufficiently sensitive to identify all individuals who harbor infections. At the same time, overtreatment of uninfected individuals increases the risk of accelerating emergence of drug resistance and losing community acceptance. Local heterogeneity in transmission intensity may allow campaign strategies that respond to index cases to successfully target subpatent infections while simultaneously limiting overtreatment. While selective targeting of hotspots of transmission has been proposed as a strategy for malaria control, such targeting has not been tested in the context of malaria elimination. Using household locations, demographics, and prevalence data from a survey of four health facility catchment areas in southern Zambia and an agent-based model of malaria transmission and immunity acquisition, a transmission intensity was fit to each household based on neighborhood age-dependent malaria prevalence. A set of individual infection trajectories was constructed for every household in each catchment area, accounting for heterogeneous exposure and immunity. Various campaign strategies-mass drug administration, mass screen and treat, focal mass drug administration, snowball reactive case detection, pooled sampling, and a hypothetical serological diagnostic-were simulated and evaluated for performance at finding infections, minimizing overtreatment, reducing clinical case counts, and interrupting transmission. For malaria control, presumptive treatment leads to substantial overtreatment without additional morbidity reduction under all but the highest transmission conditions. Compared with untargeted approaches, selective targeting of hotspots with drug campaigns is an ineffective tool for elimination due to limited sensitivity of available field diagnostics. Serological diagnosis is potentially an effective tool for malaria elimination but requires higher coverage to achieve similar results to mass distribution of presumptive treatment.", "author" : [ { "dropping-particle" : "", "family" : "Gerardin", "given" : "Jaline", "non-dropping-particle" : "", "parse-names" : false, "suffix" : "" }, { "dropping-particle" : "", "family" : "Bever", "given" : "Caitlin A", "non-dropping-particle" : "", "parse-names" : false, "suffix" : "" }, { "dropping-particle" : "", "family" : "Hamainza", "given" : "Busiku", "non-dropping-particle" : "", "parse-names" : false, "suffix" : "" }, { "dropping-particle" : "", "family" : "Miller", "given" : "John M", "non-dropping-particle" : "", "parse-names" : false, "suffix" : "" }, { "dropping-particle" : "", "family" : "Eckhoff", "given" : "Philip A", "non-dropping-particle" : "", "parse-names" : false, "suffix" : "" }, { "dropping-particle" : "", "family" : "Wenger", "given" : "Edward A.", "non-dropping-particle" : "", "parse-names" : false, "suffix" : "" } ], "container-title" : "PLOS Computational Biology", "id" : "ITEM-1", "issue" : "1", "issued" : { "date-parts" : [ [ "2016", "1", "14" ] ] }, "page" : "e1004707", "title" : "Optimal Population-Level Infection Detection Strategies for Malaria Control and Elimination in a Spatial Model of Malaria Transmission", "type" : "article-journal", "volume" : "12" }, "uris" : [ "http://www.mendeley.com/documents/?uuid=9dada0b9-8c47-4286-b01c-da763387d3f3" ] } ], "mendeley" : { "formattedCitation" : "(76)", "plainTextFormattedCitation" : "(76)", "previouslyFormattedCitation" : "(76)" }, "properties" : { "noteIndex" : 0 }, "schema" : "https://github.com/citation-style-language/schema/raw/master/csl-citation.json" }</w:instrText>
            </w:r>
            <w:r w:rsidRPr="00E358A3">
              <w:rPr>
                <w:rFonts w:ascii="Calibri" w:hAnsi="Calibri" w:cs="Calibri"/>
                <w:color w:val="000000"/>
              </w:rPr>
              <w:fldChar w:fldCharType="separate"/>
            </w:r>
            <w:r w:rsidRPr="009D01D3">
              <w:rPr>
                <w:rFonts w:ascii="Calibri" w:hAnsi="Calibri" w:cs="Calibri"/>
                <w:noProof/>
                <w:color w:val="000000"/>
              </w:rPr>
              <w:t>(76)</w:t>
            </w:r>
            <w:r w:rsidRPr="00E358A3">
              <w:rPr>
                <w:rFonts w:ascii="Calibri" w:hAnsi="Calibri" w:cs="Calibri"/>
                <w:color w:val="000000"/>
              </w:rPr>
              <w:fldChar w:fldCharType="end"/>
            </w:r>
          </w:p>
        </w:tc>
      </w:tr>
      <w:tr w:rsidR="009D01D3" w:rsidRPr="00E358A3" w:rsidTr="0020168A">
        <w:trPr>
          <w:trHeight w:val="179"/>
        </w:trPr>
        <w:tc>
          <w:tcPr>
            <w:tcW w:w="260" w:type="pct"/>
            <w:tcBorders>
              <w:top w:val="nil"/>
              <w:left w:val="nil"/>
              <w:right w:val="single" w:sz="4" w:space="0" w:color="auto"/>
            </w:tcBorders>
            <w:shd w:val="clear" w:color="auto" w:fill="auto"/>
            <w:vAlign w:val="center"/>
            <w:hideMark/>
          </w:tcPr>
          <w:p w:rsidR="009D01D3" w:rsidRPr="00E358A3" w:rsidRDefault="009D01D3" w:rsidP="0020168A"/>
        </w:tc>
        <w:tc>
          <w:tcPr>
            <w:tcW w:w="360" w:type="pct"/>
            <w:tcBorders>
              <w:top w:val="nil"/>
              <w:left w:val="single" w:sz="4" w:space="0" w:color="auto"/>
              <w:right w:val="single" w:sz="12" w:space="0" w:color="auto"/>
            </w:tcBorders>
            <w:shd w:val="clear" w:color="auto" w:fill="auto"/>
            <w:vAlign w:val="center"/>
            <w:hideMark/>
          </w:tcPr>
          <w:p w:rsidR="009D01D3" w:rsidRPr="00E358A3" w:rsidRDefault="009D01D3" w:rsidP="0020168A">
            <w:pPr>
              <w:jc w:val="right"/>
              <w:rPr>
                <w:rFonts w:ascii="Calibri" w:hAnsi="Calibri" w:cs="Calibri"/>
                <w:color w:val="000000"/>
              </w:rPr>
            </w:pPr>
            <w:r w:rsidRPr="00391A7B">
              <w:rPr>
                <w:rFonts w:ascii="Calibri" w:hAnsi="Calibri" w:cs="Calibri"/>
                <w:color w:val="000000"/>
              </w:rPr>
              <w:t>Eckhoff (2016)</w:t>
            </w:r>
          </w:p>
        </w:tc>
        <w:tc>
          <w:tcPr>
            <w:tcW w:w="674" w:type="pct"/>
            <w:tcBorders>
              <w:top w:val="single" w:sz="4" w:space="0" w:color="auto"/>
              <w:left w:val="single" w:sz="12" w:space="0" w:color="auto"/>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Simulate the impacts of gene-drive mosquitoes on mosquito populations in SSA environments</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M</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46"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P,S</w:t>
            </w:r>
          </w:p>
        </w:tc>
        <w:tc>
          <w:tcPr>
            <w:tcW w:w="773"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Homing rate, fecundity reduction</w:t>
            </w:r>
          </w:p>
        </w:tc>
        <w:tc>
          <w:tcPr>
            <w:tcW w:w="6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Wildtype fraction, adult population size, EIR reduction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p>
        </w:tc>
        <w:tc>
          <w:tcPr>
            <w:tcW w:w="1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pPr>
            <w: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pPr>
            <w:r w:rsidRPr="00E358A3">
              <w:fldChar w:fldCharType="begin" w:fldLock="1"/>
            </w:r>
            <w:r>
              <w:instrText>ADDIN CSL_CITATION { "citationItems" : [ { "id" : "ITEM-1", "itemData" : { "DOI" : "10.1073/pnas.1611064114", "ISBN" : "0027-8424", "ISSN" : "1091-6490", "PMID" : "28028208", "abstract" : "The renewed effort to eliminate malaria and permanently remove its tremendous burden highlights questions of what combination of tools would be sufficient in various settings and what new tools need to be developed. Gene drive mosquitoes constitute a promising set of tools, with multiple different possible approaches including population replacement with introduced genes limiting malaria transmission, driving-Y chromosomes to collapse a mosquito population, and gene drive disrupting a fertility gene and thereby achieving population suppression or collapse. Each of these approaches has had recent success and advances under laboratory conditions, raising the urgency for understanding how each could be deployed in the real world and the potential impacts of each. New analyses are needed as existing models of gene drive primarily focus on nonseasonal or nonspatial dynamics. We use a mechanistic, spatially explicit, stochastic, individual-based mathematical model to simulate each gene drive approach in a variety of sub-Saharan African settings. Each approach exhibits a broad region of gene construct parameter space with successful elimination of malaria transmission due to the targeted vector species. The introduction of realistic seasonality in vector population dynamics facilitates gene drive success compared with nonseasonal analyses. Spatial simulations illustrate constraints on release timing, frequency, and spatial density in the most challenging settings for construct success. Within its parameter space for success, each gene drive approach provides a tool for malaria elimination unlike anything presently available. Provided potential barriers to success are surmounted, each achieves high efficacy at reducing transmission potential and lower delivery requirements in logistically challenged settings.", "author" : [ { "dropping-particle" : "", "family" : "Eckhoff", "given" : "Philip A", "non-dropping-particle" : "", "parse-names" : false, "suffix" : "" }, { "dropping-particle" : "", "family" : "Wenger", "given" : "Edward A", "non-dropping-particle" : "", "parse-names" : false, "suffix" : "" }, { "dropping-particle" : "", "family" : "Godfray", "given" : "H Charles J", "non-dropping-particle" : "", "parse-names" : false, "suffix" : "" }, { "dropping-particle" : "", "family" : "Burt", "given" : "Austin", "non-dropping-particle" : "", "parse-names" : false, "suffix" : "" } ], "container-title" : "Proceedings of the National Academy of Sciences of the United States of America", "id" : "ITEM-1", "issue" : "2", "issued" : { "date-parts" : [ [ "2016" ] ] }, "page" : "E255-E264", "title" : "Impact of mosquito gene drive on malaria elimination in a computational model with explicit spatial and temporal dynamics.", "type" : "article-journal", "volume" : "114" }, "uris" : [ "http://www.mendeley.com/documents/?uuid=5ab59758-0a05-46ea-b582-dbc1408b663e" ] } ], "mendeley" : { "formattedCitation" : "(77)", "plainTextFormattedCitation" : "(77)", "previouslyFormattedCitation" : "(77)" }, "properties" : { "noteIndex" : 0 }, "schema" : "https://github.com/citation-style-language/schema/raw/master/csl-citation.json" }</w:instrText>
            </w:r>
            <w:r w:rsidRPr="00E358A3">
              <w:fldChar w:fldCharType="separate"/>
            </w:r>
            <w:r w:rsidRPr="009D01D3">
              <w:rPr>
                <w:noProof/>
              </w:rPr>
              <w:t>(77)</w:t>
            </w:r>
            <w:r w:rsidRPr="00E358A3">
              <w:fldChar w:fldCharType="end"/>
            </w:r>
          </w:p>
        </w:tc>
      </w:tr>
      <w:tr w:rsidR="009D01D3" w:rsidRPr="00E358A3" w:rsidTr="0020168A">
        <w:trPr>
          <w:trHeight w:val="179"/>
        </w:trPr>
        <w:tc>
          <w:tcPr>
            <w:tcW w:w="260" w:type="pct"/>
            <w:tcBorders>
              <w:left w:val="nil"/>
              <w:right w:val="single" w:sz="4" w:space="0" w:color="auto"/>
            </w:tcBorders>
            <w:shd w:val="clear" w:color="auto" w:fill="auto"/>
            <w:vAlign w:val="center"/>
          </w:tcPr>
          <w:p w:rsidR="009D01D3" w:rsidRPr="00E358A3" w:rsidRDefault="009D01D3" w:rsidP="0020168A"/>
        </w:tc>
        <w:tc>
          <w:tcPr>
            <w:tcW w:w="360" w:type="pct"/>
            <w:tcBorders>
              <w:left w:val="single" w:sz="4" w:space="0" w:color="auto"/>
              <w:right w:val="single" w:sz="12" w:space="0" w:color="auto"/>
            </w:tcBorders>
            <w:shd w:val="clear" w:color="auto" w:fill="auto"/>
            <w:vAlign w:val="center"/>
          </w:tcPr>
          <w:p w:rsidR="009D01D3" w:rsidRPr="00357231" w:rsidRDefault="009D01D3" w:rsidP="0020168A">
            <w:pPr>
              <w:jc w:val="right"/>
              <w:rPr>
                <w:rFonts w:ascii="Calibri" w:hAnsi="Calibri" w:cs="Calibri"/>
                <w:color w:val="000000"/>
                <w:highlight w:val="yellow"/>
              </w:rPr>
            </w:pPr>
            <w:r w:rsidRPr="00C45088">
              <w:rPr>
                <w:rFonts w:ascii="Calibri" w:hAnsi="Calibri" w:cs="Calibri"/>
                <w:color w:val="000000"/>
              </w:rPr>
              <w:t>Gerardin (2017)</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Evaluate the effects of reactive case detection on malaria transmission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H,M</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Y</w:t>
            </w:r>
          </w:p>
        </w:tc>
        <w:tc>
          <w:tcPr>
            <w:tcW w:w="146"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P,C</w:t>
            </w:r>
          </w:p>
        </w:tc>
        <w:tc>
          <w:tcPr>
            <w:tcW w:w="773"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Baseline transmission intensity</w:t>
            </w:r>
          </w:p>
        </w:tc>
        <w:tc>
          <w:tcPr>
            <w:tcW w:w="6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Malaria prevalence, incidence, fraction of simulations with no local transmission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tcPr>
          <w:p w:rsidR="009D01D3" w:rsidRPr="003255F4" w:rsidRDefault="009D01D3" w:rsidP="0020168A">
            <w:pPr>
              <w:jc w:val="center"/>
              <w:rPr>
                <w:rFonts w:ascii="Calibri" w:hAnsi="Calibri" w:cs="Calibri"/>
                <w:color w:val="000000"/>
              </w:rPr>
            </w:pPr>
            <w:r>
              <w:rPr>
                <w:rFonts w:ascii="Calibri" w:hAnsi="Calibri" w:cs="Calibri"/>
                <w:i/>
                <w:color w:val="000000"/>
              </w:rPr>
              <w:t>Anopheles</w:t>
            </w:r>
            <w:r>
              <w:rPr>
                <w:rFonts w:ascii="Calibri" w:hAnsi="Calibri" w:cs="Calibri"/>
                <w:color w:val="000000"/>
              </w:rPr>
              <w:t>-specific biting habits, best interventions package differing between transmission settings</w:t>
            </w:r>
          </w:p>
        </w:tc>
        <w:tc>
          <w:tcPr>
            <w:tcW w:w="150"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pPr>
            <w: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pPr>
            <w:r>
              <w:fldChar w:fldCharType="begin" w:fldLock="1"/>
            </w:r>
            <w:r>
              <w:instrText>ADDIN CSL_CITATION { "citationItems" : [ { "id" : "ITEM-1", "itemData" : { "DOI" : "10.1186/s12936-017-1903-z", "ISBN" : "1475-2875", "ISSN" : "14752875", "PMID" : "28606143", "abstract" : "BACKGROUND Reactive case detection could be a powerful tool in malaria elimination, as it selectively targets transmission pockets. However, field operations have yet to demonstrate under which conditions, if any, reactive case detection is best poised to push a region to elimination. This study uses mathematical modelling to assess how baseline transmission intensity and local interconnectedness affect the impact of reactive activities in the context of other possible intervention packages. METHODS Communities in Southern Province, Zambia, where elimination operations are currently underway, were used as representatives of three archetypes of malaria transmission: low-transmission, high household density; high-transmission, low household density; and high-transmission, high household density. Transmission at the spatially-connected household level was simulated with a dynamical model of malaria transmission, and local variation in vectorial capacity and intervention coverage were parameterized according to data collected from the area. Various potential intervention packages were imposed on each of the archetypical settings and the resulting likelihoods of elimination by the end of 2020 were compared. RESULTS Simulations predict that success of elimination campaigns in both low- and high-transmission areas is strongly dependent on stemming the flow of imported infections, underscoring the need for regional-scale strategies capable of reducing transmission concurrently across many connected areas. In historically low-transmission areas, treatment of clinical malaria should form the cornerstone of elimination operations, as most malaria infections in these areas are symptomatic and onward transmission would be mitigated through health system strengthening; reactive case detection has minimal impact in these settings. In historically high-transmission areas, vector control and case management are crucial for limiting outbreak size, and the asymptomatic reservoir must be addressed through reactive case detection or mass drug campaigns. CONCLUSIONS Reactive case detection is recommended only for settings where transmission has recently been reduced rather than all low-transmission settings. This is demonstrated in a modelling framework with strong out-of-sample accuracy across a range of transmission settings while including methodologies for understanding the most resource-effective allocations of health workers. This approach generalizes to providing a pl\u2026", "author" : [ { "dropping-particle" : "", "family" : "Gerardin", "given" : "Jaline", "non-dropping-particle" : "", "parse-names" : false, "suffix" : "" }, { "dropping-particle" : "", "family" : "Bever", "given" : "Caitlin A", "non-dropping-particle" : "", "parse-names" : false, "suffix" : "" }, { "dropping-particle" : "", "family" : "Bridenbecker", "given" : "Daniel", "non-dropping-particle" : "", "parse-names" : false, "suffix" : "" }, { "dropping-particle" : "", "family" : "Hamainza", "given" : "Busiku", "non-dropping-particle" : "", "parse-names" : false, "suffix" : "" }, { "dropping-particle" : "", "family" : "Silumbe", "given" : "Kafula", "non-dropping-particle" : "", "parse-names" : false, "suffix" : "" }, { "dropping-particle" : "", "family" : "Miller", "given" : "John M", "non-dropping-particle" : "", "parse-names" : false, "suffix" : "" }, { "dropping-particle" : "", "family" : "Eisele", "given" : "Thomas P", "non-dropping-particle" : "", "parse-names" : false, "suffix" : "" }, { "dropping-particle" : "", "family" : "Eckhoff", "given" : "Philip A", "non-dropping-particle" : "", "parse-names" : false, "suffix" : "" }, { "dropping-particle" : "", "family" : "Wenger", "given" : "Edward A", "non-dropping-particle" : "", "parse-names" : false, "suffix" : "" } ], "container-title" : "Malaria Journal", "id" : "ITEM-1", "issue" : "1", "issued" : { "date-parts" : [ [ "2017" ] ] }, "page" : "1-17", "publisher" : "BioMed Central", "title" : "Effectiveness of reactive case detection for malaria elimination in three archetypical transmission settings: A modelling study", "type" : "article-journal", "volume" : "16" }, "uris" : [ "http://www.mendeley.com/documents/?uuid=45e6a1fb-bf53-446c-b734-f0b6713cd436" ] } ], "mendeley" : { "formattedCitation" : "(78)", "plainTextFormattedCitation" : "(78)", "previouslyFormattedCitation" : "(78)" }, "properties" : { "noteIndex" : 0 }, "schema" : "https://github.com/citation-style-language/schema/raw/master/csl-citation.json" }</w:instrText>
            </w:r>
            <w:r>
              <w:fldChar w:fldCharType="separate"/>
            </w:r>
            <w:r w:rsidRPr="009D01D3">
              <w:rPr>
                <w:noProof/>
              </w:rPr>
              <w:t>(78)</w:t>
            </w:r>
            <w:r>
              <w:fldChar w:fldCharType="end"/>
            </w:r>
          </w:p>
        </w:tc>
      </w:tr>
      <w:tr w:rsidR="009D01D3" w:rsidRPr="00E358A3" w:rsidTr="0020168A">
        <w:trPr>
          <w:trHeight w:val="179"/>
        </w:trPr>
        <w:tc>
          <w:tcPr>
            <w:tcW w:w="260" w:type="pct"/>
            <w:tcBorders>
              <w:left w:val="nil"/>
              <w:right w:val="single" w:sz="4" w:space="0" w:color="auto"/>
            </w:tcBorders>
            <w:shd w:val="clear" w:color="auto" w:fill="auto"/>
            <w:vAlign w:val="center"/>
          </w:tcPr>
          <w:p w:rsidR="009D01D3" w:rsidRPr="00E358A3" w:rsidRDefault="009D01D3" w:rsidP="0020168A"/>
        </w:tc>
        <w:tc>
          <w:tcPr>
            <w:tcW w:w="360" w:type="pct"/>
            <w:tcBorders>
              <w:left w:val="single" w:sz="4" w:space="0" w:color="auto"/>
              <w:right w:val="single" w:sz="12" w:space="0" w:color="auto"/>
            </w:tcBorders>
            <w:shd w:val="clear" w:color="auto" w:fill="auto"/>
            <w:vAlign w:val="center"/>
          </w:tcPr>
          <w:p w:rsidR="009D01D3" w:rsidRDefault="009D01D3" w:rsidP="0020168A">
            <w:pPr>
              <w:jc w:val="right"/>
              <w:rPr>
                <w:rFonts w:ascii="Calibri" w:hAnsi="Calibri" w:cs="Calibri"/>
                <w:color w:val="000000"/>
                <w:highlight w:val="yellow"/>
              </w:rPr>
            </w:pPr>
            <w:r w:rsidRPr="00C45088">
              <w:rPr>
                <w:rFonts w:ascii="Calibri" w:hAnsi="Calibri" w:cs="Calibri"/>
                <w:color w:val="000000"/>
              </w:rPr>
              <w:t>Gerardin (2018)</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Examine effect of MDA in villages on transmission in surrounding area</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H</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46"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Nil</w:t>
            </w:r>
          </w:p>
        </w:tc>
        <w:tc>
          <w:tcPr>
            <w:tcW w:w="773"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Biting rates, travel timing, intervention timing</w:t>
            </w:r>
          </w:p>
        </w:tc>
        <w:tc>
          <w:tcPr>
            <w:tcW w:w="6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Percentage reduction in prevalence one year post-MDA administration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Demographic cycling, human migration</w:t>
            </w:r>
          </w:p>
        </w:tc>
        <w:tc>
          <w:tcPr>
            <w:tcW w:w="150"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pPr>
            <w:r>
              <w:t>Y</w:t>
            </w:r>
          </w:p>
        </w:tc>
        <w:tc>
          <w:tcPr>
            <w:tcW w:w="150" w:type="pct"/>
            <w:tcBorders>
              <w:top w:val="single" w:sz="4" w:space="0" w:color="auto"/>
              <w:left w:val="nil"/>
              <w:bottom w:val="single" w:sz="4" w:space="0" w:color="auto"/>
              <w:right w:val="nil"/>
            </w:tcBorders>
            <w:vAlign w:val="center"/>
          </w:tcPr>
          <w:p w:rsidR="009D01D3" w:rsidRDefault="009D01D3" w:rsidP="0020168A">
            <w:pPr>
              <w:jc w:val="center"/>
            </w:pPr>
            <w:r>
              <w:fldChar w:fldCharType="begin" w:fldLock="1"/>
            </w:r>
            <w:r>
              <w:instrText>ADDIN CSL_CITATION { "citationItems" : [ { "id" : "ITEM-1", "itemData" : { "DOI" : "10.1093/inthealth/ihy025", "ISSN" : "1876-3405", "abstract" : "Mass drug administration (MDA) is a control and elimination tool for treating infectious diseases. For malaria, it is widely accepted that conducting MDA during the dry season results in the best outcomes. However, seasonal movement of populations into and out of MDA target areas is common in many places and could potentially fundamentally limit the ability of MDA campaigns to achieve elimination.|A mathematical model was used to simulate malaria transmission in two villages connected to a high-risk area into and out of which 10% of villagers traveled seasonally. MDA was given only in the villages. Prevalence reduction under various possible timings of MDA and seasonal travel was predicted.|MDA is most successful when distributed outside the traveling season and during the village low-transmission season. MDA is least successful when distributed during the traveling season and when traveling overlaps with the peak transmission season in the high-risk area. Mistiming MDA relative to seasonal travel resulted in much poorer outcomes than mistiming MDA relative to the peak transmission season within the villages.|Seasonal movement patterns of high-risk groups should be taken into consideration when selecting the optimum timing of MDA campaigns.", "author" : [ { "dropping-particle" : "", "family" : "Gerardin", "given" : "J", "non-dropping-particle" : "", "parse-names" : false, "suffix" : "" }, { "dropping-particle" : "", "family" : "Bertozzi-Villa", "given" : "A", "non-dropping-particle" : "", "parse-names" : false, "suffix" : "" }, { "dropping-particle" : "", "family" : "Eckhoff", "given" : "P A", "non-dropping-particle" : "", "parse-names" : false, "suffix" : "" }, { "dropping-particle" : "", "family" : "Wenger", "given" : "E A", "non-dropping-particle" : "", "parse-names" : false, "suffix" : "" } ], "container-title" : "Int Health", "id" : "ITEM-1", "issue" : "June", "issued" : { "date-parts" : [ [ "2018" ] ] }, "page" : "1-6", "title" : "Impact of mass drug administration campaigns depends on interaction with seasonal human movement", "type" : "article-journal" }, "uris" : [ "http://www.mendeley.com/documents/?uuid=32236ee9-e83c-4d74-8f98-3da0e09ad377" ] } ], "mendeley" : { "formattedCitation" : "(79)", "plainTextFormattedCitation" : "(79)", "previouslyFormattedCitation" : "(79)" }, "properties" : { "noteIndex" : 0 }, "schema" : "https://github.com/citation-style-language/schema/raw/master/csl-citation.json" }</w:instrText>
            </w:r>
            <w:r>
              <w:fldChar w:fldCharType="separate"/>
            </w:r>
            <w:r w:rsidRPr="009D01D3">
              <w:rPr>
                <w:noProof/>
              </w:rPr>
              <w:t>(79)</w:t>
            </w:r>
            <w:r>
              <w:fldChar w:fldCharType="end"/>
            </w:r>
          </w:p>
        </w:tc>
      </w:tr>
      <w:tr w:rsidR="009D01D3" w:rsidRPr="00E358A3" w:rsidTr="0020168A">
        <w:trPr>
          <w:trHeight w:val="179"/>
        </w:trPr>
        <w:tc>
          <w:tcPr>
            <w:tcW w:w="260" w:type="pct"/>
            <w:tcBorders>
              <w:left w:val="nil"/>
              <w:bottom w:val="single" w:sz="4" w:space="0" w:color="auto"/>
              <w:right w:val="single" w:sz="4" w:space="0" w:color="auto"/>
            </w:tcBorders>
            <w:shd w:val="clear" w:color="auto" w:fill="auto"/>
            <w:vAlign w:val="center"/>
          </w:tcPr>
          <w:p w:rsidR="009D01D3" w:rsidRPr="00E358A3" w:rsidRDefault="009D01D3" w:rsidP="0020168A"/>
        </w:tc>
        <w:tc>
          <w:tcPr>
            <w:tcW w:w="360" w:type="pct"/>
            <w:tcBorders>
              <w:left w:val="single" w:sz="4" w:space="0" w:color="auto"/>
              <w:bottom w:val="single" w:sz="4" w:space="0" w:color="auto"/>
              <w:right w:val="single" w:sz="12" w:space="0" w:color="auto"/>
            </w:tcBorders>
            <w:shd w:val="clear" w:color="auto" w:fill="auto"/>
            <w:vAlign w:val="center"/>
          </w:tcPr>
          <w:p w:rsidR="009D01D3" w:rsidRPr="00C45088" w:rsidRDefault="009D01D3" w:rsidP="0020168A">
            <w:pPr>
              <w:jc w:val="right"/>
              <w:rPr>
                <w:rFonts w:cstheme="minorHAnsi"/>
                <w:color w:val="000000"/>
                <w:highlight w:val="yellow"/>
              </w:rPr>
            </w:pPr>
            <w:r w:rsidRPr="00C45088">
              <w:rPr>
                <w:rFonts w:cstheme="minorHAnsi"/>
                <w:bCs/>
                <w:szCs w:val="18"/>
              </w:rPr>
              <w:t>O</w:t>
            </w:r>
            <w:r>
              <w:rPr>
                <w:rFonts w:cstheme="minorHAnsi"/>
                <w:bCs/>
                <w:szCs w:val="18"/>
              </w:rPr>
              <w:t>uéd</w:t>
            </w:r>
            <w:r w:rsidRPr="008C0A43">
              <w:rPr>
                <w:rFonts w:cstheme="minorHAnsi"/>
                <w:bCs/>
                <w:szCs w:val="18"/>
              </w:rPr>
              <w:t>raogo</w:t>
            </w:r>
            <w:r w:rsidRPr="00C45088">
              <w:rPr>
                <w:rFonts w:cstheme="minorHAnsi"/>
                <w:bCs/>
                <w:szCs w:val="18"/>
              </w:rPr>
              <w:t xml:space="preserve"> (2018)</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Impact of parasite sexual-stage immunity on human infectious reservoir</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H</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46"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P,V</w:t>
            </w:r>
          </w:p>
        </w:tc>
        <w:tc>
          <w:tcPr>
            <w:tcW w:w="773"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Malaria incidence, sexual-stage antibody concentrations</w:t>
            </w:r>
          </w:p>
        </w:tc>
        <w:tc>
          <w:tcPr>
            <w:tcW w:w="6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Frequency of oocyst density per mosquito, percentage of infected mosquitoes</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Boost and decay of sexual-stage antibodies</w:t>
            </w:r>
          </w:p>
        </w:tc>
        <w:tc>
          <w:tcPr>
            <w:tcW w:w="150"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pPr>
            <w:r>
              <w:t>N</w:t>
            </w:r>
          </w:p>
        </w:tc>
        <w:tc>
          <w:tcPr>
            <w:tcW w:w="150" w:type="pct"/>
            <w:tcBorders>
              <w:top w:val="single" w:sz="4" w:space="0" w:color="auto"/>
              <w:left w:val="nil"/>
              <w:bottom w:val="single" w:sz="4" w:space="0" w:color="auto"/>
              <w:right w:val="nil"/>
            </w:tcBorders>
            <w:vAlign w:val="center"/>
          </w:tcPr>
          <w:p w:rsidR="009D01D3" w:rsidRDefault="009D01D3" w:rsidP="0020168A">
            <w:pPr>
              <w:jc w:val="center"/>
            </w:pPr>
            <w:r>
              <w:fldChar w:fldCharType="begin" w:fldLock="1"/>
            </w:r>
            <w:r>
              <w:instrText>ADDIN CSL_CITATION { "citationItems" : [ { "id" : "ITEM-1", "itemData" : { "DOI" : "10.1371/journal.ppat.1007034", "ISBN" : "1111111111", "ISSN" : "1553-7374", "abstract" : "Malaria transmission remains high in Sub-Saharan Africa despite large-scale implementa-tion of malaria control interventions. A comprehensive understanding of the transmissibility of infections to mosquitoes may guide the design of more effective transmission reducing strategies. The impact of P. falciparum sexual stage immunity on the infectious reservoir for malaria has never been studied in natural settings. Repeated measurements were carried out at start-wet, peak-wet and dry season, and provided data on antibody responses against gametocyte/gamete antigens Pfs48/45 and Pfs230 as anti-gametocyte immunity. Data on high and low-density infections and their infectiousness to anopheline mosquitoes were obtained using quantitative molecular methods and mosquito feeding assays, respec-tively. An event-driven model for P. falciparum sexual stage immunity was developed and fit to data using an agent based malaria model infrastructure. We found that Pfs48/45 and Pfs230 antibody densities increased with increasing concurrent gametocyte densities; associated with 55\u201370% reduction in oocyst intensity and achieved up to 44% reduction in proportions of infected mosquitoes. We showed that P. falciparum sexual stage immunity significantly reduces transmission of microscopic (p &lt; 0.001) but not submicroscopic (p = 0.937) gametocyte infections to mosquitoes and that incorporating sexual stage immunity into mathematical models had a considerable impact on the contribution of different age groups to the infectious reservoir of malaria. Human antibody responses to gametocyte antigens are likely to be dependent on recent and concurrent high-density gametocyte exposure and have a pronounced impact on the likelihood of onward transmission of microscopic gametocyte densities compared to low density infections. Our mathematical simulations indicate that anti-gametocyte immunity is an important factor for predicting", "author" : [ { "dropping-particle" : "", "family" : "Ou\u00e9draogo", "given" : "Andr\u00e9 Lin", "non-dropping-particle" : "", "parse-names" : false, "suffix" : "" }, { "dropping-particle" : "", "family" : "Eckhoff", "given" : "Philip A", "non-dropping-particle" : "", "parse-names" : false, "suffix" : "" }, { "dropping-particle" : "", "family" : "Luty", "given" : "Adrian J F", "non-dropping-particle" : "", "parse-names" : false, "suffix" : "" }, { "dropping-particle" : "", "family" : "Roeffen", "given" : "Will", "non-dropping-particle" : "", "parse-names" : false, "suffix" : "" }, { "dropping-particle" : "", "family" : "Sauerwein", "given" : "Robert W.", "non-dropping-particle" : "", "parse-names" : false, "suffix" : "" }, { "dropping-particle" : "", "family" : "Bousema", "given" : "Teun", "non-dropping-particle" : "", "parse-names" : false, "suffix" : "" }, { "dropping-particle" : "", "family" : "Wenger", "given" : "Edward A.", "non-dropping-particle" : "", "parse-names" : false, "suffix" : "" } ], "container-title" : "PLOS Pathogens", "editor" : [ { "dropping-particle" : "", "family" : "Kazura", "given" : "James W.", "non-dropping-particle" : "", "parse-names" : false, "suffix" : "" } ], "id" : "ITEM-1", "issue" : "5", "issued" : { "date-parts" : [ [ "2018", "5", "9" ] ] }, "page" : "e1007034", "title" : "Modeling the impact of Plasmodium falciparum sexual stage immunity on the composition and dynamics of the human infectious reservoir for malaria in natural settings", "type" : "article-journal", "volume" : "14" }, "uris" : [ "http://www.mendeley.com/documents/?uuid=660971b5-33f6-414b-b6a9-81a917caa657" ] } ], "mendeley" : { "formattedCitation" : "(80)", "plainTextFormattedCitation" : "(80)", "previouslyFormattedCitation" : "(80)" }, "properties" : { "noteIndex" : 0 }, "schema" : "https://github.com/citation-style-language/schema/raw/master/csl-citation.json" }</w:instrText>
            </w:r>
            <w:r>
              <w:fldChar w:fldCharType="separate"/>
            </w:r>
            <w:r w:rsidRPr="009D01D3">
              <w:rPr>
                <w:noProof/>
              </w:rPr>
              <w:t>(80)</w:t>
            </w:r>
            <w:r>
              <w:fldChar w:fldCharType="end"/>
            </w:r>
          </w:p>
        </w:tc>
      </w:tr>
      <w:tr w:rsidR="009D01D3" w:rsidRPr="00E358A3" w:rsidTr="0020168A">
        <w:trPr>
          <w:trHeight w:val="22"/>
        </w:trPr>
        <w:tc>
          <w:tcPr>
            <w:tcW w:w="620" w:type="pct"/>
            <w:gridSpan w:val="2"/>
            <w:tcBorders>
              <w:top w:val="single" w:sz="4" w:space="0" w:color="auto"/>
              <w:left w:val="nil"/>
              <w:bottom w:val="single" w:sz="4" w:space="0" w:color="auto"/>
              <w:right w:val="single" w:sz="12" w:space="0" w:color="auto"/>
            </w:tcBorders>
            <w:shd w:val="clear" w:color="auto" w:fill="auto"/>
            <w:vAlign w:val="center"/>
          </w:tcPr>
          <w:p w:rsidR="009D01D3" w:rsidRPr="00E358A3" w:rsidRDefault="009D01D3" w:rsidP="0020168A">
            <w:pPr>
              <w:rPr>
                <w:rFonts w:ascii="Calibri" w:hAnsi="Calibri" w:cs="Calibri"/>
                <w:color w:val="000000"/>
              </w:rPr>
            </w:pPr>
            <w:r w:rsidRPr="002E4A6A">
              <w:rPr>
                <w:rFonts w:ascii="Calibri" w:hAnsi="Calibri" w:cs="Calibri"/>
                <w:color w:val="000000"/>
              </w:rPr>
              <w:t>Klein (2014)</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Explore impact of heterogeneous transmission on population spread of drug resistance</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H,M</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46"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P</w:t>
            </w:r>
          </w:p>
        </w:tc>
        <w:tc>
          <w:tcPr>
            <w:tcW w:w="773"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Various human, mosquito and transmission parameters, EIR</w:t>
            </w:r>
          </w:p>
        </w:tc>
        <w:tc>
          <w:tcPr>
            <w:tcW w:w="6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Population disease states, multiplicity of infection (MOI), time to resistance</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Parasite clones, drug resistance</w:t>
            </w:r>
          </w:p>
        </w:tc>
        <w:tc>
          <w:tcPr>
            <w:tcW w:w="1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fldChar w:fldCharType="begin" w:fldLock="1"/>
            </w:r>
            <w:r>
              <w:rPr>
                <w:rFonts w:ascii="Calibri" w:hAnsi="Calibri" w:cs="Calibri"/>
                <w:color w:val="000000"/>
              </w:rPr>
              <w:instrText>ADDIN CSL_CITATION { "citationItems" : [ { "id" : "ITEM-1", "itemData" : { "DOI" : "10.1016/j.jtbi.2013.09.022", "ISBN" : "1095-8541 (Electronic)\\r0022-5193 (Linking)", "ISSN" : "00225193", "PMID" : "24076451", "abstract" : "Despite the important insights gained by extending the classical models of malaria, other factors, such as immunity, heterogeneous biting, and differential patterns of drug use have not been fully explored due to the complexity of modeling multiple simultaneous malaria infections competing within a host. Understanding these factors is important for understanding how to control the spread of drug resistance to artemisinin which is just emerging in Southeast Asia. The emergence of resistance plays out at the population level, but is the result of competition within individuals for transmission events. Most studies of drug resistance evolution have focused on transmission between hosts and ignored the role of within-host competition due to the inherent complexity of modeling at multiple scales. To embed within-host competition in the model, we used an agent-based framework that was developed to understand how deviations from the classical assumptions of the Ross-MacDonald type models, which have been well-described and analyzed, impact the dynamics of disease. While structured to be a stochastic analog to classical Ross-Macdonald type models, the model is nonetheless based on individuals, and thus aspects of within-host competition can be explored. We use this framework to explore the role of heterogeneous biting and transmission on the establishment and spread of resistance in a population. We find that heterogeneous transmission slows the establishment of resistance in a population, but once resistance is established, it speeds the spread of resistance through the population. These results are due to the skewed distribution of biting which makes onward transmission a low probability and suggests that targeting the \"core\" group of individuals that provide the vast majority of bites could significantly slow the spread of resistance.?? 2013 Elsevier Ltd.", "author" : [ { "dropping-particle" : "", "family" : "Klein", "given" : "Eili Y", "non-dropping-particle" : "", "parse-names" : false, "suffix" : "" } ], "container-title" : "Journal of Theoretical Biology", "id" : "ITEM-1", "issued" : { "date-parts" : [ [ "2014" ] ] }, "page" : "177-185", "title" : "The impact of heterogeneous transmission on the establishment and spread of antimalarial drug resistance", "type" : "article-journal", "volume" : "340" }, "uris" : [ "http://www.mendeley.com/documents/?uuid=1687d684-d39c-4283-96fe-acd56337161f" ] } ], "mendeley" : { "formattedCitation" : "(81)", "plainTextFormattedCitation" : "(81)", "previouslyFormattedCitation" : "(81)" }, "properties" : { "noteIndex" : 0 }, "schema" : "https://github.com/citation-style-language/schema/raw/master/csl-citation.json" }</w:instrText>
            </w:r>
            <w:r w:rsidRPr="00E358A3">
              <w:rPr>
                <w:rFonts w:ascii="Calibri" w:hAnsi="Calibri" w:cs="Calibri"/>
                <w:color w:val="000000"/>
              </w:rPr>
              <w:fldChar w:fldCharType="separate"/>
            </w:r>
            <w:r w:rsidRPr="009D01D3">
              <w:rPr>
                <w:rFonts w:ascii="Calibri" w:hAnsi="Calibri" w:cs="Calibri"/>
                <w:noProof/>
                <w:color w:val="000000"/>
              </w:rPr>
              <w:t>(81)</w:t>
            </w:r>
            <w:r w:rsidRPr="00E358A3">
              <w:rPr>
                <w:rFonts w:ascii="Calibri" w:hAnsi="Calibri" w:cs="Calibri"/>
                <w:color w:val="000000"/>
              </w:rPr>
              <w:fldChar w:fldCharType="end"/>
            </w:r>
          </w:p>
        </w:tc>
      </w:tr>
      <w:tr w:rsidR="009D01D3" w:rsidRPr="00E358A3" w:rsidTr="0020168A">
        <w:trPr>
          <w:trHeight w:val="1160"/>
        </w:trPr>
        <w:tc>
          <w:tcPr>
            <w:tcW w:w="620" w:type="pct"/>
            <w:gridSpan w:val="2"/>
            <w:tcBorders>
              <w:top w:val="single" w:sz="4" w:space="0" w:color="auto"/>
              <w:left w:val="nil"/>
              <w:right w:val="single" w:sz="12" w:space="0" w:color="auto"/>
            </w:tcBorders>
            <w:shd w:val="clear" w:color="auto" w:fill="auto"/>
            <w:vAlign w:val="center"/>
            <w:hideMark/>
          </w:tcPr>
          <w:p w:rsidR="009D01D3" w:rsidRPr="0046234B" w:rsidRDefault="009D01D3" w:rsidP="0020168A">
            <w:pPr>
              <w:rPr>
                <w:rFonts w:ascii="Calibri" w:hAnsi="Calibri" w:cs="Calibri"/>
                <w:color w:val="000000"/>
              </w:rPr>
            </w:pPr>
            <w:r w:rsidRPr="00FF6C30">
              <w:rPr>
                <w:rFonts w:ascii="Calibri" w:hAnsi="Calibri" w:cs="Calibri"/>
                <w:color w:val="000000"/>
              </w:rPr>
              <w:t>Zhu (2015A)</w:t>
            </w:r>
          </w:p>
        </w:tc>
        <w:tc>
          <w:tcPr>
            <w:tcW w:w="674" w:type="pct"/>
            <w:tcBorders>
              <w:top w:val="single" w:sz="4" w:space="0" w:color="auto"/>
              <w:left w:val="single" w:sz="12" w:space="0" w:color="auto"/>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Assess effects of location and density of sugar sources and resting sites on vector epidemiology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H,M</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46"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P</w:t>
            </w:r>
          </w:p>
        </w:tc>
        <w:tc>
          <w:tcPr>
            <w:tcW w:w="773"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Pr>
                <w:rFonts w:ascii="Calibri" w:hAnsi="Calibri" w:cs="Calibri"/>
                <w:color w:val="000000"/>
              </w:rPr>
              <w:t>Sugar source location and frequency</w:t>
            </w:r>
          </w:p>
        </w:tc>
        <w:tc>
          <w:tcPr>
            <w:tcW w:w="6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Mean daily survival rate, mean human biting rate, mean daily abundance</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Location of sugar sources</w:t>
            </w:r>
            <w:r>
              <w:rPr>
                <w:rFonts w:ascii="Calibri" w:hAnsi="Calibri" w:cs="Calibri"/>
                <w:color w:val="000000"/>
              </w:rPr>
              <w:t>, specific human movements</w:t>
            </w:r>
          </w:p>
        </w:tc>
        <w:tc>
          <w:tcPr>
            <w:tcW w:w="1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pPr>
            <w: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pPr>
            <w:r w:rsidRPr="00E358A3">
              <w:fldChar w:fldCharType="begin" w:fldLock="1"/>
            </w:r>
            <w:r>
              <w:instrText>ADDIN CSL_CITATION { "citationItems" : [ { "id" : "ITEM-1", "itemData" : { "DOI" : "10.1186/s12936-015-0555-0", "ISBN" : "1475-2875 (Electronic)\\r1475-2875 (Linking)", "ISSN" : "1475-2875", "PMID" : "25652678", "abstract" : "Background: Agent-based modelling (ABM) has been used to simulate mosquito life cycles and to evaluate vector control applications. However, most models lack sugar-feeding and resting behaviours or are based on mathematical equations lacking individual level randomness and spatial components of mosquito life. Here, a spatial individual-based model (IBM) incorporating sugar-feeding and resting behaviours of the malaria vector Anopheles gambiae was developed to estimate the impact of environmental sugar sources and resting sites on survival and biting behaviour. Methods: A spatial IBM containing An. gambiae mosquitoes and humans, as well as the village environment of houses, sugar sources, resting sites and larval habitat sites was developed. Anopheles gambiae behaviour rules were attributed at each step of the IBM: resting, host seeking, sugar feeding and breeding. Each step represented one second of time, and each simulation was set to run for 60 days and repeated 50 times. Scenarios of different densities and spatial distributions of sugar sources and outdoor resting sites were simulated and compared. Results: When the number of natural sugar sources was increased from 0 to 100 while the number of resting sites was held constant, mean daily survival rate increased from 2.5% to 85.1% for males and from 2.5% to 94.5% for females, mean human biting rate increased from 0 to 0.94 bites per human per day, and mean daily abundance increased from 1 to 477 for males and from 1 to 1,428 for females. When the number of outdoor resting sites was increased from 0 to 50 while the number of sugar sources was held constant, mean daily survival rate increased from 77.3% to 84.3% for males and from 86.7% to 93.9% for females, mean human biting rate increased from 0 to 0.52 bites per human per day, and mean daily abundance increased from 62 to 349 for males and from 257 to 1120 for females. All increases were significant (P &lt; 0.01). Survival was greater when sugar sources were randomly distributed in the whole village compared to clustering around outdoor resting sites or houses. Conclusions: Increases in densities of sugar sources or outdoor resting sites significantly increase the survival and human biting rates of An. gambiae mosquitoes. Survival of An. gambiae is more supported by random distribution of sugar sources than clustering of sugar sources around resting sites or houses. Density and spatial distribution of natural sugar sources and outdoor resting sites mod\u2026", "author" : [ { "dropping-particle" : "", "family" : "Zhu", "given" : "Lin", "non-dropping-particle" : "", "parse-names" : false, "suffix" : "" }, { "dropping-particle" : "", "family" : "Qualls", "given" : "Whitney A", "non-dropping-particle" : "", "parse-names" : false, "suffix" : "" }, { "dropping-particle" : "", "family" : "Marshall", "given" : "John M", "non-dropping-particle" : "", "parse-names" : false, "suffix" : "" }, { "dropping-particle" : "", "family" : "Arheart", "given" : "Kris L", "non-dropping-particle" : "", "parse-names" : false, "suffix" : "" }, { "dropping-particle" : "", "family" : "DeAngelis", "given" : "Donald L", "non-dropping-particle" : "", "parse-names" : false, "suffix" : "" }, { "dropping-particle" : "", "family" : "McManus", "given" : "John W", "non-dropping-particle" : "", "parse-names" : false, "suffix" : "" }, { "dropping-particle" : "", "family" : "Traore", "given" : "Sekou F", "non-dropping-particle" : "", "parse-names" : false, "suffix" : "" }, { "dropping-particle" : "", "family" : "Doumbia", "given" : "Seydou", "non-dropping-particle" : "", "parse-names" : false, "suffix" : "" }, { "dropping-particle" : "", "family" : "Schlein", "given" : "Yosef", "non-dropping-particle" : "", "parse-names" : false, "suffix" : "" }, { "dropping-particle" : "", "family" : "M\u00fcller", "given" : "G\u00fcnter C", "non-dropping-particle" : "", "parse-names" : false, "suffix" : "" }, { "dropping-particle" : "", "family" : "Beier", "given" : "John C", "non-dropping-particle" : "", "parse-names" : false, "suffix" : "" } ], "container-title" : "Malaria journal", "id" : "ITEM-1", "issue" : "1", "issued" : { "date-parts" : [ [ "2015" ] ] }, "page" : "59-73", "title" : "A spatial individual-based model predicting a great impact of copious sugar sources and resting sites on survival of Anopheles gambiae and malaria parasite transmission", "type" : "article-journal", "volume" : "14" }, "uris" : [ "http://www.mendeley.com/documents/?uuid=e689327b-c9f8-43dd-b0dc-80e91b14b666" ] } ], "mendeley" : { "formattedCitation" : "(82)", "plainTextFormattedCitation" : "(82)", "previouslyFormattedCitation" : "(82)" }, "properties" : { "noteIndex" : 0 }, "schema" : "https://github.com/citation-style-language/schema/raw/master/csl-citation.json" }</w:instrText>
            </w:r>
            <w:r w:rsidRPr="00E358A3">
              <w:fldChar w:fldCharType="separate"/>
            </w:r>
            <w:r w:rsidRPr="009D01D3">
              <w:rPr>
                <w:noProof/>
              </w:rPr>
              <w:t>(82)</w:t>
            </w:r>
            <w:r w:rsidRPr="00E358A3">
              <w:fldChar w:fldCharType="end"/>
            </w:r>
          </w:p>
        </w:tc>
      </w:tr>
      <w:tr w:rsidR="009D01D3" w:rsidRPr="00E358A3" w:rsidTr="0020168A">
        <w:trPr>
          <w:trHeight w:val="1116"/>
        </w:trPr>
        <w:tc>
          <w:tcPr>
            <w:tcW w:w="260" w:type="pct"/>
            <w:tcBorders>
              <w:top w:val="nil"/>
              <w:left w:val="nil"/>
              <w:right w:val="single" w:sz="4" w:space="0" w:color="auto"/>
            </w:tcBorders>
            <w:shd w:val="clear" w:color="auto" w:fill="auto"/>
            <w:vAlign w:val="center"/>
            <w:hideMark/>
          </w:tcPr>
          <w:p w:rsidR="009D01D3" w:rsidRPr="00FF6C30" w:rsidRDefault="009D01D3" w:rsidP="0020168A"/>
        </w:tc>
        <w:tc>
          <w:tcPr>
            <w:tcW w:w="360" w:type="pct"/>
            <w:tcBorders>
              <w:top w:val="nil"/>
              <w:left w:val="single" w:sz="4" w:space="0" w:color="auto"/>
              <w:right w:val="single" w:sz="12" w:space="0" w:color="auto"/>
            </w:tcBorders>
            <w:shd w:val="clear" w:color="auto" w:fill="auto"/>
            <w:vAlign w:val="center"/>
            <w:hideMark/>
          </w:tcPr>
          <w:p w:rsidR="009D01D3" w:rsidRPr="00FF6C30" w:rsidRDefault="009D01D3" w:rsidP="0020168A">
            <w:pPr>
              <w:jc w:val="right"/>
              <w:rPr>
                <w:rFonts w:ascii="Calibri" w:hAnsi="Calibri" w:cs="Calibri"/>
                <w:color w:val="000000"/>
              </w:rPr>
            </w:pPr>
            <w:r w:rsidRPr="00FF6C30">
              <w:rPr>
                <w:rFonts w:ascii="Calibri" w:hAnsi="Calibri" w:cs="Calibri"/>
                <w:color w:val="000000"/>
              </w:rPr>
              <w:t>Zhu</w:t>
            </w:r>
            <w:r w:rsidRPr="00FF6C30">
              <w:rPr>
                <w:rFonts w:ascii="Calibri" w:hAnsi="Calibri" w:cs="Calibri"/>
                <w:color w:val="000000"/>
              </w:rPr>
              <w:br/>
              <w:t>(2015B)</w:t>
            </w:r>
          </w:p>
        </w:tc>
        <w:tc>
          <w:tcPr>
            <w:tcW w:w="674" w:type="pct"/>
            <w:tcBorders>
              <w:top w:val="single" w:sz="4" w:space="0" w:color="auto"/>
              <w:left w:val="single" w:sz="12" w:space="0" w:color="auto"/>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Assess effect of attractive toxic sugar baits (ATSB) on vector and malaria epidemiology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H,M</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46"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P</w:t>
            </w:r>
          </w:p>
        </w:tc>
        <w:tc>
          <w:tcPr>
            <w:tcW w:w="773"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Pr>
                <w:rFonts w:ascii="Calibri" w:hAnsi="Calibri" w:cs="Calibri"/>
                <w:color w:val="000000"/>
              </w:rPr>
              <w:t>ATSB location and frequency</w:t>
            </w:r>
          </w:p>
        </w:tc>
        <w:tc>
          <w:tcPr>
            <w:tcW w:w="6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EIR, mean HBR, mean daily abundance</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ATSB</w:t>
            </w:r>
            <w:r>
              <w:rPr>
                <w:rFonts w:ascii="Calibri" w:hAnsi="Calibri" w:cs="Calibri"/>
                <w:color w:val="000000"/>
              </w:rPr>
              <w:t>, specific human movements</w:t>
            </w:r>
          </w:p>
        </w:tc>
        <w:tc>
          <w:tcPr>
            <w:tcW w:w="1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pPr>
            <w:r>
              <w:t>Y</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pPr>
            <w:r w:rsidRPr="00E358A3">
              <w:fldChar w:fldCharType="begin" w:fldLock="1"/>
            </w:r>
            <w:r>
              <w:instrText>ADDIN CSL_CITATION { "citationItems" : [ { "id" : "ITEM-1", "itemData" : { "DOI" : "10.1186/s12936-015-1012-9", "ISBN" : "1475-2875", "abstract" : "Background: The development of insecticide resistance and the increased outdoor-biting behaviour of malaria vectors reduce the efficiency of indoor vector control methods. Attractive toxic sugar baits (ATSBs), a method targeting the sugar-feeding behaviours of vectors both indoors and outdoors, is a promising supplement to indoor tools. The number and configuration of these ATSB stations needed for malaria control in a community needs to be determined. Methods: A hypothetical village, typical of those in sub-Saharan Africa, 600 \u00d7 600 m, consisting of houses, humans and essential resource requirements of Anopheles gambiae (sugar sources, outdoor resting sites, larval habitats) was simulated in a spatial individual-based model. Resource-rich and resource-poor environments were simulated separately. Eight types of configurations and different densities of ATSB stations were tested. Anopheles gambiae population size, human biting rate (HBR) and entomological inoculation rates (EIR) were compared between different ATSB configurations and densities. Each simulated scenario was run 50 times. Results: Compared to the outcomes not altered by ATSB treatment in the control scenario, in resource-rich and resource-poor environments, respectively, the optimum ATSB treatment reduced female abundance by 98.22 and 91.80 %, reduced HBR by 99.52 and 98.15 %, and reduced EIR by 99.99 and 100 %. In resource-rich environments, n \u00d7 n grid design, stations at sugar sources, resting sites, larval habitats, and random locations worked better in reducing vector population and HBRs than other configurations (P &lt; 0.0001). However, there was no significant difference of EIR reductions between all ATSB configurations (P &gt; 0.05). In resource-poor environments, there was no significant difference of female abundances, HBRs and EIRs between all ATSB configurations (P &gt; 0.05). The optimum number of ATSB stations was about 25 for resource-rich environments and nine for resource-poor environments. Conclusions: ATSB treatment reduced An. gambiae population substantially and reduced EIR to near zero regardless of environmental resource availability. In resource-rich environments, dispersive configurations worked better in reducing vector population, and stations at or around houses worked better in preventing biting and parasite transmission. In resource-poor environments, all configurations worked similarly. Optimum numbers of bait stations should be adjusted according to seasonality when r\u2026", "author" : [ { "dropping-particle" : "", "family" : "Zhu", "given" : "Lin", "non-dropping-particle" : "", "parse-names" : false, "suffix" : "" }, { "dropping-particle" : "", "family" : "Marshall", "given" : "John M", "non-dropping-particle" : "", "parse-names" : false, "suffix" : "" }, { "dropping-particle" : "", "family" : "Qualls", "given" : "Whitney A", "non-dropping-particle" : "", "parse-names" : false, "suffix" : "" }, { "dropping-particle" : "", "family" : "Schlein", "given" : "Yosef", "non-dropping-particle" : "", "parse-names" : false, "suffix" : "" }, { "dropping-particle" : "", "family" : "McManus", "given" : "John W", "non-dropping-particle" : "", "parse-names" : false, "suffix" : "" }, { "dropping-particle" : "", "family" : "Arheart", "given" : "Kris L", "non-dropping-particle" : "", "parse-names" : false, "suffix" : "" }, { "dropping-particle" : "", "family" : "Hlaing", "given" : "WayWay M", "non-dropping-particle" : "", "parse-names" : false, "suffix" : "" }, { "dropping-particle" : "", "family" : "Traore", "given" : "Sekou F", "non-dropping-particle" : "", "parse-names" : false, "suffix" : "" }, { "dropping-particle" : "", "family" : "Doumbia", "given" : "Seydou", "non-dropping-particle" : "", "parse-names" : false, "suffix" : "" }, { "dropping-particle" : "", "family" : "M\u00fcller", "given" : "G\u00fcnter C", "non-dropping-particle" : "", "parse-names" : false, "suffix" : "" }, { "dropping-particle" : "", "family" : "Beier", "given" : "John C", "non-dropping-particle" : "", "parse-names" : false, "suffix" : "" } ], "container-title" : "Malaria Journal", "id" : "ITEM-1", "issue" : "1", "issued" : { "date-parts" : [ [ "2015" ] ] }, "page" : "492-503", "title" : "Modelling optimum use of attractive toxic sugar bait stations for effective malaria vector control in Africa", "type" : "article-journal", "volume" : "14" }, "uris" : [ "http://www.mendeley.com/documents/?uuid=3f4bbcfb-2f8e-461c-95b8-3e3025021094" ] } ], "mendeley" : { "formattedCitation" : "(83)", "plainTextFormattedCitation" : "(83)", "previouslyFormattedCitation" : "(83)" }, "properties" : { "noteIndex" : 0 }, "schema" : "https://github.com/citation-style-language/schema/raw/master/csl-citation.json" }</w:instrText>
            </w:r>
            <w:r w:rsidRPr="00E358A3">
              <w:fldChar w:fldCharType="separate"/>
            </w:r>
            <w:r w:rsidRPr="009D01D3">
              <w:rPr>
                <w:noProof/>
              </w:rPr>
              <w:t>(83)</w:t>
            </w:r>
            <w:r w:rsidRPr="00E358A3">
              <w:fldChar w:fldCharType="end"/>
            </w:r>
          </w:p>
        </w:tc>
      </w:tr>
      <w:tr w:rsidR="009D01D3" w:rsidRPr="00E358A3" w:rsidTr="0020168A">
        <w:trPr>
          <w:trHeight w:val="1116"/>
        </w:trPr>
        <w:tc>
          <w:tcPr>
            <w:tcW w:w="260" w:type="pct"/>
            <w:tcBorders>
              <w:top w:val="nil"/>
              <w:left w:val="nil"/>
              <w:bottom w:val="single" w:sz="4" w:space="0" w:color="auto"/>
              <w:right w:val="single" w:sz="4" w:space="0" w:color="auto"/>
            </w:tcBorders>
            <w:shd w:val="clear" w:color="auto" w:fill="auto"/>
            <w:vAlign w:val="center"/>
          </w:tcPr>
          <w:p w:rsidR="009D01D3" w:rsidRPr="00E358A3" w:rsidRDefault="009D01D3" w:rsidP="0020168A"/>
        </w:tc>
        <w:tc>
          <w:tcPr>
            <w:tcW w:w="360" w:type="pct"/>
            <w:tcBorders>
              <w:top w:val="nil"/>
              <w:left w:val="single" w:sz="4" w:space="0" w:color="auto"/>
              <w:bottom w:val="single" w:sz="4" w:space="0" w:color="auto"/>
              <w:right w:val="single" w:sz="12" w:space="0" w:color="auto"/>
            </w:tcBorders>
            <w:shd w:val="clear" w:color="auto" w:fill="auto"/>
            <w:vAlign w:val="center"/>
          </w:tcPr>
          <w:p w:rsidR="009D01D3" w:rsidRPr="00E358A3" w:rsidRDefault="009D01D3" w:rsidP="0020168A">
            <w:pPr>
              <w:jc w:val="right"/>
              <w:rPr>
                <w:rFonts w:ascii="Calibri" w:hAnsi="Calibri" w:cs="Calibri"/>
                <w:color w:val="000000"/>
              </w:rPr>
            </w:pPr>
            <w:r>
              <w:rPr>
                <w:rFonts w:ascii="Calibri" w:hAnsi="Calibri" w:cs="Calibri"/>
                <w:color w:val="000000"/>
              </w:rPr>
              <w:t>Zhu (2017)</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Assess ATSB and LLIN use in combination for vector control and malaria transmission impacts</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H,M</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Y</w:t>
            </w:r>
          </w:p>
        </w:tc>
        <w:tc>
          <w:tcPr>
            <w:tcW w:w="146"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P</w:t>
            </w:r>
          </w:p>
        </w:tc>
        <w:tc>
          <w:tcPr>
            <w:tcW w:w="773"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ATSB location and frequency, LLIN coverage levels</w:t>
            </w:r>
          </w:p>
        </w:tc>
        <w:tc>
          <w:tcPr>
            <w:tcW w:w="6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EIR, vector populations, probability of local vector extinction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Integrated vector management (IVM), specific human movements</w:t>
            </w:r>
          </w:p>
        </w:tc>
        <w:tc>
          <w:tcPr>
            <w:tcW w:w="150"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pPr>
            <w: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lang w:eastAsia="ko-KR"/>
              </w:rPr>
            </w:pPr>
            <w:r>
              <w:fldChar w:fldCharType="begin" w:fldLock="1"/>
            </w:r>
            <w:r>
              <w:instrText>ADDIN CSL_CITATION { "citationItems" : [ { "id" : "ITEM-1", "itemData" : { "DOI" : "10.1186/s12936-017-1920-y", "ISSN" : "14752875", "PMID" : "28673298", "abstract" : "BACKGROUND Residual malaria transmission has been reported in many areas even with adequate indoor vector control coverage, such as long-lasting insecticidal nets (LLINs). The increased insecticide resistance in Anopheles mosquitoes has resulted in reduced efficacy of the widely used indoor tools and has been linked with an increase in outdoor malaria transmission. There are considerations of incorporating outdoor interventions into integrated vector management (IVM) to achieve malaria elimination; however, more information on the combination of tools for effective control is needed to determine their utilization. METHODS A spatial individual-based model was modified to simulate the environment and malaria transmission activities in a hypothetical, isolated African village setting. LLINs and outdoor attractive toxic sugar bait (ATSB) stations were used as examples of indoor and outdoor interventions, respectively. Different interventions and lengths of efficacy periods were tested. Simulations continued for 420 days, and each simulation scenario was repeated 50 times. Mosquito populations, entomologic inoculation rates (EIRs), probabilities of local mosquito extinction, and proportion of time when the annual EIR was reduced below one were compared between different intervention types and efficacy periods. RESULTS In the village setting with clustered houses, the combinational intervention of 50% LLINs plus outdoor ATSBs significantly reduced mosquito population and EIR in short term, increased the probability of local mosquito extinction, and increased the time when annual EIR is less than one per person compared to 50% LLINs alone; outdoor ATSBs alone significantly reduced mosquito population in short term, increased the probability of mosquito extinction, and increased the time when annual EIR is less than one compared to 50% LLINs alone, but there was no significant difference in EIR in short term between 50% LLINs and outdoor ATSBs. In the village setting with dispersed houses, the combinational intervention of 50% LLINs plus outdoor ATSBs significantly reduced mosquito population in short term, increased the probability of mosquito extinction, and increased the time when annual EIR is less than one per person compared to 50% LLINs alone; outdoor ATSBs alone significantly reduced mosquito population in short term, but there were no significant difference in the probability of mosquito extinction and the time when annual EIR is less than one between \u2026", "author" : [ { "dropping-particle" : "", "family" : "Zhu", "given" : "Lin", "non-dropping-particle" : "", "parse-names" : false, "suffix" : "" }, { "dropping-particle" : "", "family" : "M\u00fcller", "given" : "G\u00fcnter C.", "non-dropping-particle" : "", "parse-names" : false, "suffix" : "" }, { "dropping-particle" : "", "family" : "Marshall", "given" : "John M.", "non-dropping-particle" : "", "parse-names" : false, "suffix" : "" }, { "dropping-particle" : "", "family" : "Arheart", "given" : "Kristopher L.", "non-dropping-particle" : "", "parse-names" : false, "suffix" : "" }, { "dropping-particle" : "", "family" : "Qualls", "given" : "Whitney A.", "non-dropping-particle" : "", "parse-names" : false, "suffix" : "" }, { "dropping-particle" : "", "family" : "Hlaing", "given" : "WayWay M.", "non-dropping-particle" : "", "parse-names" : false, "suffix" : "" }, { "dropping-particle" : "", "family" : "Schlein", "given" : "Yosef", "non-dropping-particle" : "", "parse-names" : false, "suffix" : "" }, { "dropping-particle" : "", "family" : "Traore", "given" : "Sekou F.", "non-dropping-particle" : "", "parse-names" : false, "suffix" : "" }, { "dropping-particle" : "", "family" : "Doumbia", "given" : "Seydou", "non-dropping-particle" : "", "parse-names" : false, "suffix" : "" }, { "dropping-particle" : "", "family" : "Beier", "given" : "John C.", "non-dropping-particle" : "", "parse-names" : false, "suffix" : "" } ], "container-title" : "Malaria Journal", "id" : "ITEM-1", "issue" : "1", "issued" : { "date-parts" : [ [ "2017", "12", "3" ] ] }, "page" : "266", "publisher" : "BioMed Central", "title" : "Is outdoor vector control needed for malaria elimination? An individual-based modelling study", "type" : "article-journal", "volume" : "16" }, "uris" : [ "http://www.mendeley.com/documents/?uuid=2fb7aeb2-5c01-3da4-b14d-8c28c8eaee4a" ] } ], "mendeley" : { "formattedCitation" : "(84)", "plainTextFormattedCitation" : "(84)", "previouslyFormattedCitation" : "(84)" }, "properties" : { "noteIndex" : 0 }, "schema" : "https://github.com/citation-style-language/schema/raw/master/csl-citation.json" }</w:instrText>
            </w:r>
            <w:r>
              <w:fldChar w:fldCharType="separate"/>
            </w:r>
            <w:r w:rsidRPr="009D01D3">
              <w:rPr>
                <w:noProof/>
                <w:lang w:eastAsia="ko-KR"/>
              </w:rPr>
              <w:t>(84)</w:t>
            </w:r>
            <w:r>
              <w:fldChar w:fldCharType="end"/>
            </w:r>
          </w:p>
        </w:tc>
      </w:tr>
      <w:tr w:rsidR="009D01D3" w:rsidRPr="00E358A3" w:rsidTr="0020168A">
        <w:trPr>
          <w:trHeight w:val="782"/>
        </w:trPr>
        <w:tc>
          <w:tcPr>
            <w:tcW w:w="620" w:type="pct"/>
            <w:gridSpan w:val="2"/>
            <w:tcBorders>
              <w:top w:val="single" w:sz="4" w:space="0" w:color="auto"/>
              <w:left w:val="nil"/>
              <w:bottom w:val="single" w:sz="4" w:space="0" w:color="auto"/>
              <w:right w:val="single" w:sz="12" w:space="0" w:color="auto"/>
            </w:tcBorders>
            <w:shd w:val="clear" w:color="auto" w:fill="auto"/>
            <w:vAlign w:val="center"/>
          </w:tcPr>
          <w:p w:rsidR="009D01D3" w:rsidRPr="00E358A3" w:rsidRDefault="009D01D3" w:rsidP="0020168A">
            <w:pPr>
              <w:rPr>
                <w:rFonts w:ascii="Calibri" w:hAnsi="Calibri" w:cs="Calibri"/>
                <w:color w:val="000000"/>
                <w:lang w:eastAsia="ko-KR"/>
              </w:rPr>
            </w:pPr>
            <w:r w:rsidRPr="00C45088">
              <w:rPr>
                <w:rFonts w:ascii="Calibri" w:hAnsi="Calibri" w:cs="Calibri"/>
                <w:color w:val="000000"/>
                <w:lang w:eastAsia="ko-KR"/>
              </w:rPr>
              <w:t>Phillips (2015)</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lang w:eastAsia="ko-KR"/>
              </w:rPr>
            </w:pPr>
            <w:r w:rsidRPr="00E358A3">
              <w:rPr>
                <w:rFonts w:ascii="Calibri" w:hAnsi="Calibri"/>
                <w:color w:val="000000"/>
                <w:lang w:eastAsia="ko-KR"/>
              </w:rPr>
              <w:t>Assess cost-effectiveness of diagnostic testing of malaria in children with fever</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lang w:eastAsia="ko-KR"/>
              </w:rPr>
            </w:pPr>
            <w:r w:rsidRPr="00E358A3">
              <w:rPr>
                <w:rFonts w:ascii="Calibri" w:hAnsi="Calibri"/>
                <w:color w:val="000000"/>
                <w:lang w:eastAsia="ko-KR"/>
              </w:rPr>
              <w:t>H</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lang w:eastAsia="ko-KR"/>
              </w:rPr>
            </w:pPr>
            <w:r w:rsidRPr="00E358A3">
              <w:rPr>
                <w:rFonts w:ascii="Calibri" w:hAnsi="Calibri"/>
                <w:color w:val="000000"/>
                <w:lang w:eastAsia="ko-KR"/>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lang w:eastAsia="ko-KR"/>
              </w:rPr>
            </w:pPr>
            <w:r w:rsidRPr="00E358A3">
              <w:rPr>
                <w:rFonts w:ascii="Calibri" w:hAnsi="Calibri"/>
                <w:color w:val="000000"/>
                <w:lang w:eastAsia="ko-KR"/>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lang w:eastAsia="ko-KR"/>
              </w:rPr>
            </w:pPr>
            <w:r w:rsidRPr="00E358A3">
              <w:rPr>
                <w:rFonts w:ascii="Calibri" w:hAnsi="Calibri"/>
                <w:color w:val="000000"/>
                <w:lang w:eastAsia="ko-KR"/>
              </w:rPr>
              <w:t>N</w:t>
            </w:r>
          </w:p>
        </w:tc>
        <w:tc>
          <w:tcPr>
            <w:tcW w:w="146"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lang w:eastAsia="ko-KR"/>
              </w:rPr>
            </w:pPr>
            <w:r>
              <w:rPr>
                <w:rFonts w:ascii="Calibri" w:hAnsi="Calibri"/>
                <w:color w:val="000000"/>
                <w:lang w:eastAsia="ko-KR"/>
              </w:rPr>
              <w:t>P,C,</w:t>
            </w:r>
            <w:r w:rsidRPr="00E358A3">
              <w:rPr>
                <w:rFonts w:ascii="Calibri" w:hAnsi="Calibri"/>
                <w:color w:val="000000"/>
                <w:lang w:eastAsia="ko-KR"/>
              </w:rPr>
              <w:t>S</w:t>
            </w:r>
          </w:p>
        </w:tc>
        <w:tc>
          <w:tcPr>
            <w:tcW w:w="773"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olor w:val="000000"/>
                <w:lang w:eastAsia="ko-KR"/>
              </w:rPr>
            </w:pPr>
            <w:r w:rsidRPr="00E358A3">
              <w:rPr>
                <w:rFonts w:ascii="Calibri" w:hAnsi="Calibri"/>
                <w:color w:val="000000"/>
                <w:lang w:eastAsia="ko-KR"/>
              </w:rPr>
              <w:t>Fever transmission rates, clinician compliance rates, intervention costs</w:t>
            </w:r>
          </w:p>
        </w:tc>
        <w:tc>
          <w:tcPr>
            <w:tcW w:w="6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lang w:eastAsia="ko-KR"/>
              </w:rPr>
            </w:pPr>
            <w:r w:rsidRPr="00E358A3">
              <w:rPr>
                <w:rFonts w:ascii="Calibri" w:hAnsi="Calibri"/>
                <w:color w:val="000000"/>
                <w:lang w:eastAsia="ko-KR"/>
              </w:rPr>
              <w:t>Total costs, deaths averted</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lang w:eastAsia="ko-KR"/>
              </w:rPr>
            </w:pPr>
            <w:r w:rsidRPr="00E358A3">
              <w:rPr>
                <w:rFonts w:ascii="Calibri" w:hAnsi="Calibri"/>
                <w:color w:val="000000"/>
                <w:lang w:eastAsia="ko-KR"/>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lang w:eastAsia="ko-KR"/>
              </w:rPr>
            </w:pPr>
            <w:r w:rsidRPr="00E358A3">
              <w:rPr>
                <w:rFonts w:ascii="Calibri" w:hAnsi="Calibri"/>
                <w:color w:val="000000"/>
                <w:lang w:eastAsia="ko-KR"/>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lang w:eastAsia="ko-KR"/>
              </w:rPr>
            </w:pPr>
            <w:r w:rsidRPr="00E358A3">
              <w:rPr>
                <w:rFonts w:ascii="Calibri" w:hAnsi="Calibri"/>
                <w:color w:val="000000"/>
                <w:lang w:eastAsia="ko-KR"/>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lang w:eastAsia="ko-KR"/>
              </w:rPr>
            </w:pPr>
            <w:r w:rsidRPr="00E358A3">
              <w:rPr>
                <w:rFonts w:ascii="Calibri" w:hAnsi="Calibri"/>
                <w:color w:val="000000"/>
                <w:lang w:eastAsia="ko-KR"/>
              </w:rPr>
              <w:t>Y</w:t>
            </w:r>
          </w:p>
        </w:tc>
        <w:tc>
          <w:tcPr>
            <w:tcW w:w="621"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lang w:eastAsia="ko-KR"/>
              </w:rPr>
            </w:pPr>
            <w:r w:rsidRPr="00E358A3">
              <w:rPr>
                <w:rFonts w:ascii="Calibri" w:hAnsi="Calibri"/>
                <w:color w:val="000000"/>
                <w:lang w:eastAsia="ko-KR"/>
              </w:rPr>
              <w:t>Patient, carer and clinician behaviour</w:t>
            </w:r>
          </w:p>
        </w:tc>
        <w:tc>
          <w:tcPr>
            <w:tcW w:w="1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lang w:eastAsia="ko-KR"/>
              </w:rPr>
            </w:pPr>
            <w:r>
              <w:rPr>
                <w:rFonts w:ascii="Calibri" w:hAnsi="Calibri" w:cs="Calibri"/>
                <w:color w:val="000000"/>
                <w:lang w:eastAsia="ko-KR"/>
              </w:rP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fldChar w:fldCharType="begin" w:fldLock="1"/>
            </w:r>
            <w:r>
              <w:rPr>
                <w:rFonts w:ascii="Calibri" w:hAnsi="Calibri" w:cs="Calibri"/>
                <w:color w:val="000000"/>
                <w:lang w:eastAsia="ko-KR"/>
              </w:rPr>
              <w:instrText>ADDIN CSL_CITATION { "citationItems" : [ { "id" : "ITEM-1", "itemData" : { "ISBN" : "9780128000977", "ISSN" : "1527-5418", "PMID" : "24655651", "abstract" : "Malaria imposes a substantial global disease burden. It disproportionately affects sub-Saharan Africans, particularly young children. In an effort to improve disease management, the World Health Organization (WHO) recommended in 2010 that countries test children younger than age five who present with suspected malaria fever to confirm the diagnosis instead of treating them presumptively with antimalarial drugs. Costs and concerns about the overall health impact of such diagnostic testing for malaria in children remain barriers to full implementation. Using data from national Malaria Indicator Surveys, we estimated two-stage microsimulation models for Angola, Tanzania, and Uganda to assess the policy\u2019s cost-effectiveness. We found that diagnostic testing for malaria in children younger than five is cost-saving in Angola. In Tanzania and Uganda the cost per life-year gained is $5.54 and $94.28, respectively. The costs projected for Tanzania and Uganda are less than the WHO standard of $150 per life-year gained. Our results were robust under varying assumptions about cost, prevalence of malaria, and behavior, and they strongly suggest the pursuit of policies that facilitate full implementation of testing for malaria in children younger than five.", "author" : [ { "dropping-particle" : "", "family" : "Phillips", "given" : "Victoria", "non-dropping-particle" : "", "parse-names" : false, "suffix" : "" }, { "dropping-particle" : "", "family" : "Njau", "given" : "Joseph", "non-dropping-particle" : "", "parse-names" : false, "suffix" : "" }, { "dropping-particle" : "", "family" : "Li", "given" : "Shang", "non-dropping-particle" : "", "parse-names" : false, "suffix" : "" }, { "dropping-particle" : "", "family" : "Kachur", "given" : "Patrick", "non-dropping-particle" : "", "parse-names" : false, "suffix" : "" } ], "container-title" : "Health Affaris", "id" : "ITEM-1", "issue" : "7", "issued" : { "date-parts" : [ [ "2015" ] ] }, "page" : "1196-1203", "title" : "Simulations show diagnostic testing for malaria in young African children can be cost-saving or cost-effective", "type" : "article-journal", "volume" : "34" }, "uris" : [ "http://www.mendeley.com/documents/?uuid=6f962bde-75b4-421a-a13e-aafa6b83bf21" ] } ], "mendeley" : { "formattedCitation" : "(85)", "plainTextFormattedCitation" : "(85)", "previouslyFormattedCitation" : "(85)" }, "properties" : { "noteIndex" : 0 }, "schema" : "https://github.com/citation-style-language/schema/raw/master/csl-citation.json" }</w:instrText>
            </w:r>
            <w:r w:rsidRPr="00E358A3">
              <w:rPr>
                <w:rFonts w:ascii="Calibri" w:hAnsi="Calibri" w:cs="Calibri"/>
                <w:color w:val="000000"/>
              </w:rPr>
              <w:fldChar w:fldCharType="separate"/>
            </w:r>
            <w:r w:rsidRPr="009D01D3">
              <w:rPr>
                <w:rFonts w:ascii="Calibri" w:hAnsi="Calibri" w:cs="Calibri"/>
                <w:noProof/>
                <w:color w:val="000000"/>
              </w:rPr>
              <w:t>(85)</w:t>
            </w:r>
            <w:r w:rsidRPr="00E358A3">
              <w:rPr>
                <w:rFonts w:ascii="Calibri" w:hAnsi="Calibri" w:cs="Calibri"/>
                <w:color w:val="000000"/>
              </w:rPr>
              <w:fldChar w:fldCharType="end"/>
            </w:r>
          </w:p>
        </w:tc>
      </w:tr>
      <w:tr w:rsidR="009D01D3" w:rsidRPr="00E358A3" w:rsidTr="0020168A">
        <w:trPr>
          <w:trHeight w:val="271"/>
        </w:trPr>
        <w:tc>
          <w:tcPr>
            <w:tcW w:w="620" w:type="pct"/>
            <w:gridSpan w:val="2"/>
            <w:tcBorders>
              <w:top w:val="single" w:sz="4" w:space="0" w:color="auto"/>
              <w:left w:val="nil"/>
              <w:right w:val="single" w:sz="12" w:space="0" w:color="auto"/>
            </w:tcBorders>
            <w:shd w:val="clear" w:color="auto" w:fill="auto"/>
            <w:vAlign w:val="center"/>
          </w:tcPr>
          <w:p w:rsidR="009D01D3" w:rsidRPr="00E358A3" w:rsidRDefault="009D01D3" w:rsidP="0020168A">
            <w:pPr>
              <w:rPr>
                <w:rFonts w:ascii="Calibri" w:hAnsi="Calibri" w:cs="Calibri"/>
                <w:color w:val="000000"/>
              </w:rPr>
            </w:pPr>
            <w:r w:rsidRPr="00E358A3">
              <w:rPr>
                <w:rFonts w:ascii="Calibri" w:hAnsi="Calibri" w:cs="Calibri"/>
                <w:color w:val="000000"/>
              </w:rPr>
              <w:t>Silal (2015A)</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46"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773"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6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621"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fldChar w:fldCharType="begin" w:fldLock="1"/>
            </w:r>
            <w:r>
              <w:rPr>
                <w:rFonts w:ascii="Calibri" w:hAnsi="Calibri" w:cs="Calibri"/>
                <w:color w:val="000000"/>
              </w:rPr>
              <w:instrText>ADDIN CSL_CITATION { "citationItems" : [ { "id" : "ITEM-1", "itemData" : { "DOI" : "10.1371/journal.pone.0144990", "ISBN" : "1932-6203", "ISSN" : "19326203", "PMID" : "26689547", "abstract" : "South Africa is committed to eliminating malaria with a goal of zero local transmission by 2018. Malaria elimination strategies may be unsuccessful if they focus only on vector biology, and ignore the mobility patterns of humans, particularly where the majority of infections are imported. In the first study in Mpumalanga Province in South Africa designed for this purpose, a metapopulation model is developed to assess the impact of their proposed elimination-focused policy interventions. A stochastic, non-linear, ordinary-differential equation model is fitted to malaria data from Mpumalanga and neighbouring Maputo Province in Mozambique. Further scaling-up of vector control is predicted to lead to a minimal reduction in local infections, while mass drug administration and focal screening and treatment at the Mpumalanga-Maputo border are predicted to have only a short-lived impact. Source reduction in Maputo Province is predicted to generate large reductions in local infections through stemming imported infections. The mathematical model predicts malaria elimination to be possible only when imported infections are treated before entry or eliminated at the source suggesting that a regionally focused strategy appears needed, for achieving malaria elimination in Mpumalanga and South Africa.", "author" : [ { "dropping-particle" : "", "family" : "Silal", "given" : "Sheetal Prakash", "non-dropping-particle" : "", "parse-names" : false, "suffix" : "" }, { "dropping-particle" : "", "family" : "Little", "given" : "Francesca", "non-dropping-particle" : "", "parse-names" : false, "suffix" : "" }, { "dropping-particle" : "", "family" : "Barnes", "given" : "Karen Irma", "non-dropping-particle" : "", "parse-names" : false, "suffix" : "" }, { "dropping-particle" : "", "family" : "White", "given" : "Lisa Jane", "non-dropping-particle" : "", "parse-names" : false, "suffix" : "" } ], "container-title" : "PLoS ONE", "id" : "ITEM-1", "issue" : "12", "issued" : { "date-parts" : [ [ "2015" ] ] }, "page" : "1-16", "title" : "Hitting a moving target: A model for malaria elimination in the presence of population movement", "type" : "article-journal", "volume" : "10" }, "uris" : [ "http://www.mendeley.com/documents/?uuid=f42e9d57-95f7-476d-8def-564ed4aedc67" ] } ], "mendeley" : { "formattedCitation" : "(86)", "plainTextFormattedCitation" : "(86)", "previouslyFormattedCitation" : "(86)" }, "properties" : { "noteIndex" : 0 }, "schema" : "https://github.com/citation-style-language/schema/raw/master/csl-citation.json" }</w:instrText>
            </w:r>
            <w:r w:rsidRPr="00E358A3">
              <w:rPr>
                <w:rFonts w:ascii="Calibri" w:hAnsi="Calibri" w:cs="Calibri"/>
                <w:color w:val="000000"/>
              </w:rPr>
              <w:fldChar w:fldCharType="separate"/>
            </w:r>
            <w:r w:rsidRPr="009D01D3">
              <w:rPr>
                <w:rFonts w:ascii="Calibri" w:hAnsi="Calibri" w:cs="Calibri"/>
                <w:noProof/>
                <w:color w:val="000000"/>
              </w:rPr>
              <w:t>(86)</w:t>
            </w:r>
            <w:r w:rsidRPr="00E358A3">
              <w:rPr>
                <w:rFonts w:ascii="Calibri" w:hAnsi="Calibri" w:cs="Calibri"/>
                <w:color w:val="000000"/>
              </w:rPr>
              <w:fldChar w:fldCharType="end"/>
            </w:r>
          </w:p>
        </w:tc>
      </w:tr>
      <w:tr w:rsidR="009D01D3" w:rsidRPr="00E358A3" w:rsidTr="0020168A">
        <w:trPr>
          <w:trHeight w:val="664"/>
        </w:trPr>
        <w:tc>
          <w:tcPr>
            <w:tcW w:w="260" w:type="pct"/>
            <w:tcBorders>
              <w:left w:val="nil"/>
              <w:bottom w:val="single" w:sz="4" w:space="0" w:color="auto"/>
              <w:right w:val="single" w:sz="4" w:space="0" w:color="auto"/>
            </w:tcBorders>
            <w:shd w:val="clear" w:color="auto" w:fill="auto"/>
            <w:vAlign w:val="center"/>
          </w:tcPr>
          <w:p w:rsidR="009D01D3" w:rsidRPr="00542887" w:rsidRDefault="009D01D3" w:rsidP="0020168A">
            <w:pPr>
              <w:rPr>
                <w:rFonts w:ascii="Calibri" w:hAnsi="Calibri" w:cs="Calibri"/>
                <w:color w:val="000000"/>
              </w:rPr>
            </w:pPr>
          </w:p>
        </w:tc>
        <w:tc>
          <w:tcPr>
            <w:tcW w:w="360" w:type="pct"/>
            <w:tcBorders>
              <w:left w:val="single" w:sz="4" w:space="0" w:color="auto"/>
              <w:bottom w:val="single" w:sz="4" w:space="0" w:color="auto"/>
              <w:right w:val="single" w:sz="12" w:space="0" w:color="auto"/>
            </w:tcBorders>
            <w:shd w:val="clear" w:color="auto" w:fill="auto"/>
            <w:vAlign w:val="center"/>
          </w:tcPr>
          <w:p w:rsidR="009D01D3" w:rsidRPr="00187934" w:rsidRDefault="009D01D3" w:rsidP="0020168A">
            <w:pPr>
              <w:jc w:val="right"/>
              <w:rPr>
                <w:rFonts w:ascii="Calibri" w:hAnsi="Calibri" w:cs="Calibri"/>
                <w:color w:val="000000"/>
              </w:rPr>
            </w:pPr>
            <w:r w:rsidRPr="00187934">
              <w:rPr>
                <w:rFonts w:ascii="Calibri" w:hAnsi="Calibri" w:cs="Calibri"/>
                <w:color w:val="000000"/>
              </w:rPr>
              <w:t>Silal (2015B)</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Pr="0068576A" w:rsidRDefault="009D01D3" w:rsidP="0020168A">
            <w:pPr>
              <w:jc w:val="center"/>
              <w:rPr>
                <w:rFonts w:ascii="Calibri" w:eastAsia="Times New Roman" w:hAnsi="Calibri" w:cs="Times New Roman"/>
                <w:color w:val="000000"/>
              </w:rPr>
            </w:pPr>
            <w:r w:rsidRPr="0068576A">
              <w:rPr>
                <w:rFonts w:ascii="Calibri" w:hAnsi="Calibri" w:cs="Calibri"/>
                <w:color w:val="000000"/>
              </w:rPr>
              <w:t>Assess impact of border-control focal screen-and-treat campaign on transmission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eastAsia="Times New Roman" w:hAnsi="Calibri" w:cs="Times New Roman"/>
                <w:color w:val="000000"/>
              </w:rPr>
            </w:pPr>
            <w:r w:rsidRPr="00E358A3">
              <w:rPr>
                <w:rFonts w:ascii="Calibri" w:hAnsi="Calibri" w:cs="Calibri"/>
                <w:color w:val="000000"/>
              </w:rPr>
              <w:t>H</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eastAsia="Times New Roman" w:hAnsi="Calibri" w:cs="Times New Roman"/>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eastAsia="Times New Roman" w:hAnsi="Calibri" w:cs="Times New Roman"/>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eastAsia="Times New Roman" w:hAnsi="Calibri" w:cs="Times New Roman"/>
                <w:color w:val="000000"/>
              </w:rPr>
            </w:pPr>
            <w:r w:rsidRPr="00E358A3">
              <w:rPr>
                <w:rFonts w:ascii="Calibri" w:hAnsi="Calibri" w:cs="Calibri"/>
                <w:color w:val="000000"/>
              </w:rPr>
              <w:t>N</w:t>
            </w:r>
          </w:p>
        </w:tc>
        <w:tc>
          <w:tcPr>
            <w:tcW w:w="146"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eastAsia="Times New Roman" w:hAnsi="Calibri" w:cs="Times New Roman"/>
                <w:color w:val="000000"/>
              </w:rPr>
            </w:pPr>
            <w:r w:rsidRPr="00E358A3">
              <w:rPr>
                <w:rFonts w:ascii="Calibri" w:hAnsi="Calibri" w:cs="Calibri"/>
                <w:color w:val="000000"/>
              </w:rPr>
              <w:t>P,C,V</w:t>
            </w:r>
          </w:p>
        </w:tc>
        <w:tc>
          <w:tcPr>
            <w:tcW w:w="773"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eastAsia="Times New Roman" w:hAnsi="Calibri" w:cs="Times New Roman"/>
                <w:color w:val="000000"/>
              </w:rPr>
            </w:pPr>
            <w:r w:rsidRPr="00E358A3">
              <w:rPr>
                <w:rFonts w:ascii="Calibri" w:hAnsi="Calibri" w:cs="Calibri"/>
                <w:color w:val="000000"/>
              </w:rPr>
              <w:t>Parameters of infection and human behaviour for compartment flow</w:t>
            </w:r>
          </w:p>
        </w:tc>
        <w:tc>
          <w:tcPr>
            <w:tcW w:w="6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eastAsia="Times New Roman" w:hAnsi="Calibri" w:cs="Times New Roman"/>
                <w:color w:val="000000"/>
              </w:rPr>
            </w:pPr>
            <w:r w:rsidRPr="00E358A3">
              <w:rPr>
                <w:rFonts w:ascii="Calibri" w:hAnsi="Calibri" w:cs="Calibri"/>
                <w:color w:val="000000"/>
              </w:rPr>
              <w:t>Reduction in local infections</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eastAsia="Times New Roman" w:hAnsi="Calibri" w:cs="Times New Roman"/>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eastAsia="Times New Roman" w:hAnsi="Calibri" w:cs="Times New Roman"/>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eastAsia="Times New Roman" w:hAnsi="Calibri" w:cs="Times New Roman"/>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eastAsia="Times New Roman" w:hAnsi="Calibri" w:cs="Times New Roman"/>
                <w:color w:val="000000"/>
              </w:rPr>
            </w:pPr>
            <w:r w:rsidRPr="00E358A3">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eastAsia="Times New Roman" w:hAnsi="Calibri" w:cs="Times New Roman"/>
                <w:color w:val="000000"/>
              </w:rPr>
            </w:pPr>
            <w:r w:rsidRPr="00E358A3">
              <w:rPr>
                <w:rFonts w:ascii="Calibri" w:hAnsi="Calibri" w:cs="Calibri"/>
                <w:color w:val="000000"/>
              </w:rPr>
              <w:t>Focus on border-control, ABM contained within larger deterministic model</w:t>
            </w:r>
          </w:p>
        </w:tc>
        <w:tc>
          <w:tcPr>
            <w:tcW w:w="1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fldChar w:fldCharType="begin" w:fldLock="1"/>
            </w:r>
            <w:r>
              <w:rPr>
                <w:rFonts w:ascii="Calibri" w:hAnsi="Calibri" w:cs="Calibri"/>
                <w:color w:val="000000"/>
              </w:rPr>
              <w:instrText>ADDIN CSL_CITATION { "citationItems" : [ { "id" : "ITEM-1", "itemData" : { "DOI" : "10.1186/s12936-015-0776-2", "ISBN" : "1475-2875", "ISSN" : "1475-2875", "PMID" : "26164675", "abstract" : "BACKGROUND: South Africa is one of many countries committed to malaria elimination with a target of 2018 and all malaria-endemic provinces, including Mpumalanga, are increasing efforts towards this ambitious goal. The reduction of imported infections is a vital element of an elimination strategy, particularly if a country is already experiencing high levels of imported infections. Border control of malaria is one tool that may be considered.\\n\\nMETHODS: A metapopulation, non-linear stochastic ordinary differential equation model is used to simulate malaria transmission in Mpumalanga and Maputo province, Mozambique (the source of the majority of imported infections) to predict the impact of a focal screen and treat campaign at the Mpumalanga-Maputo border. This campaign is simulated by nesting an individual-based model for the focal screen and treat campaign within the metapopulation transmission model.\\n\\nRESULTS: The model predicts that such a campaign, simulated for different levels of resources, coverage and take-up rates with a variety of screening tools, will not eliminate malaria on its own, but will reduce transmission substantially. Making the campaign mandatory decreases transmission further though sub-patent infections are likely to remain undetected if the diagnostic tool is not adequately sensitive. Replacing screening and treating with mass drug administration results in substantially larger decreases as all (including sub-patent) infections are treated before movement into Mpumalanga.\\n\\nCONCLUSIONS: The reduction of imported cases will be vital to any future malaria control or elimination strategy. This simulation predicts that FSAT at the Mpumalanga-Maputo border will be unable to eliminate local malaria on its own, but may still play a key role in detecting and treating imported infections before they enter the country. Thus FSAT may form part of an integrated elimination strategy where a variety of interventions are employed together to achieve malaria elimination.", "author" : [ { "dropping-particle" : "", "family" : "Silal", "given" : "Sheetal P", "non-dropping-particle" : "", "parse-names" : false, "suffix" : "" }, { "dropping-particle" : "", "family" : "Little", "given" : "Francesca", "non-dropping-particle" : "", "parse-names" : false, "suffix" : "" }, { "dropping-particle" : "", "family" : "Barnes", "given" : "Karen I", "non-dropping-particle" : "", "parse-names" : false, "suffix" : "" }, { "dropping-particle" : "", "family" : "White", "given" : "Lisa J", "non-dropping-particle" : "", "parse-names" : false, "suffix" : "" } ], "container-title" : "Malaria Journal", "id" : "ITEM-1", "issue" : "1", "issued" : { "date-parts" : [ [ "2015", "12", "12" ] ] }, "page" : "268", "publisher" : "BioMed Central", "title" : "Predicting the impact of border control on malaria transmission: a simulated focal screen and treat campaign", "type" : "article-journal", "volume" : "14" }, "uris" : [ "http://www.mendeley.com/documents/?uuid=85abc92f-842d-4770-ba68-2063a6347c6c" ] } ], "mendeley" : { "formattedCitation" : "(87)", "plainTextFormattedCitation" : "(87)", "previouslyFormattedCitation" : "(87)" }, "properties" : { "noteIndex" : 0 }, "schema" : "https://github.com/citation-style-language/schema/raw/master/csl-citation.json" }</w:instrText>
            </w:r>
            <w:r w:rsidRPr="00E358A3">
              <w:rPr>
                <w:rFonts w:ascii="Calibri" w:hAnsi="Calibri" w:cs="Calibri"/>
                <w:color w:val="000000"/>
              </w:rPr>
              <w:fldChar w:fldCharType="separate"/>
            </w:r>
            <w:r w:rsidRPr="009D01D3">
              <w:rPr>
                <w:rFonts w:ascii="Calibri" w:hAnsi="Calibri" w:cs="Calibri"/>
                <w:noProof/>
                <w:color w:val="000000"/>
              </w:rPr>
              <w:t>(87)</w:t>
            </w:r>
            <w:r w:rsidRPr="00E358A3">
              <w:rPr>
                <w:rFonts w:ascii="Calibri" w:hAnsi="Calibri" w:cs="Calibri"/>
                <w:color w:val="000000"/>
              </w:rPr>
              <w:fldChar w:fldCharType="end"/>
            </w:r>
          </w:p>
        </w:tc>
      </w:tr>
      <w:tr w:rsidR="009D01D3" w:rsidRPr="00E358A3" w:rsidTr="0020168A">
        <w:trPr>
          <w:trHeight w:val="1183"/>
        </w:trPr>
        <w:tc>
          <w:tcPr>
            <w:tcW w:w="620" w:type="pct"/>
            <w:gridSpan w:val="2"/>
            <w:tcBorders>
              <w:top w:val="single" w:sz="4" w:space="0" w:color="auto"/>
              <w:left w:val="nil"/>
              <w:bottom w:val="single" w:sz="4" w:space="0" w:color="auto"/>
              <w:right w:val="single" w:sz="12" w:space="0" w:color="auto"/>
            </w:tcBorders>
            <w:shd w:val="clear" w:color="auto" w:fill="auto"/>
            <w:vAlign w:val="center"/>
          </w:tcPr>
          <w:p w:rsidR="009D01D3" w:rsidRPr="00542887" w:rsidRDefault="009D01D3" w:rsidP="0020168A">
            <w:pPr>
              <w:rPr>
                <w:rFonts w:ascii="Calibri" w:hAnsi="Calibri" w:cs="Calibri"/>
                <w:color w:val="000000"/>
              </w:rPr>
            </w:pPr>
            <w:r w:rsidRPr="00542887">
              <w:rPr>
                <w:rFonts w:ascii="Calibri" w:eastAsia="Times New Roman" w:hAnsi="Calibri" w:cs="Times New Roman"/>
                <w:color w:val="000000"/>
              </w:rPr>
              <w:t>Nguyen (2015)</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Pr="00187934" w:rsidRDefault="009D01D3" w:rsidP="0020168A">
            <w:pPr>
              <w:jc w:val="center"/>
              <w:rPr>
                <w:rFonts w:ascii="Calibri" w:hAnsi="Calibri" w:cs="Calibri"/>
                <w:color w:val="000000"/>
              </w:rPr>
            </w:pPr>
            <w:r w:rsidRPr="00187934">
              <w:rPr>
                <w:rFonts w:ascii="Calibri" w:eastAsia="Times New Roman" w:hAnsi="Calibri" w:cs="Times New Roman"/>
                <w:color w:val="000000"/>
              </w:rPr>
              <w:t>Compare strategies for optimum use of ACTs at the population level, without accelerating drug resistance</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eastAsia="Times New Roman" w:hAnsi="Calibri" w:cs="Times New Roman"/>
                <w:color w:val="000000"/>
              </w:rPr>
              <w:t>H</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eastAsia="Times New Roman" w:hAnsi="Calibri" w:cs="Times New Roman"/>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eastAsia="Times New Roman" w:hAnsi="Calibri" w:cs="Times New Roman"/>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eastAsia="Times New Roman" w:hAnsi="Calibri" w:cs="Times New Roman"/>
                <w:color w:val="000000"/>
              </w:rPr>
              <w:t>N</w:t>
            </w:r>
          </w:p>
        </w:tc>
        <w:tc>
          <w:tcPr>
            <w:tcW w:w="146"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eastAsia="Times New Roman" w:hAnsi="Calibri" w:cs="Times New Roman"/>
                <w:color w:val="000000"/>
              </w:rPr>
              <w:t>P,C,V,S</w:t>
            </w:r>
          </w:p>
        </w:tc>
        <w:tc>
          <w:tcPr>
            <w:tcW w:w="773"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eastAsia="Times New Roman" w:hAnsi="Calibri" w:cs="Times New Roman"/>
                <w:color w:val="000000"/>
              </w:rPr>
              <w:t>Cost of resistance, treatment coverage</w:t>
            </w:r>
          </w:p>
        </w:tc>
        <w:tc>
          <w:tcPr>
            <w:tcW w:w="6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eastAsia="Times New Roman" w:hAnsi="Calibri" w:cs="Times New Roman"/>
                <w:color w:val="000000"/>
              </w:rPr>
              <w:t>Treatment failure rate, useful therapeutic life, resistance emergence, partner drug resistance rates</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eastAsia="Times New Roman" w:hAnsi="Calibri" w:cs="Times New Roman"/>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eastAsia="Times New Roman" w:hAnsi="Calibri" w:cs="Times New Roman"/>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eastAsia="Times New Roman" w:hAnsi="Calibri" w:cs="Times New Roman"/>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eastAsia="Times New Roman" w:hAnsi="Calibri" w:cs="Times New Roman"/>
                <w:color w:val="000000"/>
              </w:rPr>
              <w:t>N</w:t>
            </w:r>
          </w:p>
        </w:tc>
        <w:tc>
          <w:tcPr>
            <w:tcW w:w="621"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eastAsia="Times New Roman" w:hAnsi="Calibri" w:cs="Times New Roman"/>
                <w:color w:val="000000"/>
              </w:rPr>
              <w:t>Drug resistance, PK/PD</w:t>
            </w:r>
          </w:p>
        </w:tc>
        <w:tc>
          <w:tcPr>
            <w:tcW w:w="1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fldChar w:fldCharType="begin" w:fldLock="1"/>
            </w:r>
            <w:r>
              <w:rPr>
                <w:rFonts w:ascii="Calibri" w:hAnsi="Calibri" w:cs="Calibri"/>
                <w:color w:val="000000"/>
              </w:rPr>
              <w:instrText>ADDIN CSL_CITATION { "citationItems" : [ { "id" : "ITEM-1", "itemData" : { "DOI" : "10.1016/S2214-109X(15)00162-X", "ISBN" : "0000030449", "ISSN" : "2214109X", "PMID" : "26545449", "abstract" : "Background: Artemisinin combination therapies (ACTs) are used worldwide as first-line treatment against confirmed or suspected Plasmodium falciparum malaria. Despite the success of ACTs at reducing the global burden of malaria, emerging resistance to artemisinin threatens these gains. Countering onset of resistance might need deliberate tactics aimed at slowing the reduction in ACT effectiveness. We assessed optimum use of ACTs at the population level, specifically focusing on a strategy of multiple first-line therapies (MFT), and comparing it with strategies of cycling or sequential use of single first-line ACTs. Methods: With an individual-based microsimulation of regional malaria transmission, we looked at how to apply a therapy as widely as possible without accelerating reduction of efficacy by drug resistance. We compared simultaneous distribution of artemether-lumefantrine, artesunate-amodiaquine, and dihydroartemisinin-piperaquine (ie, MFT) against strategies in which these ACTs would be cycled or used sequentially, either on a fixed schedule or when population-level efficacy reaches the WHO threshold of 10% treatment failure. The main assessment criterion was total number of treatment failures per 100 people per year. Additionally, we analysed the benefits of including a single non-ACT therapy in an MFT strategy, and did sensitivity analyses in which we varied transmission setting, treatment coverage, partner-drug half-life, fitness cost of drug resistance, and the relation between drug concentration and resistance evolution. Findings: Use of MFT was predicted to reduce the long-term number of treatment failures compared with strategies in which a single first-line ACT is recommended. This result was robust to various epidemiological, pharmacological, and evolutionary features of malaria transmission. Inclusion of a single non-ACT therapy in an MFT strategy would have substantial benefits in reduction of pressure on artemisinin resistance evolution, delaying its emergence and slowing its spread. Interpretation: Adjusting national antimalarial treatment guidelines to encourage simultaneous use of MFT is likely to extend the useful therapeutic life of available antimalarial drugs, resulting in long-term beneficial outcomes for patients. Funding: Wellcome Trust, UK Medical Research Council, Li Ka Shing Foundation.", "author" : [ { "dropping-particle" : "", "family" : "Nguyen", "given" : "Tran Dang", "non-dropping-particle" : "", "parse-names" : false, "suffix" : "" }, { "dropping-particle" : "", "family" : "Olliaro", "given" : "Piero", "non-dropping-particle" : "", "parse-names" : false, "suffix" : "" }, { "dropping-particle" : "", "family" : "Dondorp", "given" : "Arjen M", "non-dropping-particle" : "", "parse-names" : false, "suffix" : "" }, { "dropping-particle" : "", "family" : "Baird", "given" : "J Kevin", "non-dropping-particle" : "", "parse-names" : false, "suffix" : "" }, { "dropping-particle" : "", "family" : "Lam", "given" : "Ha Minh", "non-dropping-particle" : "", "parse-names" : false, "suffix" : "" }, { "dropping-particle" : "", "family" : "Farrar", "given" : "Jeremy", "non-dropping-particle" : "", "parse-names" : false, "suffix" : "" }, { "dropping-particle" : "", "family" : "Thwaites", "given" : "Guy E", "non-dropping-particle" : "", "parse-names" : false, "suffix" : "" }, { "dropping-particle" : "", "family" : "White", "given" : "Nicholas J", "non-dropping-particle" : "", "parse-names" : false, "suffix" : "" }, { "dropping-particle" : "", "family" : "Boni", "given" : "Maciej F", "non-dropping-particle" : "", "parse-names" : false, "suffix" : "" } ], "container-title" : "The Lancet Global Health", "id" : "ITEM-1", "issue" : "12", "issued" : { "date-parts" : [ [ "2015" ] ] }, "page" : "e758-e766", "publisher" : "Copyright \u00c2\u00a9 Nguyen et al. Open Access article distributed under the terms of CC BY", "title" : "Optimum population-level use of artemisinin combination therapies: A modelling study", "type" : "article-journal", "volume" : "3" }, "uris" : [ "http://www.mendeley.com/documents/?uuid=4e47fd0f-fa25-40a0-9113-12f40d7d2003" ] } ], "mendeley" : { "formattedCitation" : "(88)", "plainTextFormattedCitation" : "(88)", "previouslyFormattedCitation" : "(88)" }, "properties" : { "noteIndex" : 0 }, "schema" : "https://github.com/citation-style-language/schema/raw/master/csl-citation.json" }</w:instrText>
            </w:r>
            <w:r w:rsidRPr="00E358A3">
              <w:rPr>
                <w:rFonts w:ascii="Calibri" w:hAnsi="Calibri" w:cs="Calibri"/>
                <w:color w:val="000000"/>
              </w:rPr>
              <w:fldChar w:fldCharType="separate"/>
            </w:r>
            <w:r w:rsidRPr="009D01D3">
              <w:rPr>
                <w:rFonts w:ascii="Calibri" w:hAnsi="Calibri" w:cs="Calibri"/>
                <w:noProof/>
                <w:color w:val="000000"/>
              </w:rPr>
              <w:t>(88)</w:t>
            </w:r>
            <w:r w:rsidRPr="00E358A3">
              <w:rPr>
                <w:rFonts w:ascii="Calibri" w:hAnsi="Calibri" w:cs="Calibri"/>
                <w:color w:val="000000"/>
              </w:rPr>
              <w:fldChar w:fldCharType="end"/>
            </w:r>
          </w:p>
        </w:tc>
      </w:tr>
      <w:tr w:rsidR="009D01D3" w:rsidRPr="00E358A3" w:rsidTr="0020168A">
        <w:trPr>
          <w:trHeight w:val="1207"/>
        </w:trPr>
        <w:tc>
          <w:tcPr>
            <w:tcW w:w="620" w:type="pct"/>
            <w:gridSpan w:val="2"/>
            <w:tcBorders>
              <w:top w:val="single" w:sz="4" w:space="0" w:color="auto"/>
              <w:left w:val="nil"/>
              <w:right w:val="single" w:sz="12" w:space="0" w:color="auto"/>
            </w:tcBorders>
            <w:shd w:val="clear" w:color="auto" w:fill="auto"/>
            <w:vAlign w:val="center"/>
            <w:hideMark/>
          </w:tcPr>
          <w:p w:rsidR="009D01D3" w:rsidRPr="00542887" w:rsidRDefault="009D01D3" w:rsidP="0020168A">
            <w:pPr>
              <w:rPr>
                <w:rFonts w:ascii="Calibri" w:hAnsi="Calibri" w:cs="Calibri"/>
                <w:color w:val="000000"/>
              </w:rPr>
            </w:pPr>
            <w:r w:rsidRPr="00542887">
              <w:rPr>
                <w:rFonts w:ascii="Calibri" w:hAnsi="Calibri" w:cs="Calibri"/>
                <w:color w:val="000000"/>
              </w:rPr>
              <w:t>Pizzitutti (2015)</w:t>
            </w:r>
          </w:p>
        </w:tc>
        <w:tc>
          <w:tcPr>
            <w:tcW w:w="674" w:type="pct"/>
            <w:tcBorders>
              <w:top w:val="single" w:sz="4" w:space="0" w:color="auto"/>
              <w:left w:val="single" w:sz="12" w:space="0" w:color="auto"/>
              <w:bottom w:val="single" w:sz="4" w:space="0" w:color="auto"/>
              <w:right w:val="nil"/>
            </w:tcBorders>
            <w:shd w:val="clear" w:color="auto" w:fill="auto"/>
            <w:vAlign w:val="center"/>
            <w:hideMark/>
          </w:tcPr>
          <w:p w:rsidR="009D01D3" w:rsidRPr="00187934" w:rsidRDefault="009D01D3" w:rsidP="0020168A">
            <w:pPr>
              <w:jc w:val="center"/>
              <w:rPr>
                <w:rFonts w:ascii="Calibri" w:hAnsi="Calibri" w:cs="Calibri"/>
                <w:color w:val="000000"/>
              </w:rPr>
            </w:pPr>
            <w:r w:rsidRPr="00187934">
              <w:rPr>
                <w:rFonts w:ascii="Calibri" w:hAnsi="Calibri" w:cs="Calibri"/>
                <w:color w:val="000000"/>
              </w:rPr>
              <w:t>Represent changes in malaria transmission with Amazonian river levels near Padre Cocha, demonstrate effectiveness of larval habitat control</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H,M</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46"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C,V</w:t>
            </w:r>
          </w:p>
        </w:tc>
        <w:tc>
          <w:tcPr>
            <w:tcW w:w="773"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River level, larval habitat control buffer radius</w:t>
            </w:r>
          </w:p>
        </w:tc>
        <w:tc>
          <w:tcPr>
            <w:tcW w:w="6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Malaria incidence, spatial clustering of cases</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Parasites as agents, risk-dependent implementation of interventions</w:t>
            </w:r>
          </w:p>
        </w:tc>
        <w:tc>
          <w:tcPr>
            <w:tcW w:w="1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fldChar w:fldCharType="begin" w:fldLock="1"/>
            </w:r>
            <w:r>
              <w:rPr>
                <w:rFonts w:ascii="Calibri" w:hAnsi="Calibri" w:cs="Calibri"/>
                <w:color w:val="000000"/>
              </w:rPr>
              <w:instrText>ADDIN CSL_CITATION { "citationItems" : [ { "id" : "ITEM-1", "itemData" : { "DOI" : "10.1186/s12936-015-1030-7", "ISBN" : "1475-2875 (Electronic)\\r1475-2875 (Linking)", "ISSN" : "1475-2875", "PMID" : "26696294", "abstract" : "BACKGROUND: The Amazon environment has been exposed in the last decades to radical changes that have been accompanied by a remarkable rise of both Plasmodium falciparum and Plasmodium vivax malaria. The malaria transmission process is highly influenced by factors such as spatial and temporal heterogeneities of the environment and individual-based characteristics of mosquitoes and humans populations. All these determinant factors can be simulated effectively trough agent-based models. METHODS: This paper presents a validated agent-based model of local-scale malaria transmission. The model reproduces the environment of a typical riverine village in the northern Peruvian Amazon, where the malaria transmission is highly seasonal and apparently associated with flooding of large areas caused by the neighbouring river. Agents representing humans, mosquitoes and the two species of Plasmodium (P. falciparum and P. vivax) are simulated in a spatially explicit representation of the environment around the village. The model environment includes: climate, people houses positions and elevation. A representation of changes in the mosquito breeding areas extension caused by the river flooding is also included in the simulation environment. RESULTS: A calibration process was carried out to reproduce the variations of the malaria monthly incidence over a period of 3 years. The calibrated model is also able to reproduce the spatial heterogeneities of local scale malaria transmission. A \"what if\" eradication strategy scenario is proposed: if the mosquito breeding sites are eliminated through mosquito larva habitat management in a buffer area extended at least 200 m around the village, the malaria transmission is eradicated from the village. CONCLUSIONS: The use of agent-based models can reproduce effectively the spatiotemporal variations of the malaria transmission in a low endemicity environment dominated by river floodings like in the Amazon.", "author" : [ { "dropping-particle" : "", "family" : "Pizzitutti", "given" : "Francesco", "non-dropping-particle" : "", "parse-names" : false, "suffix" : "" }, { "dropping-particle" : "", "family" : "Pan", "given" : "William", "non-dropping-particle" : "", "parse-names" : false, "suffix" : "" }, { "dropping-particle" : "", "family" : "Barbieri", "given" : "Alisson", "non-dropping-particle" : "", "parse-names" : false, "suffix" : "" }, { "dropping-particle" : "", "family" : "Miranda", "given" : "J Jaime", "non-dropping-particle" : "", "parse-names" : false, "suffix" : "" }, { "dropping-particle" : "", "family" : "Feingold", "given" : "Beth", "non-dropping-particle" : "", "parse-names" : false, "suffix" : "" }, { "dropping-particle" : "", "family" : "Guedes", "given" : "Gilvan R", "non-dropping-particle" : "", "parse-names" : false, "suffix" : "" }, { "dropping-particle" : "", "family" : "Alarcon-Valenzuela", "given" : "Javiera", "non-dropping-particle" : "", "parse-names" : false, "suffix" : "" }, { "dropping-particle" : "", "family" : "Mena", "given" : "Carlos F", "non-dropping-particle" : "", "parse-names" : false, "suffix" : "" } ], "container-title" : "Malaria Journal", "id" : "ITEM-1", "issue" : "1", "issued" : { "date-parts" : [ [ "2015" ] ] }, "page" : "514-532", "publisher" : "BioMed Central", "title" : "A validated agent-based model to study the spatial and temporal heterogeneities of malaria incidence in the rainforest environment.", "type" : "article-journal", "volume" : "14" }, "uris" : [ "http://www.mendeley.com/documents/?uuid=acb26ff0-ac60-471e-a537-7fbc34488971" ] } ], "mendeley" : { "formattedCitation" : "(89)", "plainTextFormattedCitation" : "(89)", "previouslyFormattedCitation" : "(89)" }, "properties" : { "noteIndex" : 0 }, "schema" : "https://github.com/citation-style-language/schema/raw/master/csl-citation.json" }</w:instrText>
            </w:r>
            <w:r w:rsidRPr="00E358A3">
              <w:rPr>
                <w:rFonts w:ascii="Calibri" w:hAnsi="Calibri" w:cs="Calibri"/>
                <w:color w:val="000000"/>
              </w:rPr>
              <w:fldChar w:fldCharType="separate"/>
            </w:r>
            <w:r w:rsidRPr="009D01D3">
              <w:rPr>
                <w:rFonts w:ascii="Calibri" w:hAnsi="Calibri" w:cs="Calibri"/>
                <w:noProof/>
                <w:color w:val="000000"/>
              </w:rPr>
              <w:t>(89)</w:t>
            </w:r>
            <w:r w:rsidRPr="00E358A3">
              <w:rPr>
                <w:rFonts w:ascii="Calibri" w:hAnsi="Calibri" w:cs="Calibri"/>
                <w:color w:val="000000"/>
              </w:rPr>
              <w:fldChar w:fldCharType="end"/>
            </w:r>
          </w:p>
        </w:tc>
      </w:tr>
      <w:tr w:rsidR="009D01D3" w:rsidRPr="00E358A3" w:rsidTr="0020168A">
        <w:trPr>
          <w:trHeight w:val="1207"/>
        </w:trPr>
        <w:tc>
          <w:tcPr>
            <w:tcW w:w="260" w:type="pct"/>
            <w:tcBorders>
              <w:left w:val="nil"/>
              <w:bottom w:val="single" w:sz="4" w:space="0" w:color="auto"/>
              <w:right w:val="single" w:sz="4" w:space="0" w:color="auto"/>
            </w:tcBorders>
            <w:shd w:val="clear" w:color="auto" w:fill="auto"/>
            <w:vAlign w:val="center"/>
          </w:tcPr>
          <w:p w:rsidR="009D01D3" w:rsidRPr="00542887" w:rsidRDefault="009D01D3" w:rsidP="0020168A">
            <w:pPr>
              <w:rPr>
                <w:rFonts w:ascii="Calibri" w:hAnsi="Calibri" w:cs="Calibri"/>
                <w:color w:val="000000"/>
              </w:rPr>
            </w:pPr>
          </w:p>
        </w:tc>
        <w:tc>
          <w:tcPr>
            <w:tcW w:w="360" w:type="pct"/>
            <w:tcBorders>
              <w:left w:val="single" w:sz="4" w:space="0" w:color="auto"/>
              <w:bottom w:val="single" w:sz="4" w:space="0" w:color="auto"/>
              <w:right w:val="single" w:sz="12" w:space="0" w:color="auto"/>
            </w:tcBorders>
            <w:shd w:val="clear" w:color="auto" w:fill="auto"/>
            <w:vAlign w:val="center"/>
          </w:tcPr>
          <w:p w:rsidR="009D01D3" w:rsidRPr="00187934" w:rsidRDefault="009D01D3" w:rsidP="0020168A">
            <w:pPr>
              <w:jc w:val="right"/>
              <w:rPr>
                <w:rFonts w:ascii="Calibri" w:hAnsi="Calibri" w:cs="Calibri"/>
                <w:color w:val="000000"/>
              </w:rPr>
            </w:pPr>
            <w:r w:rsidRPr="00542887">
              <w:rPr>
                <w:rFonts w:ascii="Calibri" w:hAnsi="Calibri" w:cs="Calibri"/>
                <w:color w:val="000000"/>
              </w:rPr>
              <w:t>Pizzitutti (201</w:t>
            </w:r>
            <w:r w:rsidRPr="00187934">
              <w:rPr>
                <w:rFonts w:ascii="Calibri" w:hAnsi="Calibri" w:cs="Calibri"/>
                <w:color w:val="000000"/>
              </w:rPr>
              <w:t>8)</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Pr="004B06A4" w:rsidRDefault="009D01D3" w:rsidP="0020168A">
            <w:pPr>
              <w:jc w:val="center"/>
              <w:rPr>
                <w:rFonts w:ascii="Calibri" w:hAnsi="Calibri" w:cs="Calibri"/>
                <w:color w:val="000000"/>
              </w:rPr>
            </w:pPr>
            <w:r w:rsidRPr="0068576A">
              <w:rPr>
                <w:rFonts w:ascii="Calibri" w:hAnsi="Calibri" w:cs="Calibri"/>
                <w:color w:val="000000"/>
              </w:rPr>
              <w:t>Assess influence of human movement on local-scale malaria transmission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H,M</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Y</w:t>
            </w:r>
          </w:p>
        </w:tc>
        <w:tc>
          <w:tcPr>
            <w:tcW w:w="146"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P,C,V</w:t>
            </w:r>
          </w:p>
        </w:tc>
        <w:tc>
          <w:tcPr>
            <w:tcW w:w="773"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River level, meteorological data, human movement characteristics</w:t>
            </w:r>
          </w:p>
        </w:tc>
        <w:tc>
          <w:tcPr>
            <w:tcW w:w="6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Malaria incidence</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Age- and job-specific movement patterns, asymptomatic hosts</w:t>
            </w:r>
          </w:p>
        </w:tc>
        <w:tc>
          <w:tcPr>
            <w:tcW w:w="150"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Pr>
                <w:rFonts w:ascii="Calibri" w:hAnsi="Calibri" w:cs="Calibri"/>
                <w:color w:val="000000"/>
              </w:rPr>
              <w:fldChar w:fldCharType="begin" w:fldLock="1"/>
            </w:r>
            <w:r>
              <w:rPr>
                <w:rFonts w:ascii="Calibri" w:hAnsi="Calibri" w:cs="Calibri"/>
                <w:color w:val="000000"/>
              </w:rPr>
              <w:instrText>ADDIN CSL_CITATION { "citationItems" : [ { "id" : "ITEM-1", "itemData" : { "DOI" : "10.1371/journal.pone.0193493", "ISBN" : "1111111111", "ISSN" : "19326203", "abstract" : "Though malaria control initiatives have markedly reduced malaria prevalence in recent decades, global eradication is far from actuality. Recent studies show that environmental and social heterogeneities in low-transmission settings have an increased weight in shaping malaria micro-epidemiology. New integrated and more localized control strategies should be developed and tested. Here we present a set of agent-based models designed to study the influence of local scale human movements on local scale malaria transmission in a typical Amazon environment, where malaria is transmission is low and strongly connected with seasonal riverine flooding. The agent-based simulations show that the overall malaria incidence is essentially not influenced by local scale human movements. In contrast, the locations of malaria high risk spatial hotspots heavily depend on human movements because simulated malaria hotspots are mainly centered on farms, were laborers work during the day. The agent-based models are then used to test the effectiveness of two different malaria control strategies both designed to reduce local scale malaria incidence by targeting hotspots. The first control scenario consists in treat against mosquito bites people that, during the simulation, enter at least once inside hotspots revealed considering the actual sites where human individuals were infected. The second scenario involves the treatment of people entering in hotspots calculated assuming that the infection sites of every infected individual is located in the household where the individual lives. Simulations show that both considered scenarios perform better in controlling malaria than a randomized treatment, although targeting household hotspots shows slightly better performance.", "author" : [ { "dropping-particle" : "", "family" : "Pizzitutti", "given" : "Francesco", "non-dropping-particle" : "", "parse-names" : false, "suffix" : "" }, { "dropping-particle" : "", "family" : "Pan", "given" : "William", "non-dropping-particle" : "", "parse-names" : false, "suffix" : "" }, { "dropping-particle" : "", "family" : "Feingold", "given" : "Beth", "non-dropping-particle" : "", "parse-names" : false, "suffix" : "" }, { "dropping-particle" : "", "family" : "Zaitchik", "given" : "Ben", "non-dropping-particle" : "", "parse-names" : false, "suffix" : "" }, { "dropping-particle" : "", "family" : "\u00c1lvarez", "given" : "Carlos A.", "non-dropping-particle" : "", "parse-names" : false, "suffix" : "" }, { "dropping-particle" : "", "family" : "Mena", "given" : "Carlos F.", "non-dropping-particle" : "", "parse-names" : false, "suffix" : "" } ], "container-title" : "PLoS ONE", "editor" : [ { "dropping-particle" : "", "family" : "Kumar", "given" : "Sanjai", "non-dropping-particle" : "", "parse-names" : false, "suffix" : "" } ], "id" : "ITEM-1", "issue" : "3", "issued" : { "date-parts" : [ [ "2018", "3", "6" ] ] }, "page" : "e0193493", "publisher" : "Public Library of Science", "title" : "Out of the net: An agent-based model to study human movements influence on local-scale malaria transmission", "type" : "article-journal", "volume" : "13" }, "uris" : [ "http://www.mendeley.com/documents/?uuid=d5913367-978b-3db8-a48f-f4b5b17905e2" ] } ], "mendeley" : { "formattedCitation" : "(90)", "plainTextFormattedCitation" : "(90)", "previouslyFormattedCitation" : "(90)" }, "properties" : { "noteIndex" : 0 }, "schema" : "https://github.com/citation-style-language/schema/raw/master/csl-citation.json" }</w:instrText>
            </w:r>
            <w:r>
              <w:rPr>
                <w:rFonts w:ascii="Calibri" w:hAnsi="Calibri" w:cs="Calibri"/>
                <w:color w:val="000000"/>
              </w:rPr>
              <w:fldChar w:fldCharType="separate"/>
            </w:r>
            <w:r w:rsidRPr="009D01D3">
              <w:rPr>
                <w:rFonts w:ascii="Calibri" w:hAnsi="Calibri" w:cs="Calibri"/>
                <w:noProof/>
                <w:color w:val="000000"/>
              </w:rPr>
              <w:t>(90)</w:t>
            </w:r>
            <w:r>
              <w:rPr>
                <w:rFonts w:ascii="Calibri" w:hAnsi="Calibri" w:cs="Calibri"/>
                <w:color w:val="000000"/>
              </w:rPr>
              <w:fldChar w:fldCharType="end"/>
            </w:r>
          </w:p>
        </w:tc>
      </w:tr>
      <w:tr w:rsidR="009D01D3" w:rsidRPr="00E358A3" w:rsidTr="0020168A">
        <w:trPr>
          <w:trHeight w:val="557"/>
        </w:trPr>
        <w:tc>
          <w:tcPr>
            <w:tcW w:w="620" w:type="pct"/>
            <w:gridSpan w:val="2"/>
            <w:tcBorders>
              <w:top w:val="single" w:sz="4" w:space="0" w:color="auto"/>
              <w:left w:val="nil"/>
              <w:bottom w:val="single" w:sz="4" w:space="0" w:color="auto"/>
              <w:right w:val="single" w:sz="12" w:space="0" w:color="auto"/>
            </w:tcBorders>
            <w:shd w:val="clear" w:color="auto" w:fill="auto"/>
            <w:vAlign w:val="center"/>
          </w:tcPr>
          <w:p w:rsidR="009D01D3" w:rsidRPr="00542887" w:rsidRDefault="009D01D3" w:rsidP="0020168A">
            <w:pPr>
              <w:rPr>
                <w:rFonts w:ascii="Calibri" w:hAnsi="Calibri"/>
                <w:color w:val="000000"/>
              </w:rPr>
            </w:pPr>
            <w:r w:rsidRPr="00542887">
              <w:rPr>
                <w:rFonts w:ascii="Calibri" w:hAnsi="Calibri"/>
                <w:color w:val="000000"/>
              </w:rPr>
              <w:lastRenderedPageBreak/>
              <w:t>Sauboin (2015)</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Pr="0068576A" w:rsidRDefault="009D01D3" w:rsidP="0020168A">
            <w:pPr>
              <w:jc w:val="center"/>
              <w:rPr>
                <w:rFonts w:ascii="Calibri" w:hAnsi="Calibri" w:cs="Calibri"/>
                <w:color w:val="000000"/>
              </w:rPr>
            </w:pPr>
            <w:r w:rsidRPr="00187934">
              <w:rPr>
                <w:rFonts w:ascii="Calibri" w:hAnsi="Calibri"/>
                <w:color w:val="000000"/>
              </w:rPr>
              <w:t>Assess candidate malaria vaccine in SSA transmission environments</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olor w:val="000000"/>
              </w:rPr>
              <w:t>H</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olor w:val="000000"/>
              </w:rPr>
              <w:t>N</w:t>
            </w:r>
          </w:p>
        </w:tc>
        <w:tc>
          <w:tcPr>
            <w:tcW w:w="146"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olor w:val="000000"/>
              </w:rPr>
              <w:t>P,C,V,S</w:t>
            </w:r>
          </w:p>
        </w:tc>
        <w:tc>
          <w:tcPr>
            <w:tcW w:w="773"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olor w:val="000000"/>
              </w:rPr>
              <w:t>Transition probabilities, CFR, vaccine efficacy</w:t>
            </w:r>
          </w:p>
        </w:tc>
        <w:tc>
          <w:tcPr>
            <w:tcW w:w="6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olor w:val="000000"/>
              </w:rPr>
              <w:t>Reduction in cases, severe cases, hospitalisations, deaths</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olor w:val="000000"/>
              </w:rPr>
              <w:t>N</w:t>
            </w:r>
          </w:p>
        </w:tc>
        <w:tc>
          <w:tcPr>
            <w:tcW w:w="621"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sidRPr="00E358A3">
              <w:rPr>
                <w:rFonts w:ascii="Calibri" w:hAnsi="Calibri"/>
                <w:color w:val="000000"/>
              </w:rPr>
              <w:t>Full immunity</w:t>
            </w:r>
          </w:p>
        </w:tc>
        <w:tc>
          <w:tcPr>
            <w:tcW w:w="1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fldChar w:fldCharType="begin" w:fldLock="1"/>
            </w:r>
            <w:r>
              <w:rPr>
                <w:rFonts w:ascii="Calibri" w:hAnsi="Calibri" w:cs="Calibri"/>
                <w:color w:val="000000"/>
              </w:rPr>
              <w:instrText>ADDIN CSL_CITATION { "citationItems" : [ { "id" : "ITEM-1", "itemData" : { "DOI" : "10.1186/s12936-015-1046-z", "ISBN" : "1475-2875", "abstract" : "Background: Adding malaria vaccination to existing interventions could help to reduce the health burden due to malaria. This study modelled the potential public health impact of the RTS,S candidate malaria vaccine in 42 malaria-endemic countries in sub-Saharan Africa. Methods: An individual-based Markov cohort model was constructed with three categories of malaria transmission intensity and six successive malaria immunity levels. The cycle time was 5 days. Vaccination was assumed to reduce the risk of infection, with no other effects. Vaccine efficacy was assumed to wane exponentially over time. Malaria incidence and vaccine efficacy data were taken from a Phase III trial of the RTS,S vaccine with 18 months of follow-up (NCT00866619). The model was calibrated to reproduce the malaria incidence in the control arm of the trial in each transmission category and published age distribution data. Individual-level heterogeneity in malaria exposure and vaccine protection was accounted for. Parameter uncertainty and variability were captured by using stochastic model transitions. The model followed a cohort from birth to 10 years of age without malaria vaccination, or with RTS,S malaria vaccination administered at age 6, 10 and 14 weeks or at age 6, 7-and-a-half and 9 months. Median and 95 % confidence intervals were calculated for the number of clinical malaria cases, severe cases, malaria hospitalizations and malaria deaths expected to be averted by each vaccination strategy. Univariate sensitivity analysis was conducted by varying the values of key input parameters. Results: Vaccination assuming the coverage of diphtheria-tetanus-pertussis (DTP3) at age 6, 10 and 14 weeks is estimated to avert over five million clinical malaria cases, 119,000 severe malaria cases, 98,600 malaria hospitalizations and 31,000 malaria deaths in the 42 countries over the 10-year period. Vaccination at age 6, 7-and-a-half and 9 months with 75 % of DTP3 coverage is estimated to avert almost 12.5 million clinical malaria cases, 250,000 severe malaria cases, 208,000 malaria hospitalizations and 65,400 malaria deaths in the 42 countries. Univariate sensitivity analysis indicated that for both vaccination strategies, the parameters with the largest impact on the malaria mortality estimates were waning of vaccine efficacy and malaria case-fatality rate. Conclusions: Addition of RTS,S malaria vaccination to existing malaria interventions is estimated to reduce substantially the incidence \u2026", "author" : [ { "dropping-particle" : "", "family" : "Sauboin", "given" : "Christophe J", "non-dropping-particle" : "", "parse-names" : false, "suffix" : "" }, { "dropping-particle" : "", "family" : "Bellinghen", "given" : "Laure-Anne", "non-dropping-particle" : "Van", "parse-names" : false, "suffix" : "" }, { "dropping-particle" : "", "family" : "Velde", "given" : "Nicolas", "non-dropping-particle" : "Van De", "parse-names" : false, "suffix" : "" }, { "dropping-particle" : "", "family" : "Vlaenderen", "given" : "Ilse", "non-dropping-particle" : "Van", "parse-names" : false, "suffix" : "" } ], "container-title" : "Malaria Journal", "id" : "ITEM-1", "issue" : "1", "issued" : { "date-parts" : [ [ "2015" ] ] }, "page" : "524-540", "title" : "Potential public health impact of RTS,S malaria candidate vaccine in sub-Saharan Africa: a modelling study", "type" : "article-journal", "volume" : "14" }, "uris" : [ "http://www.mendeley.com/documents/?uuid=27d4e749-9387-4921-95e0-711c4d962ae3" ] } ], "mendeley" : { "formattedCitation" : "(91)", "plainTextFormattedCitation" : "(91)", "previouslyFormattedCitation" : "(91)" }, "properties" : { "noteIndex" : 0 }, "schema" : "https://github.com/citation-style-language/schema/raw/master/csl-citation.json" }</w:instrText>
            </w:r>
            <w:r w:rsidRPr="00E358A3">
              <w:rPr>
                <w:rFonts w:ascii="Calibri" w:hAnsi="Calibri" w:cs="Calibri"/>
                <w:color w:val="000000"/>
              </w:rPr>
              <w:fldChar w:fldCharType="separate"/>
            </w:r>
            <w:r w:rsidRPr="009D01D3">
              <w:rPr>
                <w:rFonts w:ascii="Calibri" w:hAnsi="Calibri" w:cs="Calibri"/>
                <w:noProof/>
                <w:color w:val="000000"/>
              </w:rPr>
              <w:t>(91)</w:t>
            </w:r>
            <w:r w:rsidRPr="00E358A3">
              <w:rPr>
                <w:rFonts w:ascii="Calibri" w:hAnsi="Calibri" w:cs="Calibri"/>
                <w:color w:val="000000"/>
              </w:rPr>
              <w:fldChar w:fldCharType="end"/>
            </w:r>
          </w:p>
        </w:tc>
      </w:tr>
      <w:tr w:rsidR="009D01D3" w:rsidRPr="00E358A3" w:rsidTr="0020168A">
        <w:trPr>
          <w:trHeight w:val="32"/>
        </w:trPr>
        <w:tc>
          <w:tcPr>
            <w:tcW w:w="620" w:type="pct"/>
            <w:gridSpan w:val="2"/>
            <w:tcBorders>
              <w:top w:val="single" w:sz="4" w:space="0" w:color="auto"/>
              <w:left w:val="nil"/>
              <w:right w:val="single" w:sz="12" w:space="0" w:color="auto"/>
            </w:tcBorders>
            <w:shd w:val="clear" w:color="auto" w:fill="auto"/>
            <w:vAlign w:val="center"/>
          </w:tcPr>
          <w:p w:rsidR="009D01D3" w:rsidRPr="00542887" w:rsidRDefault="009D01D3" w:rsidP="0020168A">
            <w:pPr>
              <w:rPr>
                <w:rFonts w:ascii="Calibri" w:hAnsi="Calibri" w:cs="Calibri"/>
                <w:color w:val="000000"/>
              </w:rPr>
            </w:pPr>
            <w:r w:rsidRPr="00542887">
              <w:rPr>
                <w:rFonts w:ascii="Calibri" w:hAnsi="Calibri" w:cs="Calibri"/>
                <w:color w:val="000000"/>
              </w:rPr>
              <w:t>Macdonald (1952)</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Pr="00187934" w:rsidRDefault="009D01D3" w:rsidP="0020168A">
            <w:pPr>
              <w:jc w:val="center"/>
              <w:rPr>
                <w:rFonts w:ascii="Calibri" w:hAnsi="Calibri" w:cs="Calibri"/>
                <w:color w:val="000000"/>
              </w:rP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46"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773"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6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621"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fldChar w:fldCharType="begin" w:fldLock="1"/>
            </w:r>
            <w:r>
              <w:rPr>
                <w:rFonts w:ascii="Calibri" w:hAnsi="Calibri" w:cs="Calibri"/>
                <w:color w:val="000000"/>
              </w:rPr>
              <w:instrText>ADDIN CSL_CITATION { "citationItems" : [ { "id" : "ITEM-1", "itemData" : { "ISSN" : "0041-3240 (Print)", "PMID" : "12995455", "author" : [ { "dropping-particle" : "", "family" : "Macdonald", "given" : "G", "non-dropping-particle" : "", "parse-names" : false, "suffix" : "" } ], "container-title" : "Tropical diseases Bulletin", "id" : "ITEM-1", "issue" : "9", "issued" : { "date-parts" : [ [ "1952", "9" ] ] }, "language" : "eng", "page" : "813-829", "publisher-place" : "England", "title" : "The analysis of equilibrium in malaria", "type" : "article-journal", "volume" : "49" }, "uris" : [ "http://www.mendeley.com/documents/?uuid=df329032-b6a2-4127-9d12-969e25790f1d" ] } ], "mendeley" : { "formattedCitation" : "(92)", "plainTextFormattedCitation" : "(92)", "previouslyFormattedCitation" : "(92)" }, "properties" : { "noteIndex" : 0 }, "schema" : "https://github.com/citation-style-language/schema/raw/master/csl-citation.json" }</w:instrText>
            </w:r>
            <w:r w:rsidRPr="00E358A3">
              <w:rPr>
                <w:rFonts w:ascii="Calibri" w:hAnsi="Calibri" w:cs="Calibri"/>
                <w:color w:val="000000"/>
              </w:rPr>
              <w:fldChar w:fldCharType="separate"/>
            </w:r>
            <w:r w:rsidRPr="009D01D3">
              <w:rPr>
                <w:rFonts w:ascii="Calibri" w:hAnsi="Calibri" w:cs="Calibri"/>
                <w:noProof/>
                <w:color w:val="000000"/>
              </w:rPr>
              <w:t>(92)</w:t>
            </w:r>
            <w:r w:rsidRPr="00E358A3">
              <w:rPr>
                <w:rFonts w:ascii="Calibri" w:hAnsi="Calibri" w:cs="Calibri"/>
                <w:color w:val="000000"/>
              </w:rPr>
              <w:fldChar w:fldCharType="end"/>
            </w:r>
          </w:p>
        </w:tc>
      </w:tr>
      <w:tr w:rsidR="009D01D3" w:rsidRPr="00E358A3" w:rsidTr="0020168A">
        <w:trPr>
          <w:trHeight w:val="1441"/>
        </w:trPr>
        <w:tc>
          <w:tcPr>
            <w:tcW w:w="260" w:type="pct"/>
            <w:tcBorders>
              <w:left w:val="nil"/>
              <w:bottom w:val="single" w:sz="4" w:space="0" w:color="auto"/>
              <w:right w:val="single" w:sz="4" w:space="0" w:color="auto"/>
            </w:tcBorders>
            <w:shd w:val="clear" w:color="auto" w:fill="auto"/>
            <w:vAlign w:val="center"/>
            <w:hideMark/>
          </w:tcPr>
          <w:p w:rsidR="009D01D3" w:rsidRPr="00542887" w:rsidRDefault="009D01D3" w:rsidP="0020168A">
            <w:pPr>
              <w:rPr>
                <w:rFonts w:ascii="Calibri" w:hAnsi="Calibri" w:cs="Calibri"/>
                <w:color w:val="000000"/>
              </w:rPr>
            </w:pPr>
          </w:p>
        </w:tc>
        <w:tc>
          <w:tcPr>
            <w:tcW w:w="360" w:type="pct"/>
            <w:tcBorders>
              <w:left w:val="single" w:sz="4" w:space="0" w:color="auto"/>
              <w:bottom w:val="single" w:sz="4" w:space="0" w:color="auto"/>
              <w:right w:val="single" w:sz="12" w:space="0" w:color="auto"/>
            </w:tcBorders>
            <w:shd w:val="clear" w:color="auto" w:fill="auto"/>
            <w:vAlign w:val="center"/>
          </w:tcPr>
          <w:p w:rsidR="009D01D3" w:rsidRPr="00187934" w:rsidRDefault="009D01D3" w:rsidP="0020168A">
            <w:pPr>
              <w:jc w:val="right"/>
              <w:rPr>
                <w:rFonts w:ascii="Calibri" w:hAnsi="Calibri" w:cs="Calibri"/>
                <w:color w:val="000000"/>
              </w:rPr>
            </w:pPr>
            <w:r w:rsidRPr="00187934">
              <w:rPr>
                <w:rFonts w:ascii="Calibri" w:hAnsi="Calibri" w:cs="Calibri"/>
                <w:color w:val="000000"/>
              </w:rPr>
              <w:t>Karl (2016)</w:t>
            </w:r>
          </w:p>
        </w:tc>
        <w:tc>
          <w:tcPr>
            <w:tcW w:w="674" w:type="pct"/>
            <w:tcBorders>
              <w:top w:val="single" w:sz="4" w:space="0" w:color="auto"/>
              <w:left w:val="single" w:sz="12" w:space="0" w:color="auto"/>
              <w:bottom w:val="single" w:sz="4" w:space="0" w:color="auto"/>
              <w:right w:val="nil"/>
            </w:tcBorders>
            <w:shd w:val="clear" w:color="auto" w:fill="auto"/>
            <w:vAlign w:val="center"/>
            <w:hideMark/>
          </w:tcPr>
          <w:p w:rsidR="009D01D3" w:rsidRPr="00187934" w:rsidRDefault="009D01D3" w:rsidP="0020168A">
            <w:pPr>
              <w:jc w:val="center"/>
              <w:rPr>
                <w:rFonts w:ascii="Calibri" w:hAnsi="Calibri" w:cs="Calibri"/>
                <w:color w:val="000000"/>
              </w:rPr>
            </w:pPr>
            <w:r w:rsidRPr="00187934">
              <w:rPr>
                <w:rFonts w:ascii="Calibri" w:hAnsi="Calibri" w:cs="Calibri"/>
                <w:color w:val="000000"/>
              </w:rPr>
              <w:t>Assess usefulness of spatially heterogeneous ABM to determine MOI and EIR in PNG</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H,M</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46"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P,C,S</w:t>
            </w:r>
          </w:p>
        </w:tc>
        <w:tc>
          <w:tcPr>
            <w:tcW w:w="773"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Transmission rate, mosquito density, human-to-mosquito ratio, MOI, prevalence</w:t>
            </w:r>
          </w:p>
        </w:tc>
        <w:tc>
          <w:tcPr>
            <w:tcW w:w="6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EIR, MOI, malaria prevalence</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sidRPr="00E358A3">
              <w:rPr>
                <w:rFonts w:ascii="Calibri" w:hAnsi="Calibri" w:cs="Calibri"/>
                <w:color w:val="000000"/>
              </w:rPr>
              <w:t xml:space="preserve">Multiclonal infection, based on AV in PNG, </w:t>
            </w:r>
            <w:r w:rsidRPr="00E358A3">
              <w:rPr>
                <w:rFonts w:ascii="Calibri" w:hAnsi="Calibri" w:cs="Calibri"/>
                <w:i/>
                <w:color w:val="000000"/>
              </w:rPr>
              <w:t>P. falciparum</w:t>
            </w:r>
            <w:r w:rsidRPr="00E358A3">
              <w:rPr>
                <w:rFonts w:ascii="Calibri" w:hAnsi="Calibri" w:cs="Calibri"/>
                <w:color w:val="000000"/>
              </w:rPr>
              <w:t xml:space="preserve"> clone distribution</w:t>
            </w:r>
          </w:p>
        </w:tc>
        <w:tc>
          <w:tcPr>
            <w:tcW w:w="150" w:type="pct"/>
            <w:tcBorders>
              <w:top w:val="single" w:sz="4" w:space="0" w:color="auto"/>
              <w:left w:val="nil"/>
              <w:bottom w:val="single" w:sz="4" w:space="0" w:color="auto"/>
              <w:right w:val="nil"/>
            </w:tcBorders>
            <w:shd w:val="clear" w:color="auto" w:fill="auto"/>
            <w:vAlign w:val="center"/>
            <w:hideMark/>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sidRPr="00E358A3">
              <w:rPr>
                <w:rFonts w:ascii="Calibri" w:hAnsi="Calibri" w:cs="Calibri"/>
                <w:color w:val="000000"/>
              </w:rPr>
              <w:fldChar w:fldCharType="begin" w:fldLock="1"/>
            </w:r>
            <w:r>
              <w:rPr>
                <w:rFonts w:ascii="Calibri" w:hAnsi="Calibri" w:cs="Calibri"/>
                <w:color w:val="000000"/>
              </w:rPr>
              <w:instrText>ADDIN CSL_CITATION { "citationItems" : [ { "id" : "ITEM-1", "itemData" : { "DOI" : "10.1371/journal.pone.0164054", "ISSN" : "19326203", "PMID" : "27711149", "abstract" : "As malaria is being pushed back on many frontiers and global case numbers are declining, accurate measurement and prediction of transmission becomes increasingly difficult. Low transmission settings are characterised by high levels of spatial heterogeneity, which stands in stark contrast to the widely used assumption of spatially homogeneous transmission used in mathematical transmission models for malaria. In the present study an individual-based mathematical malaria transmission model that incorporates multiple parasite clones, variable human exposure and duration of infection, limited mosquito flight distance and most importantly geographically heterogeneous human and mosquito population densities was used to illustrate the differences between homogeneous and heterogeneous transmission assumptions when aiming to predict surrogate indicators of transmission intensity such as population parasite prevalence or multiplicity of infection (MOI). In traditionally highly malaria endemic regions where most of the population harbours malaria parasites, humans are often infected with multiple parasite clones. However, studies have shown also in areas with low overall parasite prevalence, infection with multiple parasite clones is a common occurrence. Mathematical models assuming homogeneous transmission between humans and mosquitoes cannot explain these observations. Heterogeneity of transmission can arise from many factors including acquired immunity, body size and occupational exposure. In this study, we show that spatial heterogeneity has a profound effect on predictions of MOI and parasite prevalence. We illustrate, that models assuming homogeneous transmission underestimate average MOI in low transmission settings when compared to field data and that spatially heterogeneous models predict stable transmission at much lower overall parasite prevalence. Therefore it is very important that models used to guide malaria surveillance and control strategies in low transmission and elimination settings take into account the spatial features of the specific target area, including human and mosquito vector distribution.", "author" : [ { "dropping-particle" : "", "family" : "Karl", "given" : "Stephan", "non-dropping-particle" : "", "parse-names" : false, "suffix" : "" }, { "dropping-particle" : "", "family" : "White", "given" : "Michael T", "non-dropping-particle" : "", "parse-names" : false, "suffix" : "" }, { "dropping-particle" : "", "family" : "Milne", "given" : "George J", "non-dropping-particle" : "", "parse-names" : false, "suffix" : "" }, { "dropping-particle" : "", "family" : "Gurarie", "given" : "David", "non-dropping-particle" : "", "parse-names" : false, "suffix" : "" }, { "dropping-particle" : "", "family" : "Hay", "given" : "Simon I", "non-dropping-particle" : "", "parse-names" : false, "suffix" : "" }, { "dropping-particle" : "", "family" : "Barry", "given" : "Alyssa E", "non-dropping-particle" : "", "parse-names" : false, "suffix" : "" }, { "dropping-particle" : "", "family" : "Felger", "given" : "Ingrid", "non-dropping-particle" : "", "parse-names" : false, "suffix" : "" }, { "dropping-particle" : "", "family" : "Mueller", "given" : "Ivo", "non-dropping-particle" : "", "parse-names" : false, "suffix" : "" } ], "container-title" : "PLoS ONE", "id" : "ITEM-1", "issue" : "10", "issued" : { "date-parts" : [ [ "2016" ] ] }, "page" : "e0164054", "title" : "Spatial effects on the multiplicity of Plasmodium falciparum infections", "type" : "article-journal", "volume" : "11" }, "uris" : [ "http://www.mendeley.com/documents/?uuid=88d0f209-6ef5-4186-b782-44b56b776fe2" ] } ], "mendeley" : { "formattedCitation" : "(93)", "plainTextFormattedCitation" : "(93)", "previouslyFormattedCitation" : "(93)" }, "properties" : { "noteIndex" : 0 }, "schema" : "https://github.com/citation-style-language/schema/raw/master/csl-citation.json" }</w:instrText>
            </w:r>
            <w:r w:rsidRPr="00E358A3">
              <w:rPr>
                <w:rFonts w:ascii="Calibri" w:hAnsi="Calibri" w:cs="Calibri"/>
                <w:color w:val="000000"/>
              </w:rPr>
              <w:fldChar w:fldCharType="separate"/>
            </w:r>
            <w:r w:rsidRPr="009D01D3">
              <w:rPr>
                <w:rFonts w:ascii="Calibri" w:hAnsi="Calibri" w:cs="Calibri"/>
                <w:noProof/>
                <w:color w:val="000000"/>
              </w:rPr>
              <w:t>(93)</w:t>
            </w:r>
            <w:r w:rsidRPr="00E358A3">
              <w:rPr>
                <w:rFonts w:ascii="Calibri" w:hAnsi="Calibri" w:cs="Calibri"/>
                <w:color w:val="000000"/>
              </w:rPr>
              <w:fldChar w:fldCharType="end"/>
            </w:r>
          </w:p>
        </w:tc>
      </w:tr>
      <w:tr w:rsidR="009D01D3" w:rsidRPr="00E358A3" w:rsidTr="0020168A">
        <w:trPr>
          <w:trHeight w:val="1441"/>
        </w:trPr>
        <w:tc>
          <w:tcPr>
            <w:tcW w:w="620" w:type="pct"/>
            <w:gridSpan w:val="2"/>
            <w:tcBorders>
              <w:top w:val="single" w:sz="4" w:space="0" w:color="auto"/>
              <w:left w:val="nil"/>
              <w:bottom w:val="single" w:sz="4" w:space="0" w:color="auto"/>
              <w:right w:val="single" w:sz="12" w:space="0" w:color="auto"/>
            </w:tcBorders>
            <w:shd w:val="clear" w:color="auto" w:fill="auto"/>
            <w:vAlign w:val="center"/>
          </w:tcPr>
          <w:p w:rsidR="009D01D3" w:rsidRPr="00E358A3" w:rsidRDefault="009D01D3" w:rsidP="0020168A">
            <w:pPr>
              <w:rPr>
                <w:rFonts w:ascii="Calibri" w:hAnsi="Calibri" w:cs="Calibri"/>
                <w:color w:val="000000"/>
              </w:rPr>
            </w:pPr>
            <w:r>
              <w:rPr>
                <w:rFonts w:ascii="Calibri" w:hAnsi="Calibri" w:cs="Calibri"/>
                <w:color w:val="000000"/>
              </w:rPr>
              <w:t>Ferreira (2017)</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Assess changes to mosquito biting behaviour due to long term ITN use</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M</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46"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P,S</w:t>
            </w:r>
          </w:p>
        </w:tc>
        <w:tc>
          <w:tcPr>
            <w:tcW w:w="773"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Vector biting time, ITN use and effectiveness, variance of parent/child parameters</w:t>
            </w:r>
          </w:p>
        </w:tc>
        <w:tc>
          <w:tcPr>
            <w:tcW w:w="650"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Vector mortality probability, oviposition probability, timing of blood meals</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tcPr>
          <w:p w:rsidR="009D01D3" w:rsidRPr="00E358A3" w:rsidRDefault="009D01D3" w:rsidP="0020168A">
            <w:pPr>
              <w:jc w:val="center"/>
              <w:rPr>
                <w:rFonts w:ascii="Calibri" w:hAnsi="Calibri" w:cs="Calibri"/>
                <w:color w:val="000000"/>
              </w:rPr>
            </w:pPr>
            <w:r>
              <w:rPr>
                <w:rFonts w:ascii="Calibri" w:hAnsi="Calibri" w:cs="Calibri"/>
                <w:color w:val="000000"/>
              </w:rPr>
              <w:t>Genetic plasticity of mosquitoes, vector-specific biting times</w:t>
            </w:r>
          </w:p>
        </w:tc>
        <w:tc>
          <w:tcPr>
            <w:tcW w:w="150"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N</w:t>
            </w:r>
          </w:p>
        </w:tc>
        <w:tc>
          <w:tcPr>
            <w:tcW w:w="150" w:type="pct"/>
            <w:tcBorders>
              <w:top w:val="single" w:sz="4" w:space="0" w:color="auto"/>
              <w:left w:val="nil"/>
              <w:bottom w:val="single" w:sz="4" w:space="0" w:color="auto"/>
              <w:right w:val="nil"/>
            </w:tcBorders>
            <w:vAlign w:val="center"/>
          </w:tcPr>
          <w:p w:rsidR="009D01D3" w:rsidRPr="00E358A3" w:rsidRDefault="009D01D3" w:rsidP="0020168A">
            <w:pPr>
              <w:jc w:val="center"/>
              <w:rPr>
                <w:rFonts w:ascii="Calibri" w:hAnsi="Calibri" w:cs="Calibri"/>
                <w:color w:val="000000"/>
              </w:rPr>
            </w:pPr>
            <w:r>
              <w:rPr>
                <w:rFonts w:ascii="Calibri" w:hAnsi="Calibri" w:cs="Calibri"/>
                <w:color w:val="000000"/>
              </w:rPr>
              <w:fldChar w:fldCharType="begin" w:fldLock="1"/>
            </w:r>
            <w:r>
              <w:rPr>
                <w:rFonts w:ascii="Calibri" w:hAnsi="Calibri" w:cs="Calibri"/>
                <w:color w:val="000000"/>
              </w:rPr>
              <w:instrText>ADDIN CSL_CITATION { "citationItems" : [ { "id" : "ITEM-1", "itemData" : { "DOI" : "10.1186/s12936-017-2014-6", "ISSN" : "14752875", "PMID" : "28915892", "abstract" : "BACKGROUND Evidence of changing in biting and resting behaviour of the main malaria vectors has been mounting up in recent years as a result of selective pressure by the widespread and long-term use of insecticide-treated bed nets (ITNs), and indoor residual spraying. The impact of resistance behaviour on malaria intervention efficacy has important implications for the epidemiology and malaria control programmes. In this context, a theoretical framework is presented to understand the mechanisms determining the evolution of feeding behaviour under the pressure of use of ITNs. METHODS An agent-based stochastic model simulates the impact of insecticide-treated bed nets on mosquito fitness by reducing the biting rates, as well as increasing mortality rates. The model also incorporates a heritability function that provides the necessary genetic plasticity upon which natural selection would act to maximize the fitness under the pressure of the control strategy. RESULTS The asymptotic equilibrium distribution of mosquito population versus biting time is shown for several daily uses of ITNs, and the expected disruptive selection on this mosquito trait is observed in the simulations. The relative fitness of strains that bite at much earlier time with respect to the wild strains, when a threshold of about 50% of ITNs coverage highlights the hypothesis of a behaviour selection. A sensitivity analysis has shown that the top three parameters that play a dominant role on the mosquito fitness are the proportion of individuals using bed nets and its effectiveness, the impact of bed nets on mosquito oviposition, and the mosquito genetic plasticity related to changing in biting time. CONCLUSION By taking the evolutionary aspect into account, the model was able to show that the long-term use of ITNs, although representing an undisputed success in reducing malaria incidence and mortality in many affected areas, is not free of undesirable side effects. From the evolutionary point of view of the parasite virulence, it should be expected that plasmodium parasites would be under pressure to reduce their virulence. This speculative hypothesis can eventually be demonstrated in the medium to long-term use of ITNs.", "author" : [ { "dropping-particle" : "", "family" : "Ferreira", "given" : "Claudia P.", "non-dropping-particle" : "", "parse-names" : false, "suffix" : "" }, { "dropping-particle" : "", "family" : "Lyra", "given" : "Silas P.", "non-dropping-particle" : "", "parse-names" : false, "suffix" : "" }, { "dropping-particle" : "", "family" : "Azevedo", "given" : "Franciane", "non-dropping-particle" : "", "parse-names" : false, "suffix" : "" }, { "dropping-particle" : "", "family" : "Greenhalgh", "given" : "David", "non-dropping-particle" : "", "parse-names" : false, "suffix" : "" }, { "dropping-particle" : "", "family" : "Massad", "given" : "Eduardo", "non-dropping-particle" : "", "parse-names" : false, "suffix" : "" } ], "container-title" : "Malaria Journal", "id" : "ITEM-1", "issue" : "1", "issued" : { "date-parts" : [ [ "2017", "12", "15" ] ] }, "page" : "373", "publisher" : "BioMed Central", "title" : "Modelling the impact of the long-term use of insecticide-treated bed nets on Anopheles mosquito biting time", "type" : "article-journal", "volume" : "16" }, "uris" : [ "http://www.mendeley.com/documents/?uuid=22bf5fae-8a67-346d-8226-59be36b245a8" ] } ], "mendeley" : { "formattedCitation" : "(94)", "plainTextFormattedCitation" : "(94)", "previouslyFormattedCitation" : "(94)" }, "properties" : { "noteIndex" : 0 }, "schema" : "https://github.com/citation-style-language/schema/raw/master/csl-citation.json" }</w:instrText>
            </w:r>
            <w:r>
              <w:rPr>
                <w:rFonts w:ascii="Calibri" w:hAnsi="Calibri" w:cs="Calibri"/>
                <w:color w:val="000000"/>
              </w:rPr>
              <w:fldChar w:fldCharType="separate"/>
            </w:r>
            <w:r w:rsidRPr="009D01D3">
              <w:rPr>
                <w:rFonts w:ascii="Calibri" w:hAnsi="Calibri" w:cs="Calibri"/>
                <w:noProof/>
                <w:color w:val="000000"/>
              </w:rPr>
              <w:t>(94)</w:t>
            </w:r>
            <w:r>
              <w:rPr>
                <w:rFonts w:ascii="Calibri" w:hAnsi="Calibri" w:cs="Calibri"/>
                <w:color w:val="000000"/>
              </w:rPr>
              <w:fldChar w:fldCharType="end"/>
            </w:r>
          </w:p>
        </w:tc>
      </w:tr>
      <w:tr w:rsidR="009D01D3" w:rsidRPr="00E358A3" w:rsidTr="0020168A">
        <w:trPr>
          <w:trHeight w:val="1441"/>
        </w:trPr>
        <w:tc>
          <w:tcPr>
            <w:tcW w:w="620" w:type="pct"/>
            <w:gridSpan w:val="2"/>
            <w:tcBorders>
              <w:top w:val="single" w:sz="4" w:space="0" w:color="auto"/>
              <w:left w:val="nil"/>
              <w:bottom w:val="single" w:sz="4" w:space="0" w:color="auto"/>
              <w:right w:val="single" w:sz="12" w:space="0" w:color="auto"/>
            </w:tcBorders>
            <w:shd w:val="clear" w:color="auto" w:fill="auto"/>
            <w:vAlign w:val="center"/>
          </w:tcPr>
          <w:p w:rsidR="009D01D3" w:rsidRPr="00E358A3" w:rsidRDefault="009D01D3" w:rsidP="0020168A">
            <w:pPr>
              <w:rPr>
                <w:rFonts w:ascii="Calibri" w:hAnsi="Calibri" w:cs="Calibri"/>
                <w:color w:val="000000"/>
              </w:rPr>
            </w:pPr>
            <w:r>
              <w:rPr>
                <w:rFonts w:ascii="Calibri" w:hAnsi="Calibri" w:cs="Calibri"/>
                <w:color w:val="000000"/>
              </w:rPr>
              <w:t>Choi (2017)</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Assess cost-effectiveness of antimalarial treatments for HIV-positive pregnant women</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H</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N</w:t>
            </w:r>
          </w:p>
        </w:tc>
        <w:tc>
          <w:tcPr>
            <w:tcW w:w="146"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P,S</w:t>
            </w:r>
          </w:p>
        </w:tc>
        <w:tc>
          <w:tcPr>
            <w:tcW w:w="773"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Costing parameters, intervention efficacy parameters, country-level disease parameters</w:t>
            </w:r>
          </w:p>
        </w:tc>
        <w:tc>
          <w:tcPr>
            <w:tcW w:w="650"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Reductions in low birth weight, anaemia, malaria parasitaemia</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Y</w:t>
            </w:r>
          </w:p>
        </w:tc>
        <w:tc>
          <w:tcPr>
            <w:tcW w:w="621"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Human agents all HIV-positive pregnant women</w:t>
            </w:r>
          </w:p>
        </w:tc>
        <w:tc>
          <w:tcPr>
            <w:tcW w:w="150"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N</w:t>
            </w:r>
          </w:p>
        </w:tc>
        <w:tc>
          <w:tcPr>
            <w:tcW w:w="150" w:type="pct"/>
            <w:tcBorders>
              <w:top w:val="single" w:sz="4" w:space="0" w:color="auto"/>
              <w:left w:val="nil"/>
              <w:bottom w:val="single" w:sz="4" w:space="0" w:color="auto"/>
              <w:right w:val="nil"/>
            </w:tcBorders>
            <w:vAlign w:val="center"/>
          </w:tcPr>
          <w:p w:rsidR="009D01D3" w:rsidRDefault="009D01D3" w:rsidP="0020168A">
            <w:pPr>
              <w:jc w:val="center"/>
              <w:rPr>
                <w:rFonts w:ascii="Calibri" w:hAnsi="Calibri" w:cs="Calibri"/>
                <w:color w:val="000000"/>
              </w:rPr>
            </w:pPr>
            <w:r>
              <w:rPr>
                <w:rFonts w:ascii="Calibri" w:hAnsi="Calibri" w:cs="Calibri"/>
                <w:color w:val="000000"/>
              </w:rPr>
              <w:fldChar w:fldCharType="begin" w:fldLock="1"/>
            </w:r>
            <w:r>
              <w:rPr>
                <w:rFonts w:ascii="Calibri" w:hAnsi="Calibri" w:cs="Calibri"/>
                <w:color w:val="000000"/>
              </w:rPr>
              <w:instrText>ADDIN CSL_CITATION { "citationItems" : [ { "id" : "ITEM-1", "itemData" : { "DOI" : "10.1186/s12936-017-2047-x", "ISSN" : "14752875", "PMID" : "28985732", "abstract" : "BACKGROUND Malaria is a leading cause of morbidity and mortality among HIV-infected pregnant women in sub-Saharan Africa: at least 1 million pregnancies among HIV-infected women are complicated by co-infection with malaria annually, leading to increased risk of premature delivery, severe anaemia, delivery of low birth weight infants, and maternal death. Current guidelines recommend either daily cotrimoxazole (CTX) or intermittent preventive treatment with sulfadoxine-pyrimethamine (IPTp-SP) for HIV-infected pregnant women to prevent malaria and its complications. The cost-effectiveness of CTX compared to IPTp-SP among HIV-infected pregnant women was assessed. METHODS A microsimulation model of malaria and HIV among pregnant women in five malaria-endemic countries in sub-Saharan Africa was constructed. Four strategies were compared: (1) 2-dose IPTp-SP at current IPTp-SP coverage of the country (\"2-IPT Low\"); (2) 3-dose IPTp-SP at current coverage (\"3-IPT Low\"); (3) 3-dose IPTp-SP at the same coverage as antiretroviral therapy (ART) in the country (\"3-IPT High\"); and (4) daily CTX at ART coverage. Outcomes measured include maternal malaria, anaemia, low birth weight (LBW), and disability-adjusted life years (DALYs). Sensitivity analyses assessed the effect of adherence to CTX. RESULTS Compared with the 2-IPT Low Strategy, women receiving CTX had 22.5% fewer LBW infants (95% CI 22.3-22.7), 13.5% fewer anaemia cases (95% CI 13.4-13.5), and 13.6% fewer maternal malaria cases (95% CI 13.6-13.7). In all simulated countries, CTX was the preferred strategy, with incremental cost-effectiveness ratios ranging from cost-saving to $3.9 per DALY averted from a societal perspective. CTX was less effective than the 3-IPT High Strategy when more than 18% of women stopped taking CTX during the pregnancy. CONCLUSION In malarious regions of sub-Saharan Africa, daily CTX for HIV-infected pregnant women regardless of CD4 cell count is cost-effective compared with 3-dose IPTp-SP as long as more than 82% of women adhere to daily dosing.", "author" : [ { "dropping-particle" : "", "family" : "Choi", "given" : "Sung Eun", "non-dropping-particle" : "", "parse-names" : false, "suffix" : "" }, { "dropping-particle" : "", "family" : "Brandeau", "given" : "Margaret L.", "non-dropping-particle" : "", "parse-names" : false, "suffix" : "" }, { "dropping-particle" : "", "family" : "Bendavid", "given" : "Eran", "non-dropping-particle" : "", "parse-names" : false, "suffix" : "" } ], "container-title" : "Malaria Journal", "id" : "ITEM-1", "issue" : "1", "issued" : { "date-parts" : [ [ "2017", "12", "6" ] ] }, "page" : "1-10", "publisher" : "BioMed Central", "title" : "Cost-effectiveness of malaria preventive treatment for HIV-infected pregnant women in sub-Saharan Africa", "type" : "article-journal", "volume" : "16" }, "uris" : [ "http://www.mendeley.com/documents/?uuid=12c29f5a-b07b-4c1b-8162-5bf2ec76e1e7" ] } ], "mendeley" : { "formattedCitation" : "(95)", "plainTextFormattedCitation" : "(95)", "previouslyFormattedCitation" : "(95)" }, "properties" : { "noteIndex" : 0 }, "schema" : "https://github.com/citation-style-language/schema/raw/master/csl-citation.json" }</w:instrText>
            </w:r>
            <w:r>
              <w:rPr>
                <w:rFonts w:ascii="Calibri" w:hAnsi="Calibri" w:cs="Calibri"/>
                <w:color w:val="000000"/>
              </w:rPr>
              <w:fldChar w:fldCharType="separate"/>
            </w:r>
            <w:r w:rsidRPr="009D01D3">
              <w:rPr>
                <w:rFonts w:ascii="Calibri" w:hAnsi="Calibri" w:cs="Calibri"/>
                <w:noProof/>
                <w:color w:val="000000"/>
              </w:rPr>
              <w:t>(95)</w:t>
            </w:r>
            <w:r>
              <w:rPr>
                <w:rFonts w:ascii="Calibri" w:hAnsi="Calibri" w:cs="Calibri"/>
                <w:color w:val="000000"/>
              </w:rPr>
              <w:fldChar w:fldCharType="end"/>
            </w:r>
          </w:p>
        </w:tc>
      </w:tr>
      <w:tr w:rsidR="009D01D3" w:rsidRPr="00E358A3" w:rsidTr="0020168A">
        <w:trPr>
          <w:trHeight w:val="1441"/>
        </w:trPr>
        <w:tc>
          <w:tcPr>
            <w:tcW w:w="620" w:type="pct"/>
            <w:gridSpan w:val="2"/>
            <w:tcBorders>
              <w:top w:val="single" w:sz="4" w:space="0" w:color="auto"/>
              <w:left w:val="nil"/>
              <w:right w:val="single" w:sz="12" w:space="0" w:color="auto"/>
            </w:tcBorders>
            <w:shd w:val="clear" w:color="auto" w:fill="auto"/>
            <w:vAlign w:val="center"/>
          </w:tcPr>
          <w:p w:rsidR="009D01D3" w:rsidRPr="00E358A3" w:rsidRDefault="009D01D3" w:rsidP="0020168A">
            <w:pPr>
              <w:rPr>
                <w:rFonts w:ascii="Calibri" w:hAnsi="Calibri" w:cs="Calibri"/>
                <w:color w:val="000000"/>
              </w:rPr>
            </w:pPr>
            <w:r w:rsidRPr="00705A99">
              <w:rPr>
                <w:rFonts w:ascii="Calibri" w:hAnsi="Calibri" w:cs="Calibri"/>
                <w:color w:val="000000"/>
              </w:rPr>
              <w:t>Shcherbacheva</w:t>
            </w:r>
            <w:r>
              <w:rPr>
                <w:rFonts w:ascii="Calibri" w:hAnsi="Calibri" w:cs="Calibri"/>
                <w:color w:val="000000"/>
              </w:rPr>
              <w:t xml:space="preserve"> (2017A)</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Assess impacts of LLINs on host-seeking behaviour of mosquitoes</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M</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N</w:t>
            </w:r>
          </w:p>
        </w:tc>
        <w:tc>
          <w:tcPr>
            <w:tcW w:w="146"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P,C</w:t>
            </w:r>
          </w:p>
        </w:tc>
        <w:tc>
          <w:tcPr>
            <w:tcW w:w="773"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Intervention effect parameters, vector movement parameters</w:t>
            </w:r>
          </w:p>
        </w:tc>
        <w:tc>
          <w:tcPr>
            <w:tcW w:w="650" w:type="pct"/>
            <w:tcBorders>
              <w:top w:val="single" w:sz="4" w:space="0" w:color="auto"/>
              <w:left w:val="nil"/>
              <w:bottom w:val="single" w:sz="4" w:space="0" w:color="auto"/>
              <w:right w:val="nil"/>
            </w:tcBorders>
            <w:shd w:val="clear" w:color="auto" w:fill="auto"/>
            <w:vAlign w:val="center"/>
          </w:tcPr>
          <w:p w:rsidR="009D01D3" w:rsidRPr="000F5DB4" w:rsidRDefault="009D01D3" w:rsidP="0020168A">
            <w:pPr>
              <w:jc w:val="center"/>
              <w:rPr>
                <w:rFonts w:ascii="Calibri" w:hAnsi="Calibri" w:cs="Calibri"/>
                <w:color w:val="000000"/>
              </w:rPr>
            </w:pPr>
            <w:r>
              <w:rPr>
                <w:rFonts w:ascii="Calibri" w:hAnsi="Calibri" w:cs="Calibri"/>
                <w:color w:val="000000"/>
              </w:rPr>
              <w:t>Death rate, hut exit rate, vector feeding rate, R</w:t>
            </w:r>
            <w:r>
              <w:rPr>
                <w:rFonts w:ascii="Calibri" w:hAnsi="Calibri" w:cs="Calibri"/>
                <w:color w:val="000000"/>
                <w:vertAlign w:val="subscript"/>
              </w:rPr>
              <w:t>0</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tcPr>
          <w:p w:rsidR="009D01D3" w:rsidRPr="00705A99" w:rsidRDefault="009D01D3" w:rsidP="0020168A">
            <w:pPr>
              <w:jc w:val="center"/>
              <w:rPr>
                <w:rFonts w:ascii="Calibri" w:hAnsi="Calibri" w:cs="Calibri"/>
                <w:color w:val="000000"/>
              </w:rPr>
            </w:pPr>
            <w:r>
              <w:rPr>
                <w:rFonts w:ascii="Calibri" w:hAnsi="Calibri" w:cs="Calibri"/>
                <w:color w:val="000000"/>
              </w:rPr>
              <w:t>CO</w:t>
            </w:r>
            <w:r>
              <w:rPr>
                <w:rFonts w:ascii="Calibri" w:hAnsi="Calibri" w:cs="Calibri"/>
                <w:color w:val="000000"/>
                <w:vertAlign w:val="subscript"/>
              </w:rPr>
              <w:t>2</w:t>
            </w:r>
            <w:r>
              <w:rPr>
                <w:rFonts w:ascii="Calibri" w:hAnsi="Calibri" w:cs="Calibri"/>
                <w:color w:val="000000"/>
              </w:rPr>
              <w:t xml:space="preserve"> gradient, simulation of individual hut, vector consumption of chemical</w:t>
            </w:r>
          </w:p>
        </w:tc>
        <w:tc>
          <w:tcPr>
            <w:tcW w:w="150"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N</w:t>
            </w:r>
          </w:p>
        </w:tc>
        <w:tc>
          <w:tcPr>
            <w:tcW w:w="150" w:type="pct"/>
            <w:tcBorders>
              <w:top w:val="single" w:sz="4" w:space="0" w:color="auto"/>
              <w:left w:val="nil"/>
              <w:bottom w:val="single" w:sz="4" w:space="0" w:color="auto"/>
              <w:right w:val="nil"/>
            </w:tcBorders>
            <w:vAlign w:val="center"/>
          </w:tcPr>
          <w:p w:rsidR="009D01D3" w:rsidRDefault="009D01D3" w:rsidP="0020168A">
            <w:pPr>
              <w:jc w:val="center"/>
              <w:rPr>
                <w:rFonts w:ascii="Calibri" w:hAnsi="Calibri" w:cs="Calibri"/>
                <w:color w:val="000000"/>
              </w:rPr>
            </w:pPr>
            <w:r>
              <w:rPr>
                <w:rFonts w:ascii="Calibri" w:hAnsi="Calibri" w:cs="Calibri"/>
                <w:color w:val="000000"/>
              </w:rPr>
              <w:fldChar w:fldCharType="begin" w:fldLock="1"/>
            </w:r>
            <w:r>
              <w:rPr>
                <w:rFonts w:ascii="Calibri" w:hAnsi="Calibri" w:cs="Calibri"/>
                <w:color w:val="000000"/>
              </w:rPr>
              <w:instrText>ADDIN CSL_CITATION { "citationItems" : [ { "id" : "ITEM-1", "itemData" : { "DOI" : "10.1016/j.mbs.2017.10.005", "ISSN" : "18793134", "PMID" : "29031707", "abstract" : "The efficiency of spatial repellents and long-lasting insecticide-treated nets (LLINs) is a key research topic in malaria control. Insecticidal nets reduce the mosquito-human contact rate and simultaneously decrease mosquito populations. However, LLINs demonstrate dissimilar efficiency against different species of malaria mosquitoes. Various factors have been proposed as an explanation, including differences in insecticide-induced mortality, flight characteristics, or persistence of attack. Here we present a discrete agent-based approach that enables the efficiency of LLINs, baited traps and Insecticide Residual Sprays (IRS) to be examined. The model is calibrated with hut-level experimental data to compare the efficiency of protection against two mosquito species: Anopheles gambiae and Anopheles arabiensis. We show that while such data does not allow an unambiguous identification of the details of how LLINs alter the vector behavior, the model calibrations quantify the overall impact of LLINs for the two different mosquito species. The simulations are generalized to community-scale scenarios that systematically demonstrate the lower efficiency of the LLINs in control of An. arabiensis compared to An. gambiae.", "author" : [ { "dropping-particle" : "", "family" : "Shcherbacheva", "given" : "Anna", "non-dropping-particle" : "", "parse-names" : false, "suffix" : "" }, { "dropping-particle" : "", "family" : "Haario", "given" : "Heikki", "non-dropping-particle" : "", "parse-names" : false, "suffix" : "" }, { "dropping-particle" : "", "family" : "Killeen", "given" : "Gerry F.", "non-dropping-particle" : "", "parse-names" : false, "suffix" : "" } ], "container-title" : "Mathematical Biosciences", "id" : "ITEM-1", "issued" : { "date-parts" : [ [ "2018", "1", "1" ] ] }, "page" : "36-47", "publisher" : "Elsevier", "title" : "Modeling host-seeking behavior of African malaria vector mosquitoes in the presence of long-lasting insecticidal nets", "type" : "article-journal", "volume" : "295" }, "uris" : [ "http://www.mendeley.com/documents/?uuid=e9af8f00-fc17-39a6-bef6-eedddff0a893" ] } ], "mendeley" : { "formattedCitation" : "(96)", "plainTextFormattedCitation" : "(96)", "previouslyFormattedCitation" : "(96)" }, "properties" : { "noteIndex" : 0 }, "schema" : "https://github.com/citation-style-language/schema/raw/master/csl-citation.json" }</w:instrText>
            </w:r>
            <w:r>
              <w:rPr>
                <w:rFonts w:ascii="Calibri" w:hAnsi="Calibri" w:cs="Calibri"/>
                <w:color w:val="000000"/>
              </w:rPr>
              <w:fldChar w:fldCharType="separate"/>
            </w:r>
            <w:r w:rsidRPr="009D01D3">
              <w:rPr>
                <w:rFonts w:ascii="Calibri" w:hAnsi="Calibri" w:cs="Calibri"/>
                <w:noProof/>
                <w:color w:val="000000"/>
              </w:rPr>
              <w:t>(96)</w:t>
            </w:r>
            <w:r>
              <w:rPr>
                <w:rFonts w:ascii="Calibri" w:hAnsi="Calibri" w:cs="Calibri"/>
                <w:color w:val="000000"/>
              </w:rPr>
              <w:fldChar w:fldCharType="end"/>
            </w:r>
          </w:p>
        </w:tc>
      </w:tr>
      <w:tr w:rsidR="009D01D3" w:rsidRPr="00E358A3" w:rsidTr="0020168A">
        <w:trPr>
          <w:trHeight w:val="1441"/>
        </w:trPr>
        <w:tc>
          <w:tcPr>
            <w:tcW w:w="260" w:type="pct"/>
            <w:tcBorders>
              <w:left w:val="nil"/>
              <w:bottom w:val="single" w:sz="4" w:space="0" w:color="auto"/>
              <w:right w:val="single" w:sz="4" w:space="0" w:color="auto"/>
            </w:tcBorders>
            <w:shd w:val="clear" w:color="auto" w:fill="auto"/>
            <w:vAlign w:val="center"/>
          </w:tcPr>
          <w:p w:rsidR="009D01D3" w:rsidRPr="00C45088" w:rsidRDefault="009D01D3" w:rsidP="0020168A">
            <w:pPr>
              <w:rPr>
                <w:rFonts w:ascii="Calibri" w:hAnsi="Calibri" w:cs="Calibri"/>
                <w:color w:val="000000"/>
                <w:highlight w:val="green"/>
              </w:rPr>
            </w:pPr>
          </w:p>
        </w:tc>
        <w:tc>
          <w:tcPr>
            <w:tcW w:w="360" w:type="pct"/>
            <w:tcBorders>
              <w:left w:val="single" w:sz="4" w:space="0" w:color="auto"/>
              <w:bottom w:val="single" w:sz="4" w:space="0" w:color="auto"/>
              <w:right w:val="single" w:sz="12" w:space="0" w:color="auto"/>
            </w:tcBorders>
            <w:shd w:val="clear" w:color="auto" w:fill="auto"/>
            <w:vAlign w:val="center"/>
          </w:tcPr>
          <w:p w:rsidR="009D01D3" w:rsidRPr="00C45088" w:rsidRDefault="009D01D3" w:rsidP="0020168A">
            <w:pPr>
              <w:jc w:val="right"/>
              <w:rPr>
                <w:rFonts w:ascii="Calibri" w:hAnsi="Calibri" w:cs="Calibri"/>
                <w:color w:val="000000"/>
                <w:highlight w:val="green"/>
              </w:rPr>
            </w:pPr>
            <w:r w:rsidRPr="004B06A4">
              <w:rPr>
                <w:rFonts w:ascii="Calibri" w:hAnsi="Calibri" w:cs="Calibri"/>
                <w:color w:val="000000"/>
              </w:rPr>
              <w:t>S</w:t>
            </w:r>
            <w:r w:rsidRPr="00C45088">
              <w:rPr>
                <w:rFonts w:ascii="Calibri" w:hAnsi="Calibri" w:cs="Calibri"/>
                <w:color w:val="000000"/>
              </w:rPr>
              <w:t>’</w:t>
            </w:r>
            <w:r w:rsidRPr="004B06A4">
              <w:rPr>
                <w:rFonts w:ascii="Calibri" w:hAnsi="Calibri" w:cs="Calibri"/>
                <w:color w:val="000000"/>
              </w:rPr>
              <w:t>cheva (2017B)</w:t>
            </w:r>
          </w:p>
        </w:tc>
        <w:tc>
          <w:tcPr>
            <w:tcW w:w="674" w:type="pct"/>
            <w:tcBorders>
              <w:top w:val="single" w:sz="4" w:space="0" w:color="auto"/>
              <w:left w:val="single" w:sz="12" w:space="0" w:color="auto"/>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Study alterations in vector behaviour due to parasites and household size</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H,M</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N</w:t>
            </w:r>
          </w:p>
        </w:tc>
        <w:tc>
          <w:tcPr>
            <w:tcW w:w="146"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P,C</w:t>
            </w:r>
          </w:p>
        </w:tc>
        <w:tc>
          <w:tcPr>
            <w:tcW w:w="773"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Household size, biting rates</w:t>
            </w:r>
          </w:p>
        </w:tc>
        <w:tc>
          <w:tcPr>
            <w:tcW w:w="650" w:type="pct"/>
            <w:tcBorders>
              <w:top w:val="single" w:sz="4" w:space="0" w:color="auto"/>
              <w:left w:val="nil"/>
              <w:bottom w:val="single" w:sz="4" w:space="0" w:color="auto"/>
              <w:right w:val="nil"/>
            </w:tcBorders>
            <w:shd w:val="clear" w:color="auto" w:fill="auto"/>
            <w:vAlign w:val="center"/>
          </w:tcPr>
          <w:p w:rsidR="009D01D3" w:rsidRPr="00C57611" w:rsidRDefault="009D01D3" w:rsidP="0020168A">
            <w:pPr>
              <w:jc w:val="center"/>
              <w:rPr>
                <w:rFonts w:ascii="Calibri" w:hAnsi="Calibri" w:cs="Calibri"/>
                <w:color w:val="000000"/>
              </w:rPr>
            </w:pPr>
            <w:r>
              <w:rPr>
                <w:rFonts w:ascii="Calibri" w:hAnsi="Calibri" w:cs="Calibri"/>
                <w:color w:val="000000"/>
              </w:rPr>
              <w:t>R</w:t>
            </w:r>
            <w:r>
              <w:rPr>
                <w:rFonts w:ascii="Calibri" w:hAnsi="Calibri" w:cs="Calibri"/>
                <w:color w:val="000000"/>
                <w:vertAlign w:val="subscript"/>
              </w:rPr>
              <w:t>0</w:t>
            </w:r>
            <w:r>
              <w:rPr>
                <w:rFonts w:ascii="Calibri" w:hAnsi="Calibri" w:cs="Calibri"/>
                <w:color w:val="000000"/>
              </w:rPr>
              <w:t>, contact rate</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Y</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N</w:t>
            </w:r>
          </w:p>
        </w:tc>
        <w:tc>
          <w:tcPr>
            <w:tcW w:w="152"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N</w:t>
            </w:r>
          </w:p>
        </w:tc>
        <w:tc>
          <w:tcPr>
            <w:tcW w:w="621" w:type="pct"/>
            <w:tcBorders>
              <w:top w:val="single" w:sz="4" w:space="0" w:color="auto"/>
              <w:left w:val="nil"/>
              <w:bottom w:val="single" w:sz="4" w:space="0" w:color="auto"/>
              <w:right w:val="nil"/>
            </w:tcBorders>
            <w:shd w:val="clear" w:color="auto" w:fill="auto"/>
            <w:vAlign w:val="center"/>
          </w:tcPr>
          <w:p w:rsidR="009D01D3" w:rsidRPr="00187934" w:rsidRDefault="009D01D3" w:rsidP="0020168A">
            <w:pPr>
              <w:jc w:val="center"/>
              <w:rPr>
                <w:rFonts w:ascii="Calibri" w:hAnsi="Calibri" w:cs="Calibri"/>
                <w:color w:val="000000"/>
              </w:rPr>
            </w:pPr>
            <w:r>
              <w:rPr>
                <w:rFonts w:ascii="Calibri" w:hAnsi="Calibri" w:cs="Calibri"/>
                <w:color w:val="000000"/>
              </w:rPr>
              <w:t>CO</w:t>
            </w:r>
            <w:r>
              <w:rPr>
                <w:rFonts w:ascii="Calibri" w:hAnsi="Calibri" w:cs="Calibri"/>
                <w:color w:val="000000"/>
                <w:vertAlign w:val="subscript"/>
              </w:rPr>
              <w:t>2</w:t>
            </w:r>
            <w:r>
              <w:rPr>
                <w:rFonts w:ascii="Calibri" w:hAnsi="Calibri" w:cs="Calibri"/>
                <w:color w:val="000000"/>
              </w:rPr>
              <w:t xml:space="preserve"> gradient, enhanced attractiveness of hosts for vectors, change in biting rates for infected vectors</w:t>
            </w:r>
          </w:p>
        </w:tc>
        <w:tc>
          <w:tcPr>
            <w:tcW w:w="150" w:type="pct"/>
            <w:tcBorders>
              <w:top w:val="single" w:sz="4" w:space="0" w:color="auto"/>
              <w:left w:val="nil"/>
              <w:bottom w:val="single" w:sz="4" w:space="0" w:color="auto"/>
              <w:right w:val="nil"/>
            </w:tcBorders>
            <w:shd w:val="clear" w:color="auto" w:fill="auto"/>
            <w:vAlign w:val="center"/>
          </w:tcPr>
          <w:p w:rsidR="009D01D3" w:rsidRDefault="009D01D3" w:rsidP="0020168A">
            <w:pPr>
              <w:jc w:val="center"/>
              <w:rPr>
                <w:rFonts w:ascii="Calibri" w:hAnsi="Calibri" w:cs="Calibri"/>
                <w:color w:val="000000"/>
              </w:rPr>
            </w:pPr>
            <w:r>
              <w:rPr>
                <w:rFonts w:ascii="Calibri" w:hAnsi="Calibri" w:cs="Calibri"/>
                <w:color w:val="000000"/>
              </w:rPr>
              <w:t>N</w:t>
            </w:r>
          </w:p>
        </w:tc>
        <w:tc>
          <w:tcPr>
            <w:tcW w:w="150" w:type="pct"/>
            <w:tcBorders>
              <w:top w:val="single" w:sz="4" w:space="0" w:color="auto"/>
              <w:left w:val="nil"/>
              <w:bottom w:val="single" w:sz="4" w:space="0" w:color="auto"/>
              <w:right w:val="nil"/>
            </w:tcBorders>
            <w:vAlign w:val="center"/>
          </w:tcPr>
          <w:p w:rsidR="009D01D3" w:rsidRDefault="009D01D3" w:rsidP="0020168A">
            <w:pPr>
              <w:jc w:val="center"/>
              <w:rPr>
                <w:rFonts w:ascii="Calibri" w:hAnsi="Calibri" w:cs="Calibri"/>
                <w:color w:val="000000"/>
              </w:rPr>
            </w:pPr>
            <w:r>
              <w:rPr>
                <w:rFonts w:ascii="Calibri" w:hAnsi="Calibri" w:cs="Calibri"/>
                <w:color w:val="000000"/>
              </w:rPr>
              <w:fldChar w:fldCharType="begin" w:fldLock="1"/>
            </w:r>
            <w:r>
              <w:rPr>
                <w:rFonts w:ascii="Calibri" w:hAnsi="Calibri" w:cs="Calibri"/>
                <w:color w:val="000000"/>
              </w:rPr>
              <w:instrText>ADDIN CSL_CITATION { "citationItems" : [ { "id" : "ITEM-1", "itemData" : { "abstract" : "In the present study the impact of household size together with behav- ioral alterations caused by parasite on malaria transmission is inves- tigated using a discrete agent-based model of mosquito host-seeking behavior earlier calibrated against experimental data. The rate of trans- mission was shown to decrease with the typical size of household. Depending on the assumptions, one can observe different thresholds for a significant decrease of the disease reproduction number.", "author" : [ { "dropping-particle" : "", "family" : "Shcherbacheva", "given" : "Anna", "non-dropping-particle" : "", "parse-names" : false, "suffix" : "" }, { "dropping-particle" : "", "family" : "Haario", "given" : "Heikki", "non-dropping-particle" : "", "parse-names" : false, "suffix" : "" } ], "container-title" : "Journal of Multi-Valued Logic and Soft Computing", "id" : "ITEM-1", "issued" : { "date-parts" : [ [ "2017" ] ] }, "page" : "455-468", "title" : "The Impact of Household Size on Malaria Reduction in Relation with Alterations in Mosquito Behavior by Malaria Parasite", "type" : "article-journal", "volume" : "29" }, "uris" : [ "http://www.mendeley.com/documents/?uuid=22dbffc0-951c-4e63-a942-486b0a419b47" ] } ], "mendeley" : { "formattedCitation" : "(97)", "plainTextFormattedCitation" : "(97)", "previouslyFormattedCitation" : "(97)" }, "properties" : { "noteIndex" : 0 }, "schema" : "https://github.com/citation-style-language/schema/raw/master/csl-citation.json" }</w:instrText>
            </w:r>
            <w:r>
              <w:rPr>
                <w:rFonts w:ascii="Calibri" w:hAnsi="Calibri" w:cs="Calibri"/>
                <w:color w:val="000000"/>
              </w:rPr>
              <w:fldChar w:fldCharType="separate"/>
            </w:r>
            <w:r w:rsidRPr="009D01D3">
              <w:rPr>
                <w:rFonts w:ascii="Calibri" w:hAnsi="Calibri" w:cs="Calibri"/>
                <w:noProof/>
                <w:color w:val="000000"/>
              </w:rPr>
              <w:t>(97)</w:t>
            </w:r>
            <w:r>
              <w:rPr>
                <w:rFonts w:ascii="Calibri" w:hAnsi="Calibri" w:cs="Calibri"/>
                <w:color w:val="000000"/>
              </w:rPr>
              <w:fldChar w:fldCharType="end"/>
            </w:r>
          </w:p>
        </w:tc>
      </w:tr>
    </w:tbl>
    <w:p w:rsidR="009D01D3" w:rsidRDefault="009D01D3" w:rsidP="009D01D3"/>
    <w:p w:rsidR="00D630E1" w:rsidRDefault="003A3656" w:rsidP="00D630E1">
      <w:pPr>
        <w:rPr>
          <w:lang w:val="en"/>
        </w:rPr>
        <w:sectPr w:rsidR="00D630E1" w:rsidSect="00D630E1">
          <w:pgSz w:w="16838" w:h="11906" w:orient="landscape"/>
          <w:pgMar w:top="227" w:right="227" w:bottom="227" w:left="227" w:header="709" w:footer="709" w:gutter="0"/>
          <w:cols w:space="708"/>
          <w:docGrid w:linePitch="360"/>
        </w:sectPr>
      </w:pPr>
      <w:r>
        <w:rPr>
          <w:lang w:val="en"/>
        </w:rPr>
        <w:br w:type="page"/>
      </w:r>
      <w:bookmarkStart w:id="0" w:name="_GoBack"/>
      <w:bookmarkEnd w:id="0"/>
    </w:p>
    <w:p w:rsidR="009D01D3" w:rsidRDefault="003A3656" w:rsidP="003A3656">
      <w:pPr>
        <w:pStyle w:val="Heading2"/>
        <w:rPr>
          <w:lang w:val="en"/>
        </w:rPr>
      </w:pPr>
      <w:r>
        <w:rPr>
          <w:lang w:val="en"/>
        </w:rPr>
        <w:t>References</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Pr>
          <w:lang w:val="en"/>
        </w:rPr>
        <w:fldChar w:fldCharType="begin" w:fldLock="1"/>
      </w:r>
      <w:r>
        <w:rPr>
          <w:lang w:val="en"/>
        </w:rPr>
        <w:instrText xml:space="preserve">ADDIN Mendeley Bibliography CSL_BIBLIOGRAPHY </w:instrText>
      </w:r>
      <w:r>
        <w:rPr>
          <w:lang w:val="en"/>
        </w:rPr>
        <w:fldChar w:fldCharType="separate"/>
      </w:r>
      <w:r w:rsidRPr="003A3656">
        <w:rPr>
          <w:rFonts w:ascii="Calibri" w:hAnsi="Calibri" w:cs="Calibri"/>
          <w:noProof/>
          <w:szCs w:val="24"/>
        </w:rPr>
        <w:t xml:space="preserve">1. </w:t>
      </w:r>
      <w:r w:rsidRPr="003A3656">
        <w:rPr>
          <w:rFonts w:ascii="Calibri" w:hAnsi="Calibri" w:cs="Calibri"/>
          <w:noProof/>
          <w:szCs w:val="24"/>
        </w:rPr>
        <w:tab/>
        <w:t>McKenzie FE, Wong RC, Bossert WH. Discrete-Event Simulation Models of Plasmodium falciparum Malaria. Simulation [Internet]. 1998;71(4):250–61. Available from: http://www.pubmedcentral.nih.gov/articlerender.fcgi?artid=2490820&amp;tool=pmcentrez&amp;rendertype=abstract</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2. </w:t>
      </w:r>
      <w:r w:rsidRPr="003A3656">
        <w:rPr>
          <w:rFonts w:ascii="Calibri" w:hAnsi="Calibri" w:cs="Calibri"/>
          <w:noProof/>
          <w:szCs w:val="24"/>
        </w:rPr>
        <w:tab/>
        <w:t xml:space="preserve">Mckenzie FE, Killeen GF, Beier JC, Bossert WH. Seasonality , Parasite Diversity , and Local Extinctions in Plasmodium falciparum Malaria. 2001;82(10):2673–81.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3. </w:t>
      </w:r>
      <w:r w:rsidRPr="003A3656">
        <w:rPr>
          <w:rFonts w:ascii="Calibri" w:hAnsi="Calibri" w:cs="Calibri"/>
          <w:noProof/>
          <w:szCs w:val="24"/>
        </w:rPr>
        <w:tab/>
        <w:t xml:space="preserve">McKenzie FE, Bossert WH. An integrated model of Plasmodium falciparum dynamics. J Theor Biol. 2005;232(3):411–26.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4. </w:t>
      </w:r>
      <w:r w:rsidRPr="003A3656">
        <w:rPr>
          <w:rFonts w:ascii="Calibri" w:hAnsi="Calibri" w:cs="Calibri"/>
          <w:noProof/>
          <w:szCs w:val="24"/>
        </w:rPr>
        <w:tab/>
        <w:t xml:space="preserve">Gu W, Killeen GF, Mbogo CM, Regens JL, Githure JI, Beier JC. An individual-based model of Plasmodium falciparum malaria transmission on the coast of Kenya. Trans R Soc Trop Med Hygeine. 2003;97(1):43–50.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5. </w:t>
      </w:r>
      <w:r w:rsidRPr="003A3656">
        <w:rPr>
          <w:rFonts w:ascii="Calibri" w:hAnsi="Calibri" w:cs="Calibri"/>
          <w:noProof/>
          <w:szCs w:val="24"/>
        </w:rPr>
        <w:tab/>
        <w:t xml:space="preserve">Gu W, Novak RJ. Agent-based modelling of mosquito foraging behaviour for malaria control. Trans R Soc Trop Med Hygeine. 2009;103(11):1105–18.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6. </w:t>
      </w:r>
      <w:r w:rsidRPr="003A3656">
        <w:rPr>
          <w:rFonts w:ascii="Calibri" w:hAnsi="Calibri" w:cs="Calibri"/>
          <w:noProof/>
          <w:szCs w:val="24"/>
        </w:rPr>
        <w:tab/>
        <w:t xml:space="preserve">Gu W, Novak RJ. Predicting the impact of insecticide-treated bed nets on malaria transmission: the devil is in the detail. Malar J. 2009;8(1):256–65.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7. </w:t>
      </w:r>
      <w:r w:rsidRPr="003A3656">
        <w:rPr>
          <w:rFonts w:ascii="Calibri" w:hAnsi="Calibri" w:cs="Calibri"/>
          <w:noProof/>
          <w:szCs w:val="24"/>
        </w:rPr>
        <w:tab/>
        <w:t xml:space="preserve">Depinay J-MO, Mbogo CM, Killeen G, Knols B, Beier J, Carlson J, et al. A simulation model of African Anopheles ecology and population dynamics for the analysis of malaria transmission. Malar J. 2004;3(1):29–49.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8. </w:t>
      </w:r>
      <w:r w:rsidRPr="003A3656">
        <w:rPr>
          <w:rFonts w:ascii="Calibri" w:hAnsi="Calibri" w:cs="Calibri"/>
          <w:noProof/>
          <w:szCs w:val="24"/>
        </w:rPr>
        <w:tab/>
        <w:t xml:space="preserve">Molineaux L, Diebner HH, Eichner M, Collins WE, Jeffery GM, Dietz K. Plasmodium falciparum parasitaemia described by a new mathematical model. Parasitology. 2001;122(Pt 4):379–91.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9. </w:t>
      </w:r>
      <w:r w:rsidRPr="003A3656">
        <w:rPr>
          <w:rFonts w:ascii="Calibri" w:hAnsi="Calibri" w:cs="Calibri"/>
          <w:noProof/>
          <w:szCs w:val="24"/>
        </w:rPr>
        <w:tab/>
        <w:t xml:space="preserve">Dietz K, Raddatz G, Molineaux L. Mathematical model of the first wave of Plasmodium falciparum asexual parasitemia in non-immune and vaccinated individuals. Am J Trop Med Hyg. 2006;75(2 suppl):46–55.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10. </w:t>
      </w:r>
      <w:r w:rsidRPr="003A3656">
        <w:rPr>
          <w:rFonts w:ascii="Calibri" w:hAnsi="Calibri" w:cs="Calibri"/>
          <w:noProof/>
          <w:szCs w:val="24"/>
        </w:rPr>
        <w:tab/>
        <w:t xml:space="preserve">Rateb F, Pavard B, Bellamine-BenSaoud N, Merelo JJ, Arenas MG. Modeling Malaria with Multi-Agent Systems. Int J Intell Inf Technol. 2005;1(June):17–27.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11. </w:t>
      </w:r>
      <w:r w:rsidRPr="003A3656">
        <w:rPr>
          <w:rFonts w:ascii="Calibri" w:hAnsi="Calibri" w:cs="Calibri"/>
          <w:noProof/>
          <w:szCs w:val="24"/>
        </w:rPr>
        <w:tab/>
        <w:t xml:space="preserve">Smith T, Killeen GF, Maire N, Ross A, Molineaux L, Tediosi F, et al. Mathematical modeling of the impact of malaria vaccines on the clinical epidemiology and natural history of Plasmodium falciparum malaria: Overview. Am J Trop Med Hyg. 2006;75(2 suppl):1–10.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12. </w:t>
      </w:r>
      <w:r w:rsidRPr="003A3656">
        <w:rPr>
          <w:rFonts w:ascii="Calibri" w:hAnsi="Calibri" w:cs="Calibri"/>
          <w:noProof/>
          <w:szCs w:val="24"/>
        </w:rPr>
        <w:tab/>
        <w:t xml:space="preserve">Smith T, Maire N, Dietz K, Killeen GF, Vounatsou P, Molineaux L, et al. Relationship between the entomologic inoculation rate and the force of infection for Plasmodium falciparum malaria. Am J Trop Med Hyg. 2006;75(2 suppl):11–8.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13. </w:t>
      </w:r>
      <w:r w:rsidRPr="003A3656">
        <w:rPr>
          <w:rFonts w:ascii="Calibri" w:hAnsi="Calibri" w:cs="Calibri"/>
          <w:noProof/>
          <w:szCs w:val="24"/>
        </w:rPr>
        <w:tab/>
        <w:t xml:space="preserve">Maire N, Smith T, Ross A, Owusu-Agyei S, Dietz K, Molineaux L. A model for natural immunity to asexual blood stages of Plasmodium falciparum malaria in endemic areas. Am J Trop Med Hyg. 2006;75(2 Suppl):19–31.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14. </w:t>
      </w:r>
      <w:r w:rsidRPr="003A3656">
        <w:rPr>
          <w:rFonts w:ascii="Calibri" w:hAnsi="Calibri" w:cs="Calibri"/>
          <w:noProof/>
          <w:szCs w:val="24"/>
        </w:rPr>
        <w:tab/>
        <w:t xml:space="preserve">Ross A, Killeen G, Smith T. Relationships between host infectivity to mosquitoes and asexual parasite density in Plasmodium falciparum. Am J Trop Med Hyg. 2006;75(2 suppl):32–7.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15. </w:t>
      </w:r>
      <w:r w:rsidRPr="003A3656">
        <w:rPr>
          <w:rFonts w:ascii="Calibri" w:hAnsi="Calibri" w:cs="Calibri"/>
          <w:noProof/>
          <w:szCs w:val="24"/>
        </w:rPr>
        <w:tab/>
        <w:t xml:space="preserve">Killeen GF, Ross A, Smith T. Infectiousness of malaria-endemic human populations to vectors. Am J Trop Med Hyg. 2006;75(2 Suppl):38–45.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16. </w:t>
      </w:r>
      <w:r w:rsidRPr="003A3656">
        <w:rPr>
          <w:rFonts w:ascii="Calibri" w:hAnsi="Calibri" w:cs="Calibri"/>
          <w:noProof/>
          <w:szCs w:val="24"/>
        </w:rPr>
        <w:tab/>
        <w:t xml:space="preserve">Smith T, Ross A, Maire N, Rogier C, Trape J-F, Molineaux L. An epidemiologic model of the incidence of acute illness in Plasmodium falciparum malaria. Am J Trop Med Hyg. 2006;75(2 suppl):56–62.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17. </w:t>
      </w:r>
      <w:r w:rsidRPr="003A3656">
        <w:rPr>
          <w:rFonts w:ascii="Calibri" w:hAnsi="Calibri" w:cs="Calibri"/>
          <w:noProof/>
          <w:szCs w:val="24"/>
        </w:rPr>
        <w:tab/>
        <w:t xml:space="preserve">Ross A, Maire N, Molineaux L, Smith T. An epidemiologic model of severe morbidity and mortality caused by Plasmodium falciparum. Am J Trop Med Hyg. 2006;75(2 suppl):63–73.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18. </w:t>
      </w:r>
      <w:r w:rsidRPr="003A3656">
        <w:rPr>
          <w:rFonts w:ascii="Calibri" w:hAnsi="Calibri" w:cs="Calibri"/>
          <w:noProof/>
          <w:szCs w:val="24"/>
        </w:rPr>
        <w:tab/>
        <w:t xml:space="preserve">Tediosi F, Maire N, Smith T, Hutton G, Utzinger J, Ross A, et al. An approach to model the costs and effects of case management of Plasmodium falciparum malaria in sub-saharan Africa. Am J Trop Med Hyg. 2006;75(2 Suppl):90–103.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19. </w:t>
      </w:r>
      <w:r w:rsidRPr="003A3656">
        <w:rPr>
          <w:rFonts w:ascii="Calibri" w:hAnsi="Calibri" w:cs="Calibri"/>
          <w:noProof/>
          <w:szCs w:val="24"/>
        </w:rPr>
        <w:tab/>
        <w:t xml:space="preserve">Maire N, Aponte JJ, Ross A, Thompson R, Alonso P, Utzinger J, et al. Modeling A Field Trial of the RTS,S/AS02A Malaria Vaccine. Am J Trop Med Hyg. 2006;75(2 suppl):104–10.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20. </w:t>
      </w:r>
      <w:r w:rsidRPr="003A3656">
        <w:rPr>
          <w:rFonts w:ascii="Calibri" w:hAnsi="Calibri" w:cs="Calibri"/>
          <w:noProof/>
          <w:szCs w:val="24"/>
        </w:rPr>
        <w:tab/>
        <w:t xml:space="preserve">Maire N, Tediosi F, Ross A, Smith T. Predictions of the epidemiologic impact of introducing a pre-erythrocytic vaccine into the expanded program on immunization in sub-Saharan Africa. Am J Trop Med Hyg. 2006;75(2 suppl):111–8.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21. </w:t>
      </w:r>
      <w:r w:rsidRPr="003A3656">
        <w:rPr>
          <w:rFonts w:ascii="Calibri" w:hAnsi="Calibri" w:cs="Calibri"/>
          <w:noProof/>
          <w:szCs w:val="24"/>
        </w:rPr>
        <w:tab/>
        <w:t xml:space="preserve">Tediosi F, Hutton G, Maire N, Smith TA, Ross A, Tanner M. Predicting the Cost-Effectiveness of Introducing a Pre-Erythrocytic Malaria Vaccine Into the Expanded Program on Immunization in Tanzania. Am J Trop Med Hyg. 2006;75(2 suppl):119–30.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22. </w:t>
      </w:r>
      <w:r w:rsidRPr="003A3656">
        <w:rPr>
          <w:rFonts w:ascii="Calibri" w:hAnsi="Calibri" w:cs="Calibri"/>
          <w:noProof/>
          <w:szCs w:val="24"/>
        </w:rPr>
        <w:tab/>
        <w:t xml:space="preserve">Smith T, Maire N, Ross A, Penny M, Chitnis N, Schapira A, et al. Towards a comprehensive simulation model of malaria epidemiology and control. Parasitology. 2008;135(13):1507–16.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23. </w:t>
      </w:r>
      <w:r w:rsidRPr="003A3656">
        <w:rPr>
          <w:rFonts w:ascii="Calibri" w:hAnsi="Calibri" w:cs="Calibri"/>
          <w:noProof/>
          <w:szCs w:val="24"/>
        </w:rPr>
        <w:tab/>
        <w:t xml:space="preserve">Ross A, Penny M, Maire N, Studer A, Carneiro I, Schellenberg D, et al. Modelling the epidemiological impact of intermittent preventive treatment against malaria in infants. PLoS One. 2008;3(7):e2661.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24. </w:t>
      </w:r>
      <w:r w:rsidRPr="003A3656">
        <w:rPr>
          <w:rFonts w:ascii="Calibri" w:hAnsi="Calibri" w:cs="Calibri"/>
          <w:noProof/>
          <w:szCs w:val="24"/>
        </w:rPr>
        <w:tab/>
        <w:t xml:space="preserve">Penny MA, Maire N, Studer A, Schapira A, Smith TA. What should vaccine developers ask? Simulation of the effectiveness of malaria vaccines. PLoS One. 2008;3(9).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25. </w:t>
      </w:r>
      <w:r w:rsidRPr="003A3656">
        <w:rPr>
          <w:rFonts w:ascii="Calibri" w:hAnsi="Calibri" w:cs="Calibri"/>
          <w:noProof/>
          <w:szCs w:val="24"/>
        </w:rPr>
        <w:tab/>
        <w:t xml:space="preserve">Tediosi F, Maire N, Penny M, Studer A, Smith TA. Simulation of the cost-effectiveness of malaria vaccines. Malar J. 2009;8(1):127–43.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26. </w:t>
      </w:r>
      <w:r w:rsidRPr="003A3656">
        <w:rPr>
          <w:rFonts w:ascii="Calibri" w:hAnsi="Calibri" w:cs="Calibri"/>
          <w:noProof/>
          <w:szCs w:val="24"/>
        </w:rPr>
        <w:tab/>
        <w:t xml:space="preserve">Ross A, Smith T. Interpreting malaria age-prevalence and incidence curves: a simulation study of the effects of different types of heterogeneity. Malar J. 2010;9(1):132–40.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27. </w:t>
      </w:r>
      <w:r w:rsidRPr="003A3656">
        <w:rPr>
          <w:rFonts w:ascii="Calibri" w:hAnsi="Calibri" w:cs="Calibri"/>
          <w:noProof/>
          <w:szCs w:val="24"/>
        </w:rPr>
        <w:tab/>
        <w:t xml:space="preserve">Ross A, Maire N, Sicuri E, Smith T, Conteh L. Determinants of the cost-effectiveness of intermittent preventive treatment for malaria in infants and children. PLoS One. 2011;6(4):e18391.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28. </w:t>
      </w:r>
      <w:r w:rsidRPr="003A3656">
        <w:rPr>
          <w:rFonts w:ascii="Calibri" w:hAnsi="Calibri" w:cs="Calibri"/>
          <w:noProof/>
          <w:szCs w:val="24"/>
        </w:rPr>
        <w:tab/>
        <w:t xml:space="preserve">Maire N, Shillcutt SD, Walker DG, Tediosi F, Smith TA. Cost-effectiveness of the introduction of a pre-erythrocytic malaria vaccine into the expanded program on immunization in sub-Saharan Africa: Analysis of uncertainties using a stochastic individual-based simulation model of Plasmodium falciparum malaria. Value Heal. 2011;14(8):1028–38.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29. </w:t>
      </w:r>
      <w:r w:rsidRPr="003A3656">
        <w:rPr>
          <w:rFonts w:ascii="Calibri" w:hAnsi="Calibri" w:cs="Calibri"/>
          <w:noProof/>
          <w:szCs w:val="24"/>
        </w:rPr>
        <w:tab/>
        <w:t xml:space="preserve">Chitnis N, Hardy D, Smith T. A Periodically-Forced Mathematical Model for the Seasonal Dynamics of Malaria in Mosquitoes. Bull Math Biol. 2012;74(5):1098–124.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30. </w:t>
      </w:r>
      <w:r w:rsidRPr="003A3656">
        <w:rPr>
          <w:rFonts w:ascii="Calibri" w:hAnsi="Calibri" w:cs="Calibri"/>
          <w:noProof/>
          <w:szCs w:val="24"/>
        </w:rPr>
        <w:tab/>
        <w:t>Crowell V, Briët OJ, Hardy D, Chitnis N, Maire N, Pasquale A Di, et al. Modelling the cost-effectiveness of mass screening and treatment for reducing Plasmodium falciparum malaria burden. Malar J [Internet]. 2013 Jan 3 [cited 2018 Jun 4];12(1):4. Available from: http://malariajournal.biomedcentral.com/articles/10.1186/1475-2875-12-4</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31. </w:t>
      </w:r>
      <w:r w:rsidRPr="003A3656">
        <w:rPr>
          <w:rFonts w:ascii="Calibri" w:hAnsi="Calibri" w:cs="Calibri"/>
          <w:noProof/>
          <w:szCs w:val="24"/>
        </w:rPr>
        <w:tab/>
        <w:t xml:space="preserve">Richard A, Richardson S, Maccario J. A three-state Markov model of Plasmodium falciparum parasitemia. Math Biosci. 1993 Sep 1;117(1–2):283–300.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32. </w:t>
      </w:r>
      <w:r w:rsidRPr="003A3656">
        <w:rPr>
          <w:rFonts w:ascii="Calibri" w:hAnsi="Calibri" w:cs="Calibri"/>
          <w:noProof/>
          <w:szCs w:val="24"/>
        </w:rPr>
        <w:tab/>
        <w:t xml:space="preserve">Gurarie D, McKenzie FE. A stochastic model of immune-modulated malaria infection and disease in children. Math Biosci. 2007;210(2):576–97.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33. </w:t>
      </w:r>
      <w:r w:rsidRPr="003A3656">
        <w:rPr>
          <w:rFonts w:ascii="Calibri" w:hAnsi="Calibri" w:cs="Calibri"/>
          <w:noProof/>
          <w:szCs w:val="24"/>
        </w:rPr>
        <w:tab/>
        <w:t xml:space="preserve">Gurarie D, Karl S, Zimmerman PA, King CH, St Pierre TG, Davis TME. Mathematical modeling of malaria infection with innate and adaptive immunity in individuals and agent-based communities. PLoS One. 2012;7(3):e34040.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34. </w:t>
      </w:r>
      <w:r w:rsidRPr="003A3656">
        <w:rPr>
          <w:rFonts w:ascii="Calibri" w:hAnsi="Calibri" w:cs="Calibri"/>
          <w:noProof/>
          <w:szCs w:val="24"/>
        </w:rPr>
        <w:tab/>
        <w:t xml:space="preserve">Linard C, Ponçon N, Fontenille D, Lambin EF. A multi-agent simulation to assess the risk of malaria re-emergence in southern France. Ecol Modell. 2009;220(2):160–74.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35. </w:t>
      </w:r>
      <w:r w:rsidRPr="003A3656">
        <w:rPr>
          <w:rFonts w:ascii="Calibri" w:hAnsi="Calibri" w:cs="Calibri"/>
          <w:noProof/>
          <w:szCs w:val="24"/>
        </w:rPr>
        <w:tab/>
        <w:t xml:space="preserve">Bomblies A, Duchemin JB, Eltahir EAB. Hydrology of malaria: Model development and application to a Sahelian village. Water Resour Res. 2008;44(12):1–26.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36. </w:t>
      </w:r>
      <w:r w:rsidRPr="003A3656">
        <w:rPr>
          <w:rFonts w:ascii="Calibri" w:hAnsi="Calibri" w:cs="Calibri"/>
          <w:noProof/>
          <w:szCs w:val="24"/>
        </w:rPr>
        <w:tab/>
        <w:t xml:space="preserve">Bomblies A, Duchemin J-B, Eltahir EAB. A mechanistic approach for accurate simulation of village scale malaria transmission. Malar J. 2009;8(1):223–34.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37. </w:t>
      </w:r>
      <w:r w:rsidRPr="003A3656">
        <w:rPr>
          <w:rFonts w:ascii="Calibri" w:hAnsi="Calibri" w:cs="Calibri"/>
          <w:noProof/>
          <w:szCs w:val="24"/>
        </w:rPr>
        <w:tab/>
        <w:t xml:space="preserve">Bomblies A, Eltahir EAB. Assessment of the impact of climate shifts on malaria transmission in the Sahel. Ecohealth. 2009;6(3):426–37.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38. </w:t>
      </w:r>
      <w:r w:rsidRPr="003A3656">
        <w:rPr>
          <w:rFonts w:ascii="Calibri" w:hAnsi="Calibri" w:cs="Calibri"/>
          <w:noProof/>
          <w:szCs w:val="24"/>
        </w:rPr>
        <w:tab/>
        <w:t xml:space="preserve">Stryker JJ, Bomblies A. The impacts of land use change on malaria vector abundance in a water-limited, highland region of Ethiopia. Ecohealth. 2012;9(4):455–70.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39. </w:t>
      </w:r>
      <w:r w:rsidRPr="003A3656">
        <w:rPr>
          <w:rFonts w:ascii="Calibri" w:hAnsi="Calibri" w:cs="Calibri"/>
          <w:noProof/>
          <w:szCs w:val="24"/>
        </w:rPr>
        <w:tab/>
        <w:t>Yamana TK, Bomblies A, Laminou IM, Duchemin J-B, Eltahir EAB. Linking environmental variability to village-scale malaria transmission using a simple immunity model. Parasit Vectors [Internet]. 2013;6(1):226–39. Available from: http://dx.doi.org/10.1186/1756-3305-6-226</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40. </w:t>
      </w:r>
      <w:r w:rsidRPr="003A3656">
        <w:rPr>
          <w:rFonts w:ascii="Calibri" w:hAnsi="Calibri" w:cs="Calibri"/>
          <w:noProof/>
          <w:szCs w:val="24"/>
        </w:rPr>
        <w:tab/>
        <w:t xml:space="preserve">Bomblies A. Agent-based modeling of malaria vectors: the importance of spatial simulation. Parasit Vectors. 2014;7(1):308–17.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41. </w:t>
      </w:r>
      <w:r w:rsidRPr="003A3656">
        <w:rPr>
          <w:rFonts w:ascii="Calibri" w:hAnsi="Calibri" w:cs="Calibri"/>
          <w:noProof/>
          <w:szCs w:val="24"/>
        </w:rPr>
        <w:tab/>
        <w:t>Yamana TK, Qiu X, Eltahir EAB. Hysteresis in simulations of malaria transmission. Adv Water Resour [Internet]. 2017;108:416–22. Available from: http://dx.doi.org/10.1016/j.advwatres.2016.10.003</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42. </w:t>
      </w:r>
      <w:r w:rsidRPr="003A3656">
        <w:rPr>
          <w:rFonts w:ascii="Calibri" w:hAnsi="Calibri" w:cs="Calibri"/>
          <w:noProof/>
          <w:szCs w:val="24"/>
        </w:rPr>
        <w:tab/>
        <w:t xml:space="preserve">Endo N, Eltahir EAB. Environmental determinants of malaria transmission in African villages. Malar J. 2016;15(1):1–11.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43. </w:t>
      </w:r>
      <w:r w:rsidRPr="003A3656">
        <w:rPr>
          <w:rFonts w:ascii="Calibri" w:hAnsi="Calibri" w:cs="Calibri"/>
          <w:noProof/>
          <w:szCs w:val="24"/>
        </w:rPr>
        <w:tab/>
        <w:t>Endo N, Eltahir EAB. Environmental Determinants of Malaria Transmission Around the Koka Reservoir in Ethiopia. GeoHealth [Internet]. 2018;2(3):104–15. Available from: http://doi.wiley.com/10.1002/2017GH000108</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44. </w:t>
      </w:r>
      <w:r w:rsidRPr="003A3656">
        <w:rPr>
          <w:rFonts w:ascii="Calibri" w:hAnsi="Calibri" w:cs="Calibri"/>
          <w:noProof/>
          <w:szCs w:val="24"/>
        </w:rPr>
        <w:tab/>
        <w:t xml:space="preserve">Filipe JAN, Riley EM, Drakeley CJ, Sutherland CJ, Ghani AC. Determination of the processes driving the acquisition of immunity to malaria using a mathematical transmission model. PLoS Comput Biol. 2007;3(12):2569–79.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45. </w:t>
      </w:r>
      <w:r w:rsidRPr="003A3656">
        <w:rPr>
          <w:rFonts w:ascii="Calibri" w:hAnsi="Calibri" w:cs="Calibri"/>
          <w:noProof/>
          <w:szCs w:val="24"/>
        </w:rPr>
        <w:tab/>
        <w:t xml:space="preserve">Griffin JT, Hollingsworth TD, Okell LC, Churcher TS, White M, Hinsley W, et al. Reducing Plasmodium falciparum malaria transmission in Africa: a model-based evaluation of intervention strategies. PLoS Med. 2010;7(8):e1000324.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46. </w:t>
      </w:r>
      <w:r w:rsidRPr="003A3656">
        <w:rPr>
          <w:rFonts w:ascii="Calibri" w:hAnsi="Calibri" w:cs="Calibri"/>
          <w:noProof/>
          <w:szCs w:val="24"/>
        </w:rPr>
        <w:tab/>
        <w:t xml:space="preserve">Okell LC, Griffin JT, Kleinschmidt I, Hollingsworth TD, Churcher TS, White MJ, et al. The potential contribution of mass treatment to the control of plasmodium falciparum malaria. PLoS One. 2011;6(5).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47. </w:t>
      </w:r>
      <w:r w:rsidRPr="003A3656">
        <w:rPr>
          <w:rFonts w:ascii="Calibri" w:hAnsi="Calibri" w:cs="Calibri"/>
          <w:noProof/>
          <w:szCs w:val="24"/>
        </w:rPr>
        <w:tab/>
        <w:t xml:space="preserve">Griffin JT, Ferguson NM, Ghani AC. Estimates of the changing age-burden of Plasmodium falciparum malaria disease in sub-Saharan Africa. Nat Commun. 2014;5:1–10.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48. </w:t>
      </w:r>
      <w:r w:rsidRPr="003A3656">
        <w:rPr>
          <w:rFonts w:ascii="Calibri" w:hAnsi="Calibri" w:cs="Calibri"/>
          <w:noProof/>
          <w:szCs w:val="24"/>
        </w:rPr>
        <w:tab/>
        <w:t>Okell LC, Cairns M, Griffin JT, Ferguson NM, Tarning J, Jagoe G, et al. Contrasting benefits of different artemisinin combination therapies as first-line malaria treatments using model-based cost-effectiveness analysis. Nat Commun [Internet]. 2014 Dec 26 [cited 2018 Jun 4];5(1):5606. Available from: http://www.nature.com/articles/ncomms6606</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49. </w:t>
      </w:r>
      <w:r w:rsidRPr="003A3656">
        <w:rPr>
          <w:rFonts w:ascii="Calibri" w:hAnsi="Calibri" w:cs="Calibri"/>
          <w:noProof/>
          <w:szCs w:val="24"/>
        </w:rPr>
        <w:tab/>
        <w:t xml:space="preserve">Slater HC, Walker PGT, Bousema T, Okell LC, Ghani AC. The potential impact of adding ivermectin to a mass treatment intervention to reduce malaria transmission: A modelling study. J Infect Dis. 2014;210(12):1972–80.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50. </w:t>
      </w:r>
      <w:r w:rsidRPr="003A3656">
        <w:rPr>
          <w:rFonts w:ascii="Calibri" w:hAnsi="Calibri" w:cs="Calibri"/>
          <w:noProof/>
          <w:szCs w:val="24"/>
        </w:rPr>
        <w:tab/>
        <w:t>Griffin JT, Hollingsworth TD, Reyburn H, Drakeley CJ, Riley EM, Ghani AC. Gradual acquisition of immunity to severe malaria with increasing exposure. Proc R Soc B Biol Sci [Internet]. 2015 Feb 22 [cited 2018 Jun 4];282(1801):20142657–20142657. Available from: http://www.ncbi.nlm.nih.gov/pubmed/25567652</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51. </w:t>
      </w:r>
      <w:r w:rsidRPr="003A3656">
        <w:rPr>
          <w:rFonts w:ascii="Calibri" w:hAnsi="Calibri" w:cs="Calibri"/>
          <w:noProof/>
          <w:szCs w:val="24"/>
        </w:rPr>
        <w:tab/>
        <w:t xml:space="preserve">Cairns ME, Walker PGT, Okell LC, Griffin JT, Garske T, Asante KP, et al. Seasonality in malaria transmission: implications for case-management with long-acting artemisinin combination therapy in sub-Saharan Africa. Malar J. 2015;14(1):321–33.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52. </w:t>
      </w:r>
      <w:r w:rsidRPr="003A3656">
        <w:rPr>
          <w:rFonts w:ascii="Calibri" w:hAnsi="Calibri" w:cs="Calibri"/>
          <w:noProof/>
          <w:szCs w:val="24"/>
        </w:rPr>
        <w:tab/>
        <w:t xml:space="preserve">Slater HC, Griffin JT, Ghani AC, Okell LC. Assessing the potential impact of artemisinin and partner drug resistance in sub-Saharan Africa. Malar J. 2016;15(1):10–20.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53. </w:t>
      </w:r>
      <w:r w:rsidRPr="003A3656">
        <w:rPr>
          <w:rFonts w:ascii="Calibri" w:hAnsi="Calibri" w:cs="Calibri"/>
          <w:noProof/>
          <w:szCs w:val="24"/>
        </w:rPr>
        <w:tab/>
        <w:t>Griffin JT, Bhatt S, Sinka ME, Gething PW, Lynch M, Patouillard E, et al. Potential for reduction of burden and local elimination of malaria by reducing Plasmodium falciparum malaria transmission: A mathematical modelling study. Lancet Infect Dis [Internet]. 2016 Apr 1 [cited 2018 Jun 4];16(4):465–72. Available from: https://www.sciencedirect.com/science/article/pii/S1473309915004235#bib6</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54. </w:t>
      </w:r>
      <w:r w:rsidRPr="003A3656">
        <w:rPr>
          <w:rFonts w:ascii="Calibri" w:hAnsi="Calibri" w:cs="Calibri"/>
          <w:noProof/>
          <w:szCs w:val="24"/>
        </w:rPr>
        <w:tab/>
        <w:t>Walker PGT, Griffin JT, Ferguson NM, Ghani AC. Estimating the most efficient allocation of interventions to achieve reductions in Plasmodium falciparum malaria burden and transmission in Africa: A modelling study. Lancet Glob Heal [Internet]. 2016 Jul 1 [cited 2018 Jun 4];4(7):e474–84. Available from: https://www.sciencedirect.com/science/article/pii/S2214109X16300730</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55. </w:t>
      </w:r>
      <w:r w:rsidRPr="003A3656">
        <w:rPr>
          <w:rFonts w:ascii="Calibri" w:hAnsi="Calibri" w:cs="Calibri"/>
          <w:noProof/>
          <w:szCs w:val="24"/>
        </w:rPr>
        <w:tab/>
        <w:t>Winskill P, Walker PG, Griffin JT, Ghani AC. Modelling the cost-effectiveness of introducing the RTS,S malaria vaccine relative to scaling up other malaria interventions in sub-Saharan Africa. BMJ Glob Heal [Internet]. 2017 [cited 2018 Jun 4];2(1):e000090. Available from: http://gh.bmj.com/content/bmjgh/2/1/e000090.full.pdf</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56. </w:t>
      </w:r>
      <w:r w:rsidRPr="003A3656">
        <w:rPr>
          <w:rFonts w:ascii="Calibri" w:hAnsi="Calibri" w:cs="Calibri"/>
          <w:noProof/>
          <w:szCs w:val="24"/>
        </w:rPr>
        <w:tab/>
        <w:t xml:space="preserve">Bretscher MT, Griffin JT, Ghani AC, Okell LC. Modelling the benefits of long-acting or transmission-blocking drugs for reducing Plasmodium falciparum transmission by case management or by mass treatment. Malar J. 2017;16(1):1–12.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57. </w:t>
      </w:r>
      <w:r w:rsidRPr="003A3656">
        <w:rPr>
          <w:rFonts w:ascii="Calibri" w:hAnsi="Calibri" w:cs="Calibri"/>
          <w:noProof/>
          <w:szCs w:val="24"/>
        </w:rPr>
        <w:tab/>
        <w:t>Watson OJ, Slater HC, Verity R, Parr JB, Mwandagalirwa MK, Tshefu A, et al. Modelling the drivers of the spread of Plasmodium falciparum hrp2 gene deletions in sub-Saharan Africa. Elife [Internet]. 2017;6:e25008. Available from: http://elifesciences.org/lookup/doi/10.7554/eLife.25008</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58. </w:t>
      </w:r>
      <w:r w:rsidRPr="003A3656">
        <w:rPr>
          <w:rFonts w:ascii="Calibri" w:hAnsi="Calibri" w:cs="Calibri"/>
          <w:noProof/>
          <w:szCs w:val="24"/>
        </w:rPr>
        <w:tab/>
        <w:t xml:space="preserve">Churcher TS, Dawes EJ, Sinden RE, Christophides GK, Koella JC, Basáñez M-G. Population biology of malaria within the mosquito: density-dependent processes and potential implications for transmission-blocking interventions. Malar J. 2010;9(1):311.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59. </w:t>
      </w:r>
      <w:r w:rsidRPr="003A3656">
        <w:rPr>
          <w:rFonts w:ascii="Calibri" w:hAnsi="Calibri" w:cs="Calibri"/>
          <w:noProof/>
          <w:szCs w:val="24"/>
        </w:rPr>
        <w:tab/>
        <w:t xml:space="preserve">Gatton ML, Cheng Q. Investigating antigenic variation and other parasite–host interactions in Plasmodium falciparum infections in naïve hosts. Parasitology. 2004;128(4):367–76.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60. </w:t>
      </w:r>
      <w:r w:rsidRPr="003A3656">
        <w:rPr>
          <w:rFonts w:ascii="Calibri" w:hAnsi="Calibri" w:cs="Calibri"/>
          <w:noProof/>
          <w:szCs w:val="24"/>
        </w:rPr>
        <w:tab/>
        <w:t xml:space="preserve">Gatton ML, Cheng Q. Interrupting malaria transmission: Quantifying the impact of interventions in regions of low to moderate transmission. PLoS One. 2010;5(12):e15149.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61. </w:t>
      </w:r>
      <w:r w:rsidRPr="003A3656">
        <w:rPr>
          <w:rFonts w:ascii="Calibri" w:hAnsi="Calibri" w:cs="Calibri"/>
          <w:noProof/>
          <w:szCs w:val="24"/>
        </w:rPr>
        <w:tab/>
        <w:t>Gatton ML, Dunn J, Chaudhry A, Ciketic S, Cunningham J, Cheng Q. Implications of parasites lacking plasmodium falciparum histidine-rich protein 2 on Malaria morbidity and control when rapid diagnostic tests are used for diagnosis. J Infect Dis [Internet]. 2017 Apr 1 [cited 2018 May 22];215(7):1156–66. Available from: https://academic.oup.com/jid/article-lookup/doi/10.1093/infdis/jix094</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62. </w:t>
      </w:r>
      <w:r w:rsidRPr="003A3656">
        <w:rPr>
          <w:rFonts w:ascii="Calibri" w:hAnsi="Calibri" w:cs="Calibri"/>
          <w:noProof/>
          <w:szCs w:val="24"/>
        </w:rPr>
        <w:tab/>
        <w:t xml:space="preserve">Zhou Y, Arifin SM, Gentile J, Kurtz SJ, Davis GJ, Wendelberger BA. An agent-based model of the Anopheles gambiae mosquito life cycle. Proc 2010 Summer Comput Simul Conf. 2010;1(1):201–8.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63. </w:t>
      </w:r>
      <w:r w:rsidRPr="003A3656">
        <w:rPr>
          <w:rFonts w:ascii="Calibri" w:hAnsi="Calibri" w:cs="Calibri"/>
          <w:noProof/>
          <w:szCs w:val="24"/>
        </w:rPr>
        <w:tab/>
        <w:t>Arifin SMN, Davis GJ, Zhou Y. A Spatial Agent-Based Model of Malaria: Model Verification and Effects of Spatial Heterogeneity. Int J Agent Technol Syst [Internet]. 2011;3(3):17–34. Available from: http://services.igi-global.com/resolvedoi/resolve.aspx?doi=10.4018/jats.2011070102</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64. </w:t>
      </w:r>
      <w:r w:rsidRPr="003A3656">
        <w:rPr>
          <w:rFonts w:ascii="Calibri" w:hAnsi="Calibri" w:cs="Calibri"/>
          <w:noProof/>
          <w:szCs w:val="24"/>
        </w:rPr>
        <w:tab/>
        <w:t xml:space="preserve">Arifin SMN, Madey GR, Collins FH. Examining the impact of larval source management and insecticide-treated nets using a spatial agent-based model of Anopheles gambiae and a landscape generator tool. Malar J. 2013;12(1):290–313.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65. </w:t>
      </w:r>
      <w:r w:rsidRPr="003A3656">
        <w:rPr>
          <w:rFonts w:ascii="Calibri" w:hAnsi="Calibri" w:cs="Calibri"/>
          <w:noProof/>
          <w:szCs w:val="24"/>
        </w:rPr>
        <w:tab/>
        <w:t xml:space="preserve">Arifin SMN, Zhou Y, Davis GJ, Gentile JE, Madey GR, Collins FH. An agent-based model of the population dynamics of Anopheles gambiae. Malar J. 2014;13(1):424–42.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66. </w:t>
      </w:r>
      <w:r w:rsidRPr="003A3656">
        <w:rPr>
          <w:rFonts w:ascii="Calibri" w:hAnsi="Calibri" w:cs="Calibri"/>
          <w:noProof/>
          <w:szCs w:val="24"/>
        </w:rPr>
        <w:tab/>
        <w:t xml:space="preserve">Gentile JE, Rund SSC, Madey GR. Modelling sterile insect technique to control the population of Anopheles gambiae. Malar J. 2015;14(1):92–103.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67. </w:t>
      </w:r>
      <w:r w:rsidRPr="003A3656">
        <w:rPr>
          <w:rFonts w:ascii="Calibri" w:hAnsi="Calibri" w:cs="Calibri"/>
          <w:noProof/>
          <w:szCs w:val="24"/>
        </w:rPr>
        <w:tab/>
        <w:t>Arifin S, Arifin R, Pitts D, Rahman M, Nowreen S, Madey G, et al. Landscape Epidemiology Modeling Using an Agent-Based Model and a Geographic Information System. Land [Internet]. 2015 [cited 2018 Jun 4];4(2):378–412. Available from: http://www.mdpi.com/2073-445X/4/2/378/</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68. </w:t>
      </w:r>
      <w:r w:rsidRPr="003A3656">
        <w:rPr>
          <w:rFonts w:ascii="Calibri" w:hAnsi="Calibri" w:cs="Calibri"/>
          <w:noProof/>
          <w:szCs w:val="24"/>
        </w:rPr>
        <w:tab/>
        <w:t>Alam MSMZ, Niaz Arifin SM, Al-Amin HM, Alam MSMZ, Rahman MS. A spatial agent-based model of Anopheles vagus for malaria epidemiology: Examining the impact of vector control interventions. Malar J [Internet]. 2017 Dec 27 [cited 2018 May 23];16(1):1–20. Available from: http://malariajournal.biomedcentral.com/articles/10.1186/s12936-017-2075-6</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69. </w:t>
      </w:r>
      <w:r w:rsidRPr="003A3656">
        <w:rPr>
          <w:rFonts w:ascii="Calibri" w:hAnsi="Calibri" w:cs="Calibri"/>
          <w:noProof/>
          <w:szCs w:val="24"/>
        </w:rPr>
        <w:tab/>
        <w:t xml:space="preserve">Eckhoff PA. A malaria transmission-directed model of mosquito life cycle and ecology. Malar J. 2011;10(1):303–19.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70. </w:t>
      </w:r>
      <w:r w:rsidRPr="003A3656">
        <w:rPr>
          <w:rFonts w:ascii="Calibri" w:hAnsi="Calibri" w:cs="Calibri"/>
          <w:noProof/>
          <w:szCs w:val="24"/>
        </w:rPr>
        <w:tab/>
        <w:t xml:space="preserve">Eckhoff P a. Malaria parasite diversity and transmission intensity affect development of parasitological immunity in a mathematical model. Malar J. 2012;11(1):419.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71. </w:t>
      </w:r>
      <w:r w:rsidRPr="003A3656">
        <w:rPr>
          <w:rFonts w:ascii="Calibri" w:hAnsi="Calibri" w:cs="Calibri"/>
          <w:noProof/>
          <w:szCs w:val="24"/>
        </w:rPr>
        <w:tab/>
        <w:t xml:space="preserve">Eckhoff P. Mathematical models of within-host and transmission dynamics to determine effects of malaria interventions in a variety of transmission settings. Am J Trop Med Hyg. 2013;88(5):817–27.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72. </w:t>
      </w:r>
      <w:r w:rsidRPr="003A3656">
        <w:rPr>
          <w:rFonts w:ascii="Calibri" w:hAnsi="Calibri" w:cs="Calibri"/>
          <w:noProof/>
          <w:szCs w:val="24"/>
        </w:rPr>
        <w:tab/>
        <w:t xml:space="preserve">Wenger EA, Eckhoff PA. A mathematical model of the impact of present and future malaria vaccines. Malar J. 2013;12:126.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73. </w:t>
      </w:r>
      <w:r w:rsidRPr="003A3656">
        <w:rPr>
          <w:rFonts w:ascii="Calibri" w:hAnsi="Calibri" w:cs="Calibri"/>
          <w:noProof/>
          <w:szCs w:val="24"/>
        </w:rPr>
        <w:tab/>
        <w:t>McCarthy KA, Wenger EA, Huynh GH, Eckhoff PA. Calibration of an intrahost malaria model and parameter ensemble evaluation of a pre-erythrocytic vaccine. Malar J [Internet]. 2015;14(1):6. Available from: http://www.malariajournal.com/content/14/1/6</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74. </w:t>
      </w:r>
      <w:r w:rsidRPr="003A3656">
        <w:rPr>
          <w:rFonts w:ascii="Calibri" w:hAnsi="Calibri" w:cs="Calibri"/>
          <w:noProof/>
          <w:szCs w:val="24"/>
        </w:rPr>
        <w:tab/>
        <w:t xml:space="preserve">Gerardin J, Eckhoff P, Wenger EA. Mass campaigns with antimalarial drugs: a modelling comparison of artemether-lumefantrine and DHA-piperaquine with and without primaquine as tools for malaria control and elimination. BMC Infect Dis. 2015;15(1):144–57.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75. </w:t>
      </w:r>
      <w:r w:rsidRPr="003A3656">
        <w:rPr>
          <w:rFonts w:ascii="Calibri" w:hAnsi="Calibri" w:cs="Calibri"/>
          <w:noProof/>
          <w:szCs w:val="24"/>
        </w:rPr>
        <w:tab/>
        <w:t xml:space="preserve">Gerardin J, Ouédraogo AL, McCarthy KA, Eckhoff PA, Wenger EA. Characterization of the infectious reservoir of malaria with an agent-based model calibrated to age-stratified parasite densities and infectiousness. Malar J. 2015;14(1):231–43.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76. </w:t>
      </w:r>
      <w:r w:rsidRPr="003A3656">
        <w:rPr>
          <w:rFonts w:ascii="Calibri" w:hAnsi="Calibri" w:cs="Calibri"/>
          <w:noProof/>
          <w:szCs w:val="24"/>
        </w:rPr>
        <w:tab/>
        <w:t xml:space="preserve">Gerardin J, Bever CA, Hamainza B, Miller JM, Eckhoff PA, Wenger EA. Optimal Population-Level Infection Detection Strategies for Malaria Control and Elimination in a Spatial Model of Malaria Transmission. PLOS Comput Biol. 2016 Jan 14;12(1):e1004707.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77. </w:t>
      </w:r>
      <w:r w:rsidRPr="003A3656">
        <w:rPr>
          <w:rFonts w:ascii="Calibri" w:hAnsi="Calibri" w:cs="Calibri"/>
          <w:noProof/>
          <w:szCs w:val="24"/>
        </w:rPr>
        <w:tab/>
        <w:t xml:space="preserve">Eckhoff PA, Wenger EA, Godfray HCJ, Burt A. Impact of mosquito gene drive on malaria elimination in a computational model with explicit spatial and temporal dynamics. Proc Natl Acad Sci U S A. 2016;114(2):E255–64.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78. </w:t>
      </w:r>
      <w:r w:rsidRPr="003A3656">
        <w:rPr>
          <w:rFonts w:ascii="Calibri" w:hAnsi="Calibri" w:cs="Calibri"/>
          <w:noProof/>
          <w:szCs w:val="24"/>
        </w:rPr>
        <w:tab/>
        <w:t xml:space="preserve">Gerardin J, Bever CA, Bridenbecker D, Hamainza B, Silumbe K, Miller JM, et al. Effectiveness of reactive case detection for malaria elimination in three archetypical transmission settings: A modelling study. Malar J. 2017;16(1):1–17.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79. </w:t>
      </w:r>
      <w:r w:rsidRPr="003A3656">
        <w:rPr>
          <w:rFonts w:ascii="Calibri" w:hAnsi="Calibri" w:cs="Calibri"/>
          <w:noProof/>
          <w:szCs w:val="24"/>
        </w:rPr>
        <w:tab/>
        <w:t>Gerardin J, Bertozzi-Villa A, Eckhoff PA, Wenger EA. Impact of mass drug administration campaigns depends on interaction with seasonal human movement. Int Heal [Internet]. 2018;(June):1–6. Available from: https://www.ncbi.nlm.nih.gov/pubmed/29635471</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80. </w:t>
      </w:r>
      <w:r w:rsidRPr="003A3656">
        <w:rPr>
          <w:rFonts w:ascii="Calibri" w:hAnsi="Calibri" w:cs="Calibri"/>
          <w:noProof/>
          <w:szCs w:val="24"/>
        </w:rPr>
        <w:tab/>
        <w:t>Ouédraogo AL, Eckhoff PA, Luty AJF, Roeffen W, Sauerwein RW, Bousema T, et al. Modeling the impact of Plasmodium falciparum sexual stage immunity on the composition and dynamics of the human infectious reservoir for malaria in natural settings. Kazura JW, editor. PLOS Pathog [Internet]. 2018 May 9;14(5):e1007034. Available from: http://dx.plos.org/10.1371/journal.ppat.1007034</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81. </w:t>
      </w:r>
      <w:r w:rsidRPr="003A3656">
        <w:rPr>
          <w:rFonts w:ascii="Calibri" w:hAnsi="Calibri" w:cs="Calibri"/>
          <w:noProof/>
          <w:szCs w:val="24"/>
        </w:rPr>
        <w:tab/>
        <w:t xml:space="preserve">Klein EY. The impact of heterogeneous transmission on the establishment and spread of antimalarial drug resistance. J Theor Biol. 2014;340:177–85.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82. </w:t>
      </w:r>
      <w:r w:rsidRPr="003A3656">
        <w:rPr>
          <w:rFonts w:ascii="Calibri" w:hAnsi="Calibri" w:cs="Calibri"/>
          <w:noProof/>
          <w:szCs w:val="24"/>
        </w:rPr>
        <w:tab/>
        <w:t xml:space="preserve">Zhu L, Qualls WA, Marshall JM, Arheart KL, DeAngelis DL, McManus JW, et al. A spatial individual-based model predicting a great impact of copious sugar sources and resting sites on survival of Anopheles gambiae and malaria parasite transmission. Malar J. 2015;14(1):59–73.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83. </w:t>
      </w:r>
      <w:r w:rsidRPr="003A3656">
        <w:rPr>
          <w:rFonts w:ascii="Calibri" w:hAnsi="Calibri" w:cs="Calibri"/>
          <w:noProof/>
          <w:szCs w:val="24"/>
        </w:rPr>
        <w:tab/>
        <w:t xml:space="preserve">Zhu L, Marshall JM, Qualls WA, Schlein Y, McManus JW, Arheart KL, et al. Modelling optimum use of attractive toxic sugar bait stations for effective malaria vector control in Africa. Malar J. 2015;14(1):492–503.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84. </w:t>
      </w:r>
      <w:r w:rsidRPr="003A3656">
        <w:rPr>
          <w:rFonts w:ascii="Calibri" w:hAnsi="Calibri" w:cs="Calibri"/>
          <w:noProof/>
          <w:szCs w:val="24"/>
        </w:rPr>
        <w:tab/>
        <w:t>Zhu L, Müller GC, Marshall JM, Arheart KL, Qualls WA, Hlaing WM, et al. Is outdoor vector control needed for malaria elimination? An individual-based modelling study. Malar J [Internet]. 2017 Dec 3 [cited 2018 May 24];16(1):266. Available from: http://malariajournal.biomedcentral.com/articles/10.1186/s12936-017-1920-y</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85. </w:t>
      </w:r>
      <w:r w:rsidRPr="003A3656">
        <w:rPr>
          <w:rFonts w:ascii="Calibri" w:hAnsi="Calibri" w:cs="Calibri"/>
          <w:noProof/>
          <w:szCs w:val="24"/>
        </w:rPr>
        <w:tab/>
        <w:t xml:space="preserve">Phillips V, Njau J, Li S, Kachur P. Simulations show diagnostic testing for malaria in young African children can be cost-saving or cost-effective. Heal Aff. 2015;34(7):1196–203.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86. </w:t>
      </w:r>
      <w:r w:rsidRPr="003A3656">
        <w:rPr>
          <w:rFonts w:ascii="Calibri" w:hAnsi="Calibri" w:cs="Calibri"/>
          <w:noProof/>
          <w:szCs w:val="24"/>
        </w:rPr>
        <w:tab/>
        <w:t xml:space="preserve">Silal SP, Little F, Barnes KI, White LJ. Hitting a moving target: A model for malaria elimination in the presence of population movement. PLoS One. 2015;10(12):1–16.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87. </w:t>
      </w:r>
      <w:r w:rsidRPr="003A3656">
        <w:rPr>
          <w:rFonts w:ascii="Calibri" w:hAnsi="Calibri" w:cs="Calibri"/>
          <w:noProof/>
          <w:szCs w:val="24"/>
        </w:rPr>
        <w:tab/>
        <w:t>Silal SP, Little F, Barnes KI, White LJ. Predicting the impact of border control on malaria transmission: a simulated focal screen and treat campaign. Malar J [Internet]. 2015 Dec 12;14(1):268. Available from: http://www.malariajournal.com/content/14/1/268</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88. </w:t>
      </w:r>
      <w:r w:rsidRPr="003A3656">
        <w:rPr>
          <w:rFonts w:ascii="Calibri" w:hAnsi="Calibri" w:cs="Calibri"/>
          <w:noProof/>
          <w:szCs w:val="24"/>
        </w:rPr>
        <w:tab/>
        <w:t xml:space="preserve">Nguyen TD, Olliaro P, Dondorp AM, Baird JK, Lam HM, Farrar J, et al. Optimum population-level use of artemisinin combination therapies: A modelling study. Lancet Glob Heal. 2015;3(12):e758–66.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89. </w:t>
      </w:r>
      <w:r w:rsidRPr="003A3656">
        <w:rPr>
          <w:rFonts w:ascii="Calibri" w:hAnsi="Calibri" w:cs="Calibri"/>
          <w:noProof/>
          <w:szCs w:val="24"/>
        </w:rPr>
        <w:tab/>
        <w:t xml:space="preserve">Pizzitutti F, Pan W, Barbieri A, Miranda JJ, Feingold B, Guedes GR, et al. A validated agent-based model to study the spatial and temporal heterogeneities of malaria incidence in the rainforest environment. Malar J. 2015;14(1):514–32.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90. </w:t>
      </w:r>
      <w:r w:rsidRPr="003A3656">
        <w:rPr>
          <w:rFonts w:ascii="Calibri" w:hAnsi="Calibri" w:cs="Calibri"/>
          <w:noProof/>
          <w:szCs w:val="24"/>
        </w:rPr>
        <w:tab/>
        <w:t>Pizzitutti F, Pan W, Feingold B, Zaitchik B, Álvarez CA, Mena CF. Out of the net: An agent-based model to study human movements influence on local-scale malaria transmission. Kumar S, editor. PLoS One [Internet]. 2018 Mar 6 [cited 2018 May 23];13(3):e0193493. Available from: http://dx.plos.org/10.1371/journal.pone.0193493</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91. </w:t>
      </w:r>
      <w:r w:rsidRPr="003A3656">
        <w:rPr>
          <w:rFonts w:ascii="Calibri" w:hAnsi="Calibri" w:cs="Calibri"/>
          <w:noProof/>
          <w:szCs w:val="24"/>
        </w:rPr>
        <w:tab/>
        <w:t xml:space="preserve">Sauboin CJ, Van Bellinghen L-A, Van De Velde N, Van Vlaenderen I. Potential public health impact of RTS,S malaria candidate vaccine in sub-Saharan Africa: a modelling study. Malar J. 2015;14(1):524–40.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92. </w:t>
      </w:r>
      <w:r w:rsidRPr="003A3656">
        <w:rPr>
          <w:rFonts w:ascii="Calibri" w:hAnsi="Calibri" w:cs="Calibri"/>
          <w:noProof/>
          <w:szCs w:val="24"/>
        </w:rPr>
        <w:tab/>
        <w:t xml:space="preserve">Macdonald G. The analysis of equilibrium in malaria. Trop Dis Bull. 1952 Sep;49(9):813–29.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93. </w:t>
      </w:r>
      <w:r w:rsidRPr="003A3656">
        <w:rPr>
          <w:rFonts w:ascii="Calibri" w:hAnsi="Calibri" w:cs="Calibri"/>
          <w:noProof/>
          <w:szCs w:val="24"/>
        </w:rPr>
        <w:tab/>
        <w:t xml:space="preserve">Karl S, White MT, Milne GJ, Gurarie D, Hay SI, Barry AE, et al. Spatial effects on the multiplicity of Plasmodium falciparum infections. PLoS One. 2016;11(10):e0164054. </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94. </w:t>
      </w:r>
      <w:r w:rsidRPr="003A3656">
        <w:rPr>
          <w:rFonts w:ascii="Calibri" w:hAnsi="Calibri" w:cs="Calibri"/>
          <w:noProof/>
          <w:szCs w:val="24"/>
        </w:rPr>
        <w:tab/>
        <w:t>Ferreira CP, Lyra SP, Azevedo F, Greenhalgh D, Massad E. Modelling the impact of the long-term use of insecticide-treated bed nets on Anopheles mosquito biting time. Malar J [Internet]. 2017 Dec 15 [cited 2018 May 23];16(1):373. Available from: http://malariajournal.biomedcentral.com/articles/10.1186/s12936-017-2014-6</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95. </w:t>
      </w:r>
      <w:r w:rsidRPr="003A3656">
        <w:rPr>
          <w:rFonts w:ascii="Calibri" w:hAnsi="Calibri" w:cs="Calibri"/>
          <w:noProof/>
          <w:szCs w:val="24"/>
        </w:rPr>
        <w:tab/>
        <w:t>Choi SE, Brandeau ML, Bendavid E. Cost-effectiveness of malaria preventive treatment for HIV-infected pregnant women in sub-Saharan Africa. Malar J [Internet]. 2017 Dec 6 [cited 2018 May 23];16(1):1–10. Available from: http://malariajournal.biomedcentral.com/articles/10.1186/s12936-017-2047-x</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szCs w:val="24"/>
        </w:rPr>
      </w:pPr>
      <w:r w:rsidRPr="003A3656">
        <w:rPr>
          <w:rFonts w:ascii="Calibri" w:hAnsi="Calibri" w:cs="Calibri"/>
          <w:noProof/>
          <w:szCs w:val="24"/>
        </w:rPr>
        <w:t xml:space="preserve">96. </w:t>
      </w:r>
      <w:r w:rsidRPr="003A3656">
        <w:rPr>
          <w:rFonts w:ascii="Calibri" w:hAnsi="Calibri" w:cs="Calibri"/>
          <w:noProof/>
          <w:szCs w:val="24"/>
        </w:rPr>
        <w:tab/>
        <w:t>Shcherbacheva A, Haario H, Killeen GF. Modeling host-seeking behavior of African malaria vector mosquitoes in the presence of long-lasting insecticidal nets. Math Biosci [Internet]. 2018 Jan 1 [cited 2018 May 23];295:36–47. Available from: https://www.sciencedirect.com/science/article/pii/S0025556417305473?via%3Dihub</w:t>
      </w:r>
    </w:p>
    <w:p w:rsidR="003A3656" w:rsidRPr="003A3656" w:rsidRDefault="003A3656" w:rsidP="003A3656">
      <w:pPr>
        <w:widowControl w:val="0"/>
        <w:autoSpaceDE w:val="0"/>
        <w:autoSpaceDN w:val="0"/>
        <w:adjustRightInd w:val="0"/>
        <w:spacing w:line="240" w:lineRule="auto"/>
        <w:ind w:left="640" w:hanging="640"/>
        <w:rPr>
          <w:rFonts w:ascii="Calibri" w:hAnsi="Calibri" w:cs="Calibri"/>
          <w:noProof/>
        </w:rPr>
      </w:pPr>
      <w:r w:rsidRPr="003A3656">
        <w:rPr>
          <w:rFonts w:ascii="Calibri" w:hAnsi="Calibri" w:cs="Calibri"/>
          <w:noProof/>
          <w:szCs w:val="24"/>
        </w:rPr>
        <w:t xml:space="preserve">97. </w:t>
      </w:r>
      <w:r w:rsidRPr="003A3656">
        <w:rPr>
          <w:rFonts w:ascii="Calibri" w:hAnsi="Calibri" w:cs="Calibri"/>
          <w:noProof/>
          <w:szCs w:val="24"/>
        </w:rPr>
        <w:tab/>
        <w:t xml:space="preserve">Shcherbacheva A, Haario H. The Impact of Household Size on Malaria Reduction in Relation with Alterations in Mosquito Behavior by Malaria Parasite. J Multi-Valued Log Soft Comput. 2017;29:455–68. </w:t>
      </w:r>
    </w:p>
    <w:p w:rsidR="003A3656" w:rsidRPr="003A3656" w:rsidRDefault="003A3656" w:rsidP="003A3656">
      <w:pPr>
        <w:rPr>
          <w:lang w:val="en"/>
        </w:rPr>
      </w:pPr>
      <w:r>
        <w:rPr>
          <w:lang w:val="en"/>
        </w:rPr>
        <w:fldChar w:fldCharType="end"/>
      </w:r>
    </w:p>
    <w:sectPr w:rsidR="003A3656" w:rsidRPr="003A3656" w:rsidSect="00D630E1">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9552D"/>
    <w:multiLevelType w:val="multilevel"/>
    <w:tmpl w:val="ADA8B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451F1E"/>
    <w:multiLevelType w:val="hybridMultilevel"/>
    <w:tmpl w:val="C5224870"/>
    <w:lvl w:ilvl="0" w:tplc="993C1A78">
      <w:numFmt w:val="bullet"/>
      <w:lvlText w:val="-"/>
      <w:lvlJc w:val="left"/>
      <w:pPr>
        <w:ind w:left="720" w:hanging="360"/>
      </w:pPr>
      <w:rPr>
        <w:rFonts w:ascii="Calibri" w:eastAsiaTheme="minorHAnsi" w:hAnsi="Calibri"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5552C15"/>
    <w:multiLevelType w:val="hybridMultilevel"/>
    <w:tmpl w:val="E2F43202"/>
    <w:lvl w:ilvl="0" w:tplc="0C090011">
      <w:start w:val="1"/>
      <w:numFmt w:val="decimal"/>
      <w:lvlText w:val="%1)"/>
      <w:lvlJc w:val="left"/>
      <w:pPr>
        <w:ind w:left="720" w:hanging="360"/>
      </w:pPr>
      <w:rPr>
        <w:rFonts w:hint="default"/>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83166F0"/>
    <w:multiLevelType w:val="multilevel"/>
    <w:tmpl w:val="AF062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1F4A61"/>
    <w:multiLevelType w:val="hybridMultilevel"/>
    <w:tmpl w:val="0826069E"/>
    <w:lvl w:ilvl="0" w:tplc="50E2863A">
      <w:numFmt w:val="bullet"/>
      <w:lvlText w:val="-"/>
      <w:lvlJc w:val="left"/>
      <w:pPr>
        <w:ind w:left="720" w:hanging="360"/>
      </w:pPr>
      <w:rPr>
        <w:rFonts w:ascii="Calibri" w:eastAsiaTheme="minorHAnsi" w:hAnsi="Calibri" w:cs="Calibri" w:hint="default"/>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3B84057"/>
    <w:multiLevelType w:val="hybridMultilevel"/>
    <w:tmpl w:val="2D0209E0"/>
    <w:lvl w:ilvl="0" w:tplc="A71E97A6">
      <w:start w:val="1"/>
      <w:numFmt w:val="bullet"/>
      <w:lvlText w:val=""/>
      <w:lvlJc w:val="left"/>
      <w:pPr>
        <w:ind w:left="113" w:hanging="113"/>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C162178"/>
    <w:multiLevelType w:val="hybridMultilevel"/>
    <w:tmpl w:val="79B8206A"/>
    <w:lvl w:ilvl="0" w:tplc="13309CE4">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CA6402A"/>
    <w:multiLevelType w:val="multilevel"/>
    <w:tmpl w:val="BCBCF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4439F3"/>
    <w:multiLevelType w:val="multilevel"/>
    <w:tmpl w:val="AF829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BE383C"/>
    <w:multiLevelType w:val="hybridMultilevel"/>
    <w:tmpl w:val="4484D34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B191463"/>
    <w:multiLevelType w:val="hybridMultilevel"/>
    <w:tmpl w:val="9FE0E15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CCA706A"/>
    <w:multiLevelType w:val="hybridMultilevel"/>
    <w:tmpl w:val="C3669398"/>
    <w:lvl w:ilvl="0" w:tplc="34CE542A">
      <w:start w:val="1"/>
      <w:numFmt w:val="bullet"/>
      <w:lvlText w:val=""/>
      <w:lvlJc w:val="left"/>
      <w:pPr>
        <w:ind w:left="227" w:hanging="227"/>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3C780C5D"/>
    <w:multiLevelType w:val="multilevel"/>
    <w:tmpl w:val="FA5AD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BC32B1"/>
    <w:multiLevelType w:val="hybridMultilevel"/>
    <w:tmpl w:val="8B247E68"/>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DC02699"/>
    <w:multiLevelType w:val="hybridMultilevel"/>
    <w:tmpl w:val="D2AE0502"/>
    <w:lvl w:ilvl="0" w:tplc="935EF45A">
      <w:numFmt w:val="bullet"/>
      <w:lvlText w:val="-"/>
      <w:lvlJc w:val="left"/>
      <w:pPr>
        <w:ind w:left="720"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F8E5FA3"/>
    <w:multiLevelType w:val="hybridMultilevel"/>
    <w:tmpl w:val="645A67A4"/>
    <w:lvl w:ilvl="0" w:tplc="935EF45A">
      <w:numFmt w:val="bullet"/>
      <w:lvlText w:val="-"/>
      <w:lvlJc w:val="left"/>
      <w:pPr>
        <w:ind w:left="720"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3920938"/>
    <w:multiLevelType w:val="hybridMultilevel"/>
    <w:tmpl w:val="A5B004DE"/>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47A266E5"/>
    <w:multiLevelType w:val="hybridMultilevel"/>
    <w:tmpl w:val="65DC306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89420A9"/>
    <w:multiLevelType w:val="multilevel"/>
    <w:tmpl w:val="6D12B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AD28AB"/>
    <w:multiLevelType w:val="hybridMultilevel"/>
    <w:tmpl w:val="2F90F67E"/>
    <w:lvl w:ilvl="0" w:tplc="1040B2F0">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A554A7C"/>
    <w:multiLevelType w:val="multilevel"/>
    <w:tmpl w:val="922AF2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E30E15"/>
    <w:multiLevelType w:val="multilevel"/>
    <w:tmpl w:val="C666A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E86F91"/>
    <w:multiLevelType w:val="hybridMultilevel"/>
    <w:tmpl w:val="AB624862"/>
    <w:lvl w:ilvl="0" w:tplc="34CE542A">
      <w:start w:val="1"/>
      <w:numFmt w:val="bullet"/>
      <w:lvlText w:val=""/>
      <w:lvlJc w:val="left"/>
      <w:pPr>
        <w:ind w:left="227" w:hanging="227"/>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D294595"/>
    <w:multiLevelType w:val="multilevel"/>
    <w:tmpl w:val="47145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9D7D91"/>
    <w:multiLevelType w:val="hybridMultilevel"/>
    <w:tmpl w:val="D4A07A9A"/>
    <w:lvl w:ilvl="0" w:tplc="935EF45A">
      <w:numFmt w:val="bullet"/>
      <w:lvlText w:val="-"/>
      <w:lvlJc w:val="left"/>
      <w:pPr>
        <w:ind w:left="720"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3F15EC7"/>
    <w:multiLevelType w:val="hybridMultilevel"/>
    <w:tmpl w:val="5516BF9A"/>
    <w:lvl w:ilvl="0" w:tplc="B4362B88">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8E1511F"/>
    <w:multiLevelType w:val="hybridMultilevel"/>
    <w:tmpl w:val="A3A809CA"/>
    <w:lvl w:ilvl="0" w:tplc="2BF83D6C">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C1C4DFC"/>
    <w:multiLevelType w:val="hybridMultilevel"/>
    <w:tmpl w:val="DCF427B0"/>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6F5E2FD6"/>
    <w:multiLevelType w:val="multilevel"/>
    <w:tmpl w:val="A852C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E573DD"/>
    <w:multiLevelType w:val="hybridMultilevel"/>
    <w:tmpl w:val="F1D2CAF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9730C17"/>
    <w:multiLevelType w:val="hybridMultilevel"/>
    <w:tmpl w:val="68DC4A6A"/>
    <w:lvl w:ilvl="0" w:tplc="92B82E52">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AE90523"/>
    <w:multiLevelType w:val="hybridMultilevel"/>
    <w:tmpl w:val="20221912"/>
    <w:lvl w:ilvl="0" w:tplc="ECAC09E6">
      <w:start w:val="25"/>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FB47148"/>
    <w:multiLevelType w:val="hybridMultilevel"/>
    <w:tmpl w:val="2B444F30"/>
    <w:lvl w:ilvl="0" w:tplc="13309CE4">
      <w:numFmt w:val="bullet"/>
      <w:lvlText w:val="-"/>
      <w:lvlJc w:val="left"/>
      <w:pPr>
        <w:ind w:left="720" w:hanging="360"/>
      </w:pPr>
      <w:rPr>
        <w:rFonts w:ascii="Calibri" w:eastAsiaTheme="minorHAnsi" w:hAnsi="Calibri"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1"/>
  </w:num>
  <w:num w:numId="2">
    <w:abstractNumId w:val="20"/>
  </w:num>
  <w:num w:numId="3">
    <w:abstractNumId w:val="3"/>
  </w:num>
  <w:num w:numId="4">
    <w:abstractNumId w:val="8"/>
  </w:num>
  <w:num w:numId="5">
    <w:abstractNumId w:val="12"/>
  </w:num>
  <w:num w:numId="6">
    <w:abstractNumId w:val="0"/>
  </w:num>
  <w:num w:numId="7">
    <w:abstractNumId w:val="28"/>
  </w:num>
  <w:num w:numId="8">
    <w:abstractNumId w:val="18"/>
  </w:num>
  <w:num w:numId="9">
    <w:abstractNumId w:val="7"/>
  </w:num>
  <w:num w:numId="10">
    <w:abstractNumId w:val="23"/>
  </w:num>
  <w:num w:numId="11">
    <w:abstractNumId w:val="11"/>
  </w:num>
  <w:num w:numId="12">
    <w:abstractNumId w:val="22"/>
  </w:num>
  <w:num w:numId="13">
    <w:abstractNumId w:val="2"/>
  </w:num>
  <w:num w:numId="14">
    <w:abstractNumId w:val="1"/>
  </w:num>
  <w:num w:numId="15">
    <w:abstractNumId w:val="14"/>
  </w:num>
  <w:num w:numId="16">
    <w:abstractNumId w:val="27"/>
  </w:num>
  <w:num w:numId="17">
    <w:abstractNumId w:val="13"/>
  </w:num>
  <w:num w:numId="18">
    <w:abstractNumId w:val="4"/>
  </w:num>
  <w:num w:numId="19">
    <w:abstractNumId w:val="29"/>
  </w:num>
  <w:num w:numId="20">
    <w:abstractNumId w:val="17"/>
  </w:num>
  <w:num w:numId="21">
    <w:abstractNumId w:val="15"/>
  </w:num>
  <w:num w:numId="22">
    <w:abstractNumId w:val="24"/>
  </w:num>
  <w:num w:numId="23">
    <w:abstractNumId w:val="26"/>
  </w:num>
  <w:num w:numId="24">
    <w:abstractNumId w:val="25"/>
  </w:num>
  <w:num w:numId="25">
    <w:abstractNumId w:val="31"/>
  </w:num>
  <w:num w:numId="26">
    <w:abstractNumId w:val="10"/>
  </w:num>
  <w:num w:numId="27">
    <w:abstractNumId w:val="5"/>
  </w:num>
  <w:num w:numId="28">
    <w:abstractNumId w:val="6"/>
  </w:num>
  <w:num w:numId="29">
    <w:abstractNumId w:val="32"/>
  </w:num>
  <w:num w:numId="30">
    <w:abstractNumId w:val="16"/>
  </w:num>
  <w:num w:numId="31">
    <w:abstractNumId w:val="19"/>
  </w:num>
  <w:num w:numId="32">
    <w:abstractNumId w:val="30"/>
  </w:num>
  <w:num w:numId="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1D3"/>
    <w:rsid w:val="00205D32"/>
    <w:rsid w:val="00382127"/>
    <w:rsid w:val="003A3656"/>
    <w:rsid w:val="004776D4"/>
    <w:rsid w:val="00491C6A"/>
    <w:rsid w:val="00862D83"/>
    <w:rsid w:val="00876A72"/>
    <w:rsid w:val="009617B6"/>
    <w:rsid w:val="009D01D3"/>
    <w:rsid w:val="00AA159E"/>
    <w:rsid w:val="00B11C1A"/>
    <w:rsid w:val="00CF7F57"/>
    <w:rsid w:val="00D630E1"/>
    <w:rsid w:val="00E0127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C0870"/>
  <w15:chartTrackingRefBased/>
  <w15:docId w15:val="{C920800B-F381-42AB-9D19-804E58F55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D01D3"/>
    <w:rPr>
      <w:rFonts w:eastAsiaTheme="minorEastAsia"/>
      <w:lang w:eastAsia="zh-CN"/>
    </w:rPr>
  </w:style>
  <w:style w:type="paragraph" w:styleId="Heading1">
    <w:name w:val="heading 1"/>
    <w:basedOn w:val="Normal"/>
    <w:next w:val="Normal"/>
    <w:link w:val="Heading1Char"/>
    <w:uiPriority w:val="9"/>
    <w:qFormat/>
    <w:rsid w:val="009D01D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D01D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D01D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9D01D3"/>
    <w:pPr>
      <w:keepNext/>
      <w:keepLines/>
      <w:spacing w:before="40" w:after="0"/>
      <w:outlineLvl w:val="3"/>
    </w:pPr>
    <w:rPr>
      <w:rFonts w:asciiTheme="majorHAnsi" w:eastAsiaTheme="majorEastAsia" w:hAnsiTheme="majorHAnsi" w:cstheme="majorBidi"/>
      <w:i/>
      <w:iCs/>
      <w:color w:val="2F5496" w:themeColor="accent1" w:themeShade="BF"/>
      <w:lang w:eastAsia="en-US"/>
    </w:rPr>
  </w:style>
  <w:style w:type="paragraph" w:styleId="Heading5">
    <w:name w:val="heading 5"/>
    <w:basedOn w:val="Normal"/>
    <w:next w:val="Normal"/>
    <w:link w:val="Heading5Char"/>
    <w:uiPriority w:val="9"/>
    <w:unhideWhenUsed/>
    <w:qFormat/>
    <w:rsid w:val="009D01D3"/>
    <w:pPr>
      <w:keepNext/>
      <w:keepLines/>
      <w:spacing w:before="40" w:after="0"/>
      <w:outlineLvl w:val="4"/>
    </w:pPr>
    <w:rPr>
      <w:rFonts w:asciiTheme="majorHAnsi" w:eastAsiaTheme="majorEastAsia" w:hAnsiTheme="majorHAnsi" w:cstheme="majorBidi"/>
      <w:color w:val="2F5496" w:themeColor="accent1" w:themeShade="BF"/>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01D3"/>
    <w:rPr>
      <w:rFonts w:asciiTheme="majorHAnsi" w:eastAsiaTheme="majorEastAsia" w:hAnsiTheme="majorHAnsi" w:cstheme="majorBidi"/>
      <w:color w:val="2F5496" w:themeColor="accent1" w:themeShade="BF"/>
      <w:sz w:val="32"/>
      <w:szCs w:val="32"/>
      <w:lang w:eastAsia="zh-CN"/>
    </w:rPr>
  </w:style>
  <w:style w:type="paragraph" w:styleId="Subtitle">
    <w:name w:val="Subtitle"/>
    <w:basedOn w:val="Normal"/>
    <w:next w:val="Normal"/>
    <w:link w:val="SubtitleChar"/>
    <w:uiPriority w:val="11"/>
    <w:qFormat/>
    <w:rsid w:val="009D01D3"/>
    <w:pPr>
      <w:numPr>
        <w:ilvl w:val="1"/>
      </w:numPr>
    </w:pPr>
    <w:rPr>
      <w:color w:val="5A5A5A" w:themeColor="text1" w:themeTint="A5"/>
      <w:spacing w:val="15"/>
      <w:lang w:eastAsia="en-US"/>
    </w:rPr>
  </w:style>
  <w:style w:type="character" w:customStyle="1" w:styleId="SubtitleChar">
    <w:name w:val="Subtitle Char"/>
    <w:basedOn w:val="DefaultParagraphFont"/>
    <w:link w:val="Subtitle"/>
    <w:uiPriority w:val="11"/>
    <w:rsid w:val="009D01D3"/>
    <w:rPr>
      <w:rFonts w:eastAsiaTheme="minorEastAsia"/>
      <w:color w:val="5A5A5A" w:themeColor="text1" w:themeTint="A5"/>
      <w:spacing w:val="15"/>
    </w:rPr>
  </w:style>
  <w:style w:type="character" w:customStyle="1" w:styleId="Heading2Char">
    <w:name w:val="Heading 2 Char"/>
    <w:basedOn w:val="DefaultParagraphFont"/>
    <w:link w:val="Heading2"/>
    <w:uiPriority w:val="9"/>
    <w:rsid w:val="009D01D3"/>
    <w:rPr>
      <w:rFonts w:asciiTheme="majorHAnsi" w:eastAsiaTheme="majorEastAsia" w:hAnsiTheme="majorHAnsi" w:cstheme="majorBidi"/>
      <w:color w:val="2F5496" w:themeColor="accent1" w:themeShade="BF"/>
      <w:sz w:val="26"/>
      <w:szCs w:val="26"/>
      <w:lang w:eastAsia="zh-CN"/>
    </w:rPr>
  </w:style>
  <w:style w:type="character" w:customStyle="1" w:styleId="Heading3Char">
    <w:name w:val="Heading 3 Char"/>
    <w:basedOn w:val="DefaultParagraphFont"/>
    <w:link w:val="Heading3"/>
    <w:uiPriority w:val="9"/>
    <w:rsid w:val="009D01D3"/>
    <w:rPr>
      <w:rFonts w:asciiTheme="majorHAnsi" w:eastAsiaTheme="majorEastAsia" w:hAnsiTheme="majorHAnsi" w:cstheme="majorBidi"/>
      <w:color w:val="1F3763" w:themeColor="accent1" w:themeShade="7F"/>
      <w:sz w:val="24"/>
      <w:szCs w:val="24"/>
      <w:lang w:eastAsia="zh-CN"/>
    </w:rPr>
  </w:style>
  <w:style w:type="character" w:customStyle="1" w:styleId="Heading4Char">
    <w:name w:val="Heading 4 Char"/>
    <w:basedOn w:val="DefaultParagraphFont"/>
    <w:link w:val="Heading4"/>
    <w:uiPriority w:val="9"/>
    <w:rsid w:val="009D01D3"/>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9D01D3"/>
    <w:rPr>
      <w:rFonts w:asciiTheme="majorHAnsi" w:eastAsiaTheme="majorEastAsia" w:hAnsiTheme="majorHAnsi" w:cstheme="majorBidi"/>
      <w:color w:val="2F5496" w:themeColor="accent1" w:themeShade="BF"/>
    </w:rPr>
  </w:style>
  <w:style w:type="character" w:styleId="Hyperlink">
    <w:name w:val="Hyperlink"/>
    <w:basedOn w:val="DefaultParagraphFont"/>
    <w:uiPriority w:val="99"/>
    <w:unhideWhenUsed/>
    <w:rsid w:val="009D01D3"/>
    <w:rPr>
      <w:color w:val="0000FF"/>
      <w:u w:val="single"/>
    </w:rPr>
  </w:style>
  <w:style w:type="character" w:styleId="FollowedHyperlink">
    <w:name w:val="FollowedHyperlink"/>
    <w:basedOn w:val="DefaultParagraphFont"/>
    <w:uiPriority w:val="99"/>
    <w:semiHidden/>
    <w:unhideWhenUsed/>
    <w:rsid w:val="009D01D3"/>
    <w:rPr>
      <w:color w:val="800080"/>
      <w:u w:val="single"/>
    </w:rPr>
  </w:style>
  <w:style w:type="character" w:customStyle="1" w:styleId="hidden-message">
    <w:name w:val="hidden-message"/>
    <w:basedOn w:val="DefaultParagraphFont"/>
    <w:rsid w:val="009D01D3"/>
  </w:style>
  <w:style w:type="character" w:customStyle="1" w:styleId="drop-menu-container">
    <w:name w:val="drop-menu-container"/>
    <w:basedOn w:val="DefaultParagraphFont"/>
    <w:rsid w:val="009D01D3"/>
  </w:style>
  <w:style w:type="character" w:customStyle="1" w:styleId="drop-menu-arrow">
    <w:name w:val="drop-menu-arrow"/>
    <w:basedOn w:val="DefaultParagraphFont"/>
    <w:rsid w:val="009D01D3"/>
  </w:style>
  <w:style w:type="paragraph" w:styleId="z-TopofForm">
    <w:name w:val="HTML Top of Form"/>
    <w:basedOn w:val="Normal"/>
    <w:next w:val="Normal"/>
    <w:link w:val="z-TopofFormChar"/>
    <w:hidden/>
    <w:uiPriority w:val="99"/>
    <w:semiHidden/>
    <w:unhideWhenUsed/>
    <w:rsid w:val="009D01D3"/>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9D01D3"/>
    <w:rPr>
      <w:rFonts w:ascii="Arial" w:eastAsia="Times New Roman" w:hAnsi="Arial" w:cs="Arial"/>
      <w:vanish/>
      <w:sz w:val="16"/>
      <w:szCs w:val="16"/>
      <w:lang w:eastAsia="zh-CN"/>
    </w:rPr>
  </w:style>
  <w:style w:type="character" w:customStyle="1" w:styleId="msp-create-rss-popup-label">
    <w:name w:val="msp-create-rss-popup-label"/>
    <w:basedOn w:val="DefaultParagraphFont"/>
    <w:rsid w:val="009D01D3"/>
  </w:style>
  <w:style w:type="character" w:customStyle="1" w:styleId="msp-create-rss-popup-value">
    <w:name w:val="msp-create-rss-popup-value"/>
    <w:basedOn w:val="DefaultParagraphFont"/>
    <w:rsid w:val="009D01D3"/>
  </w:style>
  <w:style w:type="paragraph" w:styleId="z-BottomofForm">
    <w:name w:val="HTML Bottom of Form"/>
    <w:basedOn w:val="Normal"/>
    <w:next w:val="Normal"/>
    <w:link w:val="z-BottomofFormChar"/>
    <w:hidden/>
    <w:uiPriority w:val="99"/>
    <w:semiHidden/>
    <w:unhideWhenUsed/>
    <w:rsid w:val="009D01D3"/>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9D01D3"/>
    <w:rPr>
      <w:rFonts w:ascii="Arial" w:eastAsia="Times New Roman" w:hAnsi="Arial" w:cs="Arial"/>
      <w:vanish/>
      <w:sz w:val="16"/>
      <w:szCs w:val="16"/>
      <w:lang w:eastAsia="zh-CN"/>
    </w:rPr>
  </w:style>
  <w:style w:type="paragraph" w:styleId="Title">
    <w:name w:val="Title"/>
    <w:basedOn w:val="Normal"/>
    <w:next w:val="Normal"/>
    <w:link w:val="TitleChar"/>
    <w:uiPriority w:val="10"/>
    <w:qFormat/>
    <w:rsid w:val="009D01D3"/>
    <w:pPr>
      <w:spacing w:after="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9D01D3"/>
    <w:rPr>
      <w:rFonts w:asciiTheme="majorHAnsi" w:eastAsiaTheme="majorEastAsia" w:hAnsiTheme="majorHAnsi" w:cstheme="majorBidi"/>
      <w:spacing w:val="-10"/>
      <w:kern w:val="28"/>
      <w:sz w:val="56"/>
      <w:szCs w:val="56"/>
    </w:rPr>
  </w:style>
  <w:style w:type="character" w:customStyle="1" w:styleId="UnresolvedMention1">
    <w:name w:val="Unresolved Mention1"/>
    <w:basedOn w:val="DefaultParagraphFont"/>
    <w:uiPriority w:val="99"/>
    <w:semiHidden/>
    <w:unhideWhenUsed/>
    <w:rsid w:val="009D01D3"/>
    <w:rPr>
      <w:color w:val="808080"/>
      <w:shd w:val="clear" w:color="auto" w:fill="E6E6E6"/>
    </w:rPr>
  </w:style>
  <w:style w:type="paragraph" w:customStyle="1" w:styleId="msonormal0">
    <w:name w:val="msonormal"/>
    <w:basedOn w:val="Normal"/>
    <w:rsid w:val="009D01D3"/>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BalloonText">
    <w:name w:val="Balloon Text"/>
    <w:basedOn w:val="Normal"/>
    <w:link w:val="BalloonTextChar"/>
    <w:uiPriority w:val="99"/>
    <w:semiHidden/>
    <w:unhideWhenUsed/>
    <w:rsid w:val="009D01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01D3"/>
    <w:rPr>
      <w:rFonts w:ascii="Segoe UI" w:eastAsiaTheme="minorEastAsia" w:hAnsi="Segoe UI" w:cs="Segoe UI"/>
      <w:sz w:val="18"/>
      <w:szCs w:val="18"/>
      <w:lang w:eastAsia="zh-CN"/>
    </w:rPr>
  </w:style>
  <w:style w:type="paragraph" w:styleId="ListParagraph">
    <w:name w:val="List Paragraph"/>
    <w:basedOn w:val="Normal"/>
    <w:uiPriority w:val="34"/>
    <w:qFormat/>
    <w:rsid w:val="009D01D3"/>
    <w:pPr>
      <w:ind w:left="720"/>
      <w:contextualSpacing/>
    </w:pPr>
  </w:style>
  <w:style w:type="character" w:styleId="CommentReference">
    <w:name w:val="annotation reference"/>
    <w:basedOn w:val="DefaultParagraphFont"/>
    <w:uiPriority w:val="99"/>
    <w:semiHidden/>
    <w:unhideWhenUsed/>
    <w:rsid w:val="009D01D3"/>
    <w:rPr>
      <w:sz w:val="16"/>
      <w:szCs w:val="16"/>
    </w:rPr>
  </w:style>
  <w:style w:type="paragraph" w:styleId="CommentText">
    <w:name w:val="annotation text"/>
    <w:basedOn w:val="Normal"/>
    <w:link w:val="CommentTextChar"/>
    <w:uiPriority w:val="99"/>
    <w:unhideWhenUsed/>
    <w:rsid w:val="009D01D3"/>
    <w:pPr>
      <w:spacing w:line="240" w:lineRule="auto"/>
    </w:pPr>
    <w:rPr>
      <w:rFonts w:eastAsiaTheme="minorHAnsi"/>
      <w:sz w:val="20"/>
      <w:szCs w:val="20"/>
      <w:lang w:eastAsia="en-US"/>
    </w:rPr>
  </w:style>
  <w:style w:type="character" w:customStyle="1" w:styleId="CommentTextChar">
    <w:name w:val="Comment Text Char"/>
    <w:basedOn w:val="DefaultParagraphFont"/>
    <w:link w:val="CommentText"/>
    <w:uiPriority w:val="99"/>
    <w:rsid w:val="009D01D3"/>
    <w:rPr>
      <w:sz w:val="20"/>
      <w:szCs w:val="20"/>
    </w:rPr>
  </w:style>
  <w:style w:type="paragraph" w:styleId="CommentSubject">
    <w:name w:val="annotation subject"/>
    <w:basedOn w:val="CommentText"/>
    <w:next w:val="CommentText"/>
    <w:link w:val="CommentSubjectChar"/>
    <w:uiPriority w:val="99"/>
    <w:semiHidden/>
    <w:unhideWhenUsed/>
    <w:rsid w:val="009D01D3"/>
    <w:rPr>
      <w:b/>
      <w:bCs/>
    </w:rPr>
  </w:style>
  <w:style w:type="character" w:customStyle="1" w:styleId="CommentSubjectChar">
    <w:name w:val="Comment Subject Char"/>
    <w:basedOn w:val="CommentTextChar"/>
    <w:link w:val="CommentSubject"/>
    <w:uiPriority w:val="99"/>
    <w:semiHidden/>
    <w:rsid w:val="009D01D3"/>
    <w:rPr>
      <w:b/>
      <w:bCs/>
      <w:sz w:val="20"/>
      <w:szCs w:val="20"/>
    </w:rPr>
  </w:style>
  <w:style w:type="character" w:styleId="Strong">
    <w:name w:val="Strong"/>
    <w:basedOn w:val="DefaultParagraphFont"/>
    <w:uiPriority w:val="22"/>
    <w:qFormat/>
    <w:rsid w:val="009D01D3"/>
    <w:rPr>
      <w:rFonts w:cs="Times New Roman"/>
      <w:b/>
      <w:bCs/>
    </w:rPr>
  </w:style>
  <w:style w:type="paragraph" w:customStyle="1" w:styleId="ColorfulList-Accent11">
    <w:name w:val="Colorful List - Accent 11"/>
    <w:basedOn w:val="Normal"/>
    <w:uiPriority w:val="99"/>
    <w:qFormat/>
    <w:rsid w:val="009D01D3"/>
    <w:pPr>
      <w:spacing w:after="0" w:line="240" w:lineRule="auto"/>
      <w:ind w:left="720"/>
      <w:contextualSpacing/>
    </w:pPr>
    <w:rPr>
      <w:rFonts w:ascii="Times New Roman" w:eastAsia="Times New Roman" w:hAnsi="Times New Roman" w:cs="Times New Roman"/>
      <w:sz w:val="24"/>
      <w:szCs w:val="24"/>
      <w:lang w:val="en-US" w:eastAsia="en-US"/>
    </w:rPr>
  </w:style>
  <w:style w:type="paragraph" w:customStyle="1" w:styleId="EndNoteBibliography">
    <w:name w:val="EndNote Bibliography"/>
    <w:basedOn w:val="Normal"/>
    <w:link w:val="EndNoteBibliographyChar"/>
    <w:rsid w:val="009D01D3"/>
    <w:pPr>
      <w:spacing w:after="0" w:line="240" w:lineRule="auto"/>
    </w:pPr>
    <w:rPr>
      <w:rFonts w:ascii="Calibri" w:eastAsia="Times New Roman" w:hAnsi="Calibri" w:cs="Calibri"/>
      <w:lang w:val="en-US" w:eastAsia="en-US"/>
    </w:rPr>
  </w:style>
  <w:style w:type="character" w:customStyle="1" w:styleId="EndNoteBibliographyChar">
    <w:name w:val="EndNote Bibliography Char"/>
    <w:basedOn w:val="DefaultParagraphFont"/>
    <w:link w:val="EndNoteBibliography"/>
    <w:locked/>
    <w:rsid w:val="009D01D3"/>
    <w:rPr>
      <w:rFonts w:ascii="Calibri" w:eastAsia="Times New Roman" w:hAnsi="Calibri" w:cs="Calibri"/>
      <w:lang w:val="en-US"/>
    </w:rPr>
  </w:style>
  <w:style w:type="paragraph" w:styleId="Revision">
    <w:name w:val="Revision"/>
    <w:hidden/>
    <w:uiPriority w:val="99"/>
    <w:semiHidden/>
    <w:rsid w:val="009D01D3"/>
    <w:pPr>
      <w:spacing w:after="0" w:line="240" w:lineRule="auto"/>
    </w:pPr>
  </w:style>
  <w:style w:type="paragraph" w:styleId="Header">
    <w:name w:val="header"/>
    <w:basedOn w:val="Normal"/>
    <w:link w:val="HeaderChar"/>
    <w:uiPriority w:val="99"/>
    <w:unhideWhenUsed/>
    <w:rsid w:val="009D01D3"/>
    <w:pPr>
      <w:tabs>
        <w:tab w:val="center" w:pos="4513"/>
        <w:tab w:val="right" w:pos="9026"/>
      </w:tabs>
      <w:spacing w:after="0" w:line="240" w:lineRule="auto"/>
    </w:pPr>
    <w:rPr>
      <w:rFonts w:eastAsiaTheme="minorHAnsi"/>
      <w:lang w:eastAsia="en-US"/>
    </w:rPr>
  </w:style>
  <w:style w:type="character" w:customStyle="1" w:styleId="HeaderChar">
    <w:name w:val="Header Char"/>
    <w:basedOn w:val="DefaultParagraphFont"/>
    <w:link w:val="Header"/>
    <w:uiPriority w:val="99"/>
    <w:rsid w:val="009D01D3"/>
  </w:style>
  <w:style w:type="paragraph" w:styleId="Footer">
    <w:name w:val="footer"/>
    <w:basedOn w:val="Normal"/>
    <w:link w:val="FooterChar"/>
    <w:uiPriority w:val="99"/>
    <w:unhideWhenUsed/>
    <w:rsid w:val="009D01D3"/>
    <w:pPr>
      <w:tabs>
        <w:tab w:val="center" w:pos="4513"/>
        <w:tab w:val="right" w:pos="9026"/>
      </w:tabs>
      <w:spacing w:after="0" w:line="240" w:lineRule="auto"/>
    </w:pPr>
    <w:rPr>
      <w:rFonts w:eastAsiaTheme="minorHAnsi"/>
      <w:lang w:eastAsia="en-US"/>
    </w:rPr>
  </w:style>
  <w:style w:type="character" w:customStyle="1" w:styleId="FooterChar">
    <w:name w:val="Footer Char"/>
    <w:basedOn w:val="DefaultParagraphFont"/>
    <w:link w:val="Footer"/>
    <w:uiPriority w:val="99"/>
    <w:rsid w:val="009D01D3"/>
  </w:style>
  <w:style w:type="paragraph" w:customStyle="1" w:styleId="EndNoteBibliographyTitle">
    <w:name w:val="EndNote Bibliography Title"/>
    <w:basedOn w:val="Normal"/>
    <w:link w:val="EndNoteBibliographyTitleChar"/>
    <w:rsid w:val="009D01D3"/>
    <w:pPr>
      <w:spacing w:after="0"/>
      <w:jc w:val="center"/>
    </w:pPr>
    <w:rPr>
      <w:rFonts w:ascii="Calibri" w:eastAsiaTheme="minorHAnsi" w:hAnsi="Calibri" w:cs="Calibri"/>
      <w:noProof/>
      <w:lang w:val="en-US" w:eastAsia="en-US"/>
    </w:rPr>
  </w:style>
  <w:style w:type="character" w:customStyle="1" w:styleId="EndNoteBibliographyTitleChar">
    <w:name w:val="EndNote Bibliography Title Char"/>
    <w:basedOn w:val="DefaultParagraphFont"/>
    <w:link w:val="EndNoteBibliographyTitle"/>
    <w:rsid w:val="009D01D3"/>
    <w:rPr>
      <w:rFonts w:ascii="Calibri" w:hAnsi="Calibri" w:cs="Calibri"/>
      <w:noProof/>
      <w:lang w:val="en-US"/>
    </w:rPr>
  </w:style>
  <w:style w:type="table" w:styleId="TableGrid">
    <w:name w:val="Table Grid"/>
    <w:basedOn w:val="TableNormal"/>
    <w:uiPriority w:val="39"/>
    <w:rsid w:val="009D01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D01D3"/>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9D01D3"/>
    <w:rPr>
      <w:rFonts w:eastAsiaTheme="minorEastAsia"/>
      <w:lang w:val="en-US"/>
    </w:rPr>
  </w:style>
  <w:style w:type="character" w:styleId="PlaceholderText">
    <w:name w:val="Placeholder Text"/>
    <w:basedOn w:val="DefaultParagraphFont"/>
    <w:uiPriority w:val="99"/>
    <w:semiHidden/>
    <w:rsid w:val="009D01D3"/>
    <w:rPr>
      <w:color w:val="808080"/>
    </w:rPr>
  </w:style>
  <w:style w:type="character" w:styleId="SubtleEmphasis">
    <w:name w:val="Subtle Emphasis"/>
    <w:basedOn w:val="DefaultParagraphFont"/>
    <w:uiPriority w:val="19"/>
    <w:qFormat/>
    <w:rsid w:val="009D01D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CDD2AA-A523-45AA-9F8E-29CF34431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22</Pages>
  <Words>52754</Words>
  <Characters>300703</Characters>
  <Application>Microsoft Office Word</Application>
  <DocSecurity>0</DocSecurity>
  <Lines>2505</Lines>
  <Paragraphs>705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Neal Smith</dc:creator>
  <cp:keywords/>
  <dc:description/>
  <cp:lastModifiedBy>Neal Smith</cp:lastModifiedBy>
  <cp:revision>3</cp:revision>
  <dcterms:created xsi:type="dcterms:W3CDTF">2018-07-27T03:09:00Z</dcterms:created>
  <dcterms:modified xsi:type="dcterms:W3CDTF">2018-07-30T07:01:00Z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0b756574-276f-30ba-beb9-aba1ad9e596b</vt:lpwstr>
  </property>
  <property fmtid="{D5CDD505-2E9C-101B-9397-08002B2CF9AE}" pid="4" name="Mendeley Citation Style_1">
    <vt:lpwstr>http://www.zotero.org/styles/vancouver</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http://www.zotero.org/styles/vancouver</vt:lpwstr>
  </property>
  <property fmtid="{D5CDD505-2E9C-101B-9397-08002B2CF9AE}" pid="22" name="Mendeley Recent Style Name 8_1">
    <vt:lpwstr>Vancouver</vt:lpwstr>
  </property>
  <property fmtid="{D5CDD505-2E9C-101B-9397-08002B2CF9AE}" pid="23" name="Mendeley Recent Style Id 9_1">
    <vt:lpwstr>http://csl.mendeley.com/styles/495390601/vancouver-NS-PRSB</vt:lpwstr>
  </property>
  <property fmtid="{D5CDD505-2E9C-101B-9397-08002B2CF9AE}" pid="24" name="Mendeley Recent Style Name 9_1">
    <vt:lpwstr>Vancouver - Neal Smith</vt:lpwstr>
  </property>
</Properties>
</file>