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752" w:rsidRPr="00912383" w:rsidRDefault="00B20752" w:rsidP="00B20752">
      <w:pPr>
        <w:pStyle w:val="Heading1"/>
      </w:pPr>
      <w:r>
        <w:rPr>
          <w:lang w:val="en"/>
        </w:rPr>
        <w:t xml:space="preserve">Additional Information - </w:t>
      </w:r>
      <w:r w:rsidRPr="00912383">
        <w:t>Agent-Based Models of Malaria Transmission: A Systematic Review</w:t>
      </w:r>
    </w:p>
    <w:p w:rsidR="00B20752" w:rsidRPr="00912383" w:rsidRDefault="00B20752" w:rsidP="00B20752">
      <w:pPr>
        <w:pStyle w:val="Subtitle"/>
        <w:rPr>
          <w:rFonts w:eastAsia="Times New Roman"/>
        </w:rPr>
      </w:pPr>
      <w:r w:rsidRPr="00912383">
        <w:rPr>
          <w:rFonts w:eastAsia="Times New Roman"/>
        </w:rPr>
        <w:t>Smith, Neal R.</w:t>
      </w:r>
      <w:r>
        <w:rPr>
          <w:rFonts w:eastAsia="Times New Roman"/>
        </w:rPr>
        <w:t>;</w:t>
      </w:r>
      <w:r w:rsidRPr="00912383">
        <w:rPr>
          <w:rFonts w:eastAsia="Times New Roman"/>
        </w:rPr>
        <w:t xml:space="preserve"> </w:t>
      </w:r>
      <w:proofErr w:type="spellStart"/>
      <w:r w:rsidRPr="00912383">
        <w:rPr>
          <w:rFonts w:eastAsia="Times New Roman"/>
        </w:rPr>
        <w:t>Trauer</w:t>
      </w:r>
      <w:proofErr w:type="spellEnd"/>
      <w:r w:rsidRPr="00912383">
        <w:rPr>
          <w:rFonts w:eastAsia="Times New Roman"/>
        </w:rPr>
        <w:t>, James M.;</w:t>
      </w:r>
      <w:r>
        <w:rPr>
          <w:rFonts w:eastAsia="Times New Roman"/>
        </w:rPr>
        <w:t xml:space="preserve"> </w:t>
      </w:r>
      <w:r w:rsidRPr="00912383">
        <w:rPr>
          <w:rFonts w:eastAsia="Times New Roman"/>
        </w:rPr>
        <w:t xml:space="preserve">Gambhir, </w:t>
      </w:r>
      <w:proofErr w:type="spellStart"/>
      <w:r w:rsidRPr="00912383">
        <w:rPr>
          <w:rFonts w:eastAsia="Times New Roman"/>
        </w:rPr>
        <w:t>Manoj</w:t>
      </w:r>
      <w:proofErr w:type="spellEnd"/>
      <w:r w:rsidRPr="00912383">
        <w:rPr>
          <w:rFonts w:eastAsia="Times New Roman"/>
        </w:rPr>
        <w:t xml:space="preserve">; Richards, </w:t>
      </w:r>
      <w:r>
        <w:rPr>
          <w:rFonts w:eastAsia="Times New Roman"/>
        </w:rPr>
        <w:t xml:space="preserve">Jack </w:t>
      </w:r>
      <w:r w:rsidRPr="00912383">
        <w:rPr>
          <w:rFonts w:eastAsia="Times New Roman"/>
        </w:rPr>
        <w:t xml:space="preserve">S.; Maude, Richard J.; Keith, Jonathan M.; </w:t>
      </w:r>
      <w:proofErr w:type="spellStart"/>
      <w:r w:rsidRPr="00912383">
        <w:rPr>
          <w:rFonts w:eastAsia="Times New Roman"/>
        </w:rPr>
        <w:t>Flegg</w:t>
      </w:r>
      <w:proofErr w:type="spellEnd"/>
      <w:r w:rsidRPr="00912383">
        <w:rPr>
          <w:rFonts w:eastAsia="Times New Roman"/>
        </w:rPr>
        <w:t>, Jennifer A</w:t>
      </w:r>
      <w:r>
        <w:rPr>
          <w:rFonts w:eastAsia="Times New Roman"/>
        </w:rPr>
        <w:t>.</w:t>
      </w:r>
    </w:p>
    <w:p w:rsidR="00B20752" w:rsidRDefault="00B20752" w:rsidP="00B20752">
      <w:pPr>
        <w:pStyle w:val="Heading2"/>
      </w:pPr>
      <w:r>
        <w:t>Additional File 4: Overview of elements of spatial models.</w:t>
      </w:r>
    </w:p>
    <w:p w:rsidR="00B20752" w:rsidRPr="00DC59E7" w:rsidRDefault="00B20752" w:rsidP="00B20752">
      <w:pPr>
        <w:pStyle w:val="Heading3"/>
        <w:jc w:val="both"/>
        <w:rPr>
          <w:color w:val="1F4D78"/>
        </w:rPr>
      </w:pPr>
      <w:r w:rsidRPr="00817FAB">
        <w:t xml:space="preserve">*Model does not provide explicit spatial </w:t>
      </w:r>
      <w:proofErr w:type="gramStart"/>
      <w:r w:rsidRPr="00817FAB">
        <w:t>locations, but</w:t>
      </w:r>
      <w:proofErr w:type="gramEnd"/>
      <w:r w:rsidRPr="00817FAB">
        <w:t xml:space="preserve"> has the capacity and structure for spatial mapping.</w:t>
      </w:r>
      <w:r>
        <w:t xml:space="preserve"> </w:t>
      </w:r>
      <w:r w:rsidRPr="00817FAB">
        <w:t>**Grid c</w:t>
      </w:r>
      <w:r>
        <w:t xml:space="preserve">ell size environment-dependant. </w:t>
      </w:r>
      <w:r w:rsidRPr="00817FAB">
        <w:t>†Estimated or taken from previous study.</w:t>
      </w:r>
      <w:r>
        <w:t xml:space="preserve"> </w:t>
      </w:r>
      <w:r w:rsidRPr="00817FAB">
        <w:rPr>
          <w:color w:val="1F4D78"/>
        </w:rPr>
        <w:t>‡No grid size provided (30 x 30 cell region).</w:t>
      </w:r>
      <w:r>
        <w:rPr>
          <w:color w:val="1F4D78"/>
        </w:rPr>
        <w:t xml:space="preserve"> Definitions: </w:t>
      </w:r>
      <w:r w:rsidRPr="00817FAB">
        <w:rPr>
          <w:i/>
          <w:iCs/>
          <w:color w:val="1F4D78"/>
        </w:rPr>
        <w:t>reflecting boundaries</w:t>
      </w:r>
      <w:r>
        <w:rPr>
          <w:color w:val="1F4D78"/>
        </w:rPr>
        <w:t xml:space="preserve"> -</w:t>
      </w:r>
      <w:r w:rsidRPr="00817FAB">
        <w:rPr>
          <w:color w:val="1F4D78"/>
        </w:rPr>
        <w:t xml:space="preserve"> agents </w:t>
      </w:r>
      <w:proofErr w:type="gramStart"/>
      <w:r>
        <w:rPr>
          <w:color w:val="1F4D78"/>
        </w:rPr>
        <w:t>reflected back</w:t>
      </w:r>
      <w:proofErr w:type="gramEnd"/>
      <w:r>
        <w:rPr>
          <w:color w:val="1F4D78"/>
        </w:rPr>
        <w:t xml:space="preserve"> into study area upon reaching boundary</w:t>
      </w:r>
      <w:r w:rsidRPr="00817FAB">
        <w:rPr>
          <w:color w:val="1F4D78"/>
        </w:rPr>
        <w:t>.</w:t>
      </w:r>
      <w:r>
        <w:rPr>
          <w:color w:val="1F4D78"/>
        </w:rPr>
        <w:t xml:space="preserve"> </w:t>
      </w:r>
      <w:r w:rsidRPr="00817FAB">
        <w:rPr>
          <w:i/>
          <w:iCs/>
          <w:color w:val="1F4D78"/>
        </w:rPr>
        <w:t>Non-absorbing boundaries</w:t>
      </w:r>
      <w:r>
        <w:rPr>
          <w:color w:val="1F4D78"/>
        </w:rPr>
        <w:t xml:space="preserve"> – agents re-enter study on directly opposite edge upon reaching boundary. </w:t>
      </w:r>
      <w:r>
        <w:rPr>
          <w:rFonts w:ascii="Calibri" w:eastAsia="Times New Roman" w:hAnsi="Calibri" w:cs="Calibri"/>
          <w:b/>
          <w:bCs/>
          <w:color w:val="000000"/>
          <w:vertAlign w:val="superscript"/>
        </w:rPr>
        <w:t>•</w:t>
      </w:r>
      <w:r>
        <w:rPr>
          <w:rFonts w:ascii="Calibri" w:eastAsia="Times New Roman" w:hAnsi="Calibri" w:cs="Calibri"/>
          <w:b/>
          <w:bCs/>
          <w:color w:val="000000"/>
        </w:rPr>
        <w:t xml:space="preserve"> </w:t>
      </w:r>
      <w:r w:rsidRPr="00C45088">
        <w:rPr>
          <w:rFonts w:ascii="Calibri" w:eastAsia="Times New Roman" w:hAnsi="Calibri" w:cs="Calibri"/>
          <w:i/>
          <w:iCs/>
          <w:color w:val="000000"/>
        </w:rPr>
        <w:t>Location type:</w:t>
      </w:r>
      <w:r>
        <w:rPr>
          <w:rFonts w:ascii="Calibri" w:eastAsia="Times New Roman" w:hAnsi="Calibri" w:cs="Calibri"/>
          <w:i/>
          <w:iCs/>
          <w:color w:val="000000"/>
        </w:rPr>
        <w:t xml:space="preserve"> </w:t>
      </w:r>
      <w:r>
        <w:rPr>
          <w:rFonts w:ascii="Calibri" w:eastAsia="Times New Roman" w:hAnsi="Calibri" w:cs="Calibri"/>
          <w:color w:val="000000"/>
        </w:rPr>
        <w:t>R – real location, mapped out using spatial techniques. T – spatial location representing a theoretical location (e.g. a typical village structure in a defined location). H – hypothetical location bearing no specific resemblance to a physical location.</w:t>
      </w:r>
    </w:p>
    <w:p w:rsidR="00B20752" w:rsidRPr="00817FAB" w:rsidRDefault="00B20752" w:rsidP="00B20752"/>
    <w:tbl>
      <w:tblPr>
        <w:tblW w:w="5000" w:type="pct"/>
        <w:tblLayout w:type="fixed"/>
        <w:tblCellMar>
          <w:top w:w="57" w:type="dxa"/>
          <w:left w:w="57" w:type="dxa"/>
          <w:bottom w:w="57" w:type="dxa"/>
          <w:right w:w="57" w:type="dxa"/>
        </w:tblCellMar>
        <w:tblLook w:val="04A0" w:firstRow="1" w:lastRow="0" w:firstColumn="1" w:lastColumn="0" w:noHBand="0" w:noVBand="1"/>
      </w:tblPr>
      <w:tblGrid>
        <w:gridCol w:w="849"/>
        <w:gridCol w:w="995"/>
        <w:gridCol w:w="1764"/>
        <w:gridCol w:w="852"/>
        <w:gridCol w:w="1778"/>
        <w:gridCol w:w="558"/>
        <w:gridCol w:w="558"/>
        <w:gridCol w:w="558"/>
        <w:gridCol w:w="558"/>
        <w:gridCol w:w="556"/>
      </w:tblGrid>
      <w:tr w:rsidR="001878AC" w:rsidRPr="00817FAB" w:rsidTr="001878AC">
        <w:trPr>
          <w:trHeight w:val="690"/>
        </w:trPr>
        <w:tc>
          <w:tcPr>
            <w:tcW w:w="1021" w:type="pct"/>
            <w:gridSpan w:val="2"/>
            <w:tcBorders>
              <w:top w:val="nil"/>
              <w:left w:val="nil"/>
              <w:bottom w:val="nil"/>
              <w:right w:val="single" w:sz="12" w:space="0" w:color="000000"/>
            </w:tcBorders>
            <w:shd w:val="clear" w:color="auto" w:fill="auto"/>
            <w:vAlign w:val="bottom"/>
            <w:hideMark/>
          </w:tcPr>
          <w:p w:rsidR="001878AC" w:rsidRPr="00817FAB" w:rsidRDefault="001878AC" w:rsidP="007B6068">
            <w:pPr>
              <w:spacing w:after="0" w:line="240" w:lineRule="auto"/>
              <w:jc w:val="center"/>
              <w:rPr>
                <w:rFonts w:ascii="Calibri" w:eastAsia="Times New Roman" w:hAnsi="Calibri" w:cs="Times New Roman"/>
                <w:b/>
                <w:bCs/>
                <w:color w:val="000000"/>
              </w:rPr>
            </w:pPr>
            <w:r w:rsidRPr="00817FAB">
              <w:rPr>
                <w:rFonts w:ascii="Calibri" w:eastAsia="Times New Roman" w:hAnsi="Calibri" w:cs="Times New Roman"/>
                <w:b/>
                <w:bCs/>
                <w:color w:val="000000"/>
              </w:rPr>
              <w:t>Model</w:t>
            </w:r>
          </w:p>
        </w:tc>
        <w:tc>
          <w:tcPr>
            <w:tcW w:w="977" w:type="pct"/>
            <w:vMerge w:val="restart"/>
            <w:tcBorders>
              <w:top w:val="nil"/>
              <w:left w:val="single" w:sz="12" w:space="0" w:color="auto"/>
              <w:bottom w:val="single" w:sz="12" w:space="0" w:color="000000"/>
              <w:right w:val="nil"/>
            </w:tcBorders>
            <w:shd w:val="clear" w:color="auto" w:fill="auto"/>
            <w:vAlign w:val="bottom"/>
            <w:hideMark/>
          </w:tcPr>
          <w:p w:rsidR="001878AC" w:rsidRPr="00817FAB" w:rsidRDefault="001878AC" w:rsidP="007B6068">
            <w:pPr>
              <w:spacing w:after="0" w:line="240" w:lineRule="auto"/>
              <w:jc w:val="center"/>
              <w:rPr>
                <w:rFonts w:ascii="Calibri" w:eastAsia="Times New Roman" w:hAnsi="Calibri" w:cs="Times New Roman"/>
                <w:b/>
                <w:bCs/>
                <w:color w:val="000000"/>
              </w:rPr>
            </w:pPr>
            <w:r w:rsidRPr="00817FAB">
              <w:rPr>
                <w:rFonts w:ascii="Calibri" w:eastAsia="Times New Roman" w:hAnsi="Calibri" w:cs="Times New Roman"/>
                <w:b/>
                <w:bCs/>
                <w:color w:val="000000"/>
              </w:rPr>
              <w:t>Spatial Techniques</w:t>
            </w:r>
          </w:p>
        </w:tc>
        <w:tc>
          <w:tcPr>
            <w:tcW w:w="472" w:type="pct"/>
            <w:vMerge w:val="restart"/>
            <w:tcBorders>
              <w:top w:val="nil"/>
              <w:left w:val="nil"/>
              <w:bottom w:val="single" w:sz="12" w:space="0" w:color="000000"/>
              <w:right w:val="nil"/>
            </w:tcBorders>
            <w:shd w:val="clear" w:color="auto" w:fill="auto"/>
            <w:textDirection w:val="btLr"/>
            <w:vAlign w:val="center"/>
            <w:hideMark/>
          </w:tcPr>
          <w:p w:rsidR="001878AC" w:rsidRPr="00817FAB" w:rsidRDefault="001878AC" w:rsidP="007B6068">
            <w:pPr>
              <w:spacing w:after="0" w:line="240" w:lineRule="auto"/>
              <w:rPr>
                <w:rFonts w:ascii="Calibri" w:eastAsia="Times New Roman" w:hAnsi="Calibri" w:cs="Times New Roman"/>
                <w:b/>
                <w:bCs/>
                <w:color w:val="000000"/>
              </w:rPr>
            </w:pPr>
            <w:r w:rsidRPr="00817FAB">
              <w:rPr>
                <w:rFonts w:ascii="Calibri" w:eastAsia="Times New Roman" w:hAnsi="Calibri" w:cs="Times New Roman"/>
                <w:b/>
                <w:bCs/>
                <w:color w:val="000000"/>
              </w:rPr>
              <w:t xml:space="preserve">Area Modelled </w:t>
            </w:r>
          </w:p>
        </w:tc>
        <w:tc>
          <w:tcPr>
            <w:tcW w:w="985" w:type="pct"/>
            <w:vMerge w:val="restart"/>
            <w:tcBorders>
              <w:top w:val="nil"/>
              <w:left w:val="nil"/>
              <w:bottom w:val="single" w:sz="12" w:space="0" w:color="000000"/>
              <w:right w:val="nil"/>
            </w:tcBorders>
            <w:shd w:val="clear" w:color="auto" w:fill="auto"/>
            <w:textDirection w:val="btLr"/>
            <w:vAlign w:val="center"/>
            <w:hideMark/>
          </w:tcPr>
          <w:p w:rsidR="001878AC" w:rsidRPr="00817FAB" w:rsidRDefault="001878AC" w:rsidP="007B6068">
            <w:pPr>
              <w:spacing w:after="0" w:line="240" w:lineRule="auto"/>
              <w:rPr>
                <w:rFonts w:ascii="Calibri" w:eastAsia="Times New Roman" w:hAnsi="Calibri" w:cs="Times New Roman"/>
                <w:b/>
                <w:bCs/>
                <w:color w:val="000000"/>
              </w:rPr>
            </w:pPr>
            <w:r w:rsidRPr="00817FAB">
              <w:rPr>
                <w:rFonts w:ascii="Calibri" w:eastAsia="Times New Roman" w:hAnsi="Calibri" w:cs="Times New Roman"/>
                <w:b/>
                <w:bCs/>
                <w:color w:val="000000"/>
              </w:rPr>
              <w:t>Grid/Patch Size (m)</w:t>
            </w:r>
          </w:p>
        </w:tc>
        <w:tc>
          <w:tcPr>
            <w:tcW w:w="309" w:type="pct"/>
            <w:vMerge w:val="restart"/>
            <w:tcBorders>
              <w:top w:val="nil"/>
              <w:left w:val="nil"/>
              <w:bottom w:val="single" w:sz="12" w:space="0" w:color="000000"/>
              <w:right w:val="nil"/>
            </w:tcBorders>
            <w:shd w:val="clear" w:color="auto" w:fill="auto"/>
            <w:textDirection w:val="btLr"/>
            <w:vAlign w:val="center"/>
            <w:hideMark/>
          </w:tcPr>
          <w:p w:rsidR="001878AC" w:rsidRPr="00817FAB" w:rsidRDefault="001878AC" w:rsidP="007B6068">
            <w:pPr>
              <w:spacing w:after="0" w:line="240" w:lineRule="auto"/>
              <w:rPr>
                <w:rFonts w:ascii="Calibri" w:eastAsia="Times New Roman" w:hAnsi="Calibri" w:cs="Times New Roman"/>
                <w:b/>
                <w:bCs/>
                <w:color w:val="000000"/>
              </w:rPr>
            </w:pPr>
            <w:r w:rsidRPr="00817FAB">
              <w:rPr>
                <w:rFonts w:ascii="Calibri" w:eastAsia="Times New Roman" w:hAnsi="Calibri" w:cs="Times New Roman"/>
                <w:b/>
                <w:bCs/>
                <w:color w:val="000000"/>
              </w:rPr>
              <w:t>Moving Agents</w:t>
            </w:r>
          </w:p>
        </w:tc>
        <w:tc>
          <w:tcPr>
            <w:tcW w:w="309" w:type="pct"/>
            <w:vMerge w:val="restart"/>
            <w:tcBorders>
              <w:top w:val="nil"/>
              <w:left w:val="nil"/>
              <w:bottom w:val="single" w:sz="12" w:space="0" w:color="000000"/>
              <w:right w:val="nil"/>
            </w:tcBorders>
            <w:shd w:val="clear" w:color="auto" w:fill="auto"/>
            <w:textDirection w:val="btLr"/>
            <w:vAlign w:val="center"/>
            <w:hideMark/>
          </w:tcPr>
          <w:p w:rsidR="001878AC" w:rsidRPr="00817FAB" w:rsidRDefault="001878AC" w:rsidP="007B6068">
            <w:pPr>
              <w:spacing w:after="0" w:line="240" w:lineRule="auto"/>
              <w:jc w:val="both"/>
              <w:rPr>
                <w:rFonts w:ascii="Calibri" w:eastAsia="Times New Roman" w:hAnsi="Calibri" w:cs="Times New Roman"/>
                <w:b/>
                <w:bCs/>
                <w:color w:val="000000"/>
              </w:rPr>
            </w:pPr>
            <w:r w:rsidRPr="00817FAB">
              <w:rPr>
                <w:rFonts w:ascii="Calibri" w:eastAsia="Times New Roman" w:hAnsi="Calibri" w:cs="Times New Roman"/>
                <w:b/>
                <w:bCs/>
                <w:color w:val="000000"/>
              </w:rPr>
              <w:t>Spatial Interventions</w:t>
            </w:r>
          </w:p>
        </w:tc>
        <w:tc>
          <w:tcPr>
            <w:tcW w:w="309" w:type="pct"/>
            <w:vMerge w:val="restart"/>
            <w:tcBorders>
              <w:top w:val="nil"/>
              <w:left w:val="nil"/>
              <w:bottom w:val="single" w:sz="12" w:space="0" w:color="000000"/>
              <w:right w:val="nil"/>
            </w:tcBorders>
            <w:shd w:val="clear" w:color="auto" w:fill="auto"/>
            <w:textDirection w:val="btLr"/>
            <w:vAlign w:val="center"/>
            <w:hideMark/>
          </w:tcPr>
          <w:p w:rsidR="001878AC" w:rsidRPr="00817FAB" w:rsidRDefault="001878AC" w:rsidP="007B6068">
            <w:pPr>
              <w:spacing w:after="0" w:line="240" w:lineRule="auto"/>
              <w:jc w:val="both"/>
              <w:rPr>
                <w:rFonts w:ascii="Calibri" w:eastAsia="Times New Roman" w:hAnsi="Calibri" w:cs="Times New Roman"/>
                <w:b/>
                <w:bCs/>
                <w:color w:val="000000"/>
              </w:rPr>
            </w:pPr>
            <w:r w:rsidRPr="00817FAB">
              <w:rPr>
                <w:rFonts w:ascii="Calibri" w:eastAsia="Times New Roman" w:hAnsi="Calibri" w:cs="Times New Roman"/>
                <w:b/>
                <w:bCs/>
                <w:color w:val="000000"/>
              </w:rPr>
              <w:t>Environment</w:t>
            </w:r>
          </w:p>
        </w:tc>
        <w:tc>
          <w:tcPr>
            <w:tcW w:w="309" w:type="pct"/>
            <w:vMerge w:val="restart"/>
            <w:tcBorders>
              <w:top w:val="nil"/>
              <w:left w:val="nil"/>
              <w:right w:val="nil"/>
            </w:tcBorders>
            <w:textDirection w:val="btLr"/>
            <w:vAlign w:val="center"/>
          </w:tcPr>
          <w:p w:rsidR="001878AC" w:rsidRPr="00C45088" w:rsidRDefault="001878AC" w:rsidP="007B6068">
            <w:pPr>
              <w:spacing w:after="0" w:line="240" w:lineRule="auto"/>
              <w:rPr>
                <w:rFonts w:ascii="Calibri" w:eastAsia="Times New Roman" w:hAnsi="Calibri" w:cs="Times New Roman"/>
                <w:b/>
                <w:bCs/>
                <w:color w:val="000000"/>
                <w:vertAlign w:val="superscript"/>
              </w:rPr>
            </w:pPr>
            <w:r w:rsidRPr="00F45EC2">
              <w:rPr>
                <w:rFonts w:ascii="Calibri" w:eastAsia="Times New Roman" w:hAnsi="Calibri" w:cs="Times New Roman"/>
                <w:b/>
                <w:bCs/>
                <w:color w:val="000000"/>
              </w:rPr>
              <w:t>Location type</w:t>
            </w:r>
            <w:r w:rsidRPr="00F45EC2">
              <w:rPr>
                <w:rFonts w:ascii="Calibri" w:eastAsia="Times New Roman" w:hAnsi="Calibri" w:cs="Calibri"/>
                <w:b/>
                <w:bCs/>
                <w:color w:val="000000"/>
                <w:vertAlign w:val="superscript"/>
              </w:rPr>
              <w:t>•</w:t>
            </w:r>
          </w:p>
        </w:tc>
        <w:tc>
          <w:tcPr>
            <w:tcW w:w="308" w:type="pct"/>
            <w:vMerge w:val="restart"/>
            <w:tcBorders>
              <w:top w:val="nil"/>
              <w:left w:val="nil"/>
              <w:right w:val="nil"/>
            </w:tcBorders>
            <w:textDirection w:val="btLr"/>
            <w:vAlign w:val="center"/>
          </w:tcPr>
          <w:p w:rsidR="001878AC" w:rsidRPr="00F45EC2" w:rsidRDefault="001878AC" w:rsidP="001878AC">
            <w:pPr>
              <w:spacing w:after="0" w:line="240" w:lineRule="auto"/>
              <w:ind w:left="113" w:right="113"/>
              <w:rPr>
                <w:rFonts w:ascii="Calibri" w:eastAsia="Times New Roman" w:hAnsi="Calibri" w:cs="Times New Roman"/>
                <w:b/>
                <w:bCs/>
                <w:color w:val="000000"/>
              </w:rPr>
            </w:pPr>
            <w:r>
              <w:rPr>
                <w:rFonts w:ascii="Calibri" w:eastAsia="Times New Roman" w:hAnsi="Calibri" w:cs="Times New Roman"/>
                <w:b/>
                <w:bCs/>
                <w:color w:val="000000"/>
              </w:rPr>
              <w:t>Reference</w:t>
            </w:r>
          </w:p>
        </w:tc>
      </w:tr>
      <w:tr w:rsidR="001878AC" w:rsidRPr="00817FAB" w:rsidTr="001878AC">
        <w:trPr>
          <w:cantSplit/>
          <w:trHeight w:val="1134"/>
        </w:trPr>
        <w:tc>
          <w:tcPr>
            <w:tcW w:w="470" w:type="pct"/>
            <w:tcBorders>
              <w:top w:val="nil"/>
              <w:left w:val="nil"/>
              <w:bottom w:val="single" w:sz="12" w:space="0" w:color="auto"/>
              <w:right w:val="nil"/>
            </w:tcBorders>
            <w:shd w:val="clear" w:color="auto" w:fill="auto"/>
            <w:vAlign w:val="bottom"/>
            <w:hideMark/>
          </w:tcPr>
          <w:p w:rsidR="001878AC" w:rsidRPr="00817FAB" w:rsidRDefault="001878AC" w:rsidP="007B6068">
            <w:pPr>
              <w:spacing w:after="0" w:line="240" w:lineRule="auto"/>
              <w:rPr>
                <w:rFonts w:ascii="Calibri" w:eastAsia="Times New Roman" w:hAnsi="Calibri" w:cs="Times New Roman"/>
                <w:b/>
                <w:bCs/>
                <w:color w:val="000000"/>
              </w:rPr>
            </w:pPr>
            <w:r w:rsidRPr="00817FAB">
              <w:rPr>
                <w:rFonts w:ascii="Calibri" w:eastAsia="Times New Roman" w:hAnsi="Calibri" w:cs="Times New Roman"/>
                <w:b/>
                <w:bCs/>
                <w:color w:val="000000"/>
              </w:rPr>
              <w:t>Original</w:t>
            </w:r>
          </w:p>
        </w:tc>
        <w:tc>
          <w:tcPr>
            <w:tcW w:w="551" w:type="pct"/>
            <w:tcBorders>
              <w:top w:val="nil"/>
              <w:left w:val="nil"/>
              <w:bottom w:val="single" w:sz="12" w:space="0" w:color="auto"/>
              <w:right w:val="single" w:sz="12" w:space="0" w:color="auto"/>
            </w:tcBorders>
            <w:shd w:val="clear" w:color="auto" w:fill="auto"/>
            <w:vAlign w:val="bottom"/>
            <w:hideMark/>
          </w:tcPr>
          <w:p w:rsidR="001878AC" w:rsidRPr="00817FAB" w:rsidRDefault="001878AC" w:rsidP="007B6068">
            <w:pPr>
              <w:spacing w:after="0" w:line="240" w:lineRule="auto"/>
              <w:jc w:val="right"/>
              <w:rPr>
                <w:rFonts w:ascii="Calibri" w:eastAsia="Times New Roman" w:hAnsi="Calibri" w:cs="Times New Roman"/>
                <w:b/>
                <w:bCs/>
                <w:color w:val="000000"/>
              </w:rPr>
            </w:pPr>
            <w:r w:rsidRPr="00817FAB">
              <w:rPr>
                <w:rFonts w:ascii="Calibri" w:eastAsia="Times New Roman" w:hAnsi="Calibri" w:cs="Times New Roman"/>
                <w:b/>
                <w:bCs/>
                <w:color w:val="000000"/>
              </w:rPr>
              <w:t>Adapted</w:t>
            </w:r>
          </w:p>
        </w:tc>
        <w:tc>
          <w:tcPr>
            <w:tcW w:w="977" w:type="pct"/>
            <w:vMerge/>
            <w:tcBorders>
              <w:top w:val="nil"/>
              <w:left w:val="single" w:sz="12" w:space="0" w:color="auto"/>
              <w:bottom w:val="single" w:sz="12" w:space="0" w:color="000000"/>
              <w:right w:val="nil"/>
            </w:tcBorders>
            <w:vAlign w:val="center"/>
            <w:hideMark/>
          </w:tcPr>
          <w:p w:rsidR="001878AC" w:rsidRPr="00817FAB" w:rsidRDefault="001878AC" w:rsidP="007B6068">
            <w:pPr>
              <w:spacing w:after="0" w:line="240" w:lineRule="auto"/>
              <w:rPr>
                <w:rFonts w:ascii="Calibri" w:eastAsia="Times New Roman" w:hAnsi="Calibri" w:cs="Times New Roman"/>
                <w:b/>
                <w:bCs/>
                <w:color w:val="000000"/>
              </w:rPr>
            </w:pPr>
          </w:p>
        </w:tc>
        <w:tc>
          <w:tcPr>
            <w:tcW w:w="472" w:type="pct"/>
            <w:vMerge/>
            <w:tcBorders>
              <w:top w:val="nil"/>
              <w:left w:val="nil"/>
              <w:bottom w:val="single" w:sz="12" w:space="0" w:color="000000"/>
              <w:right w:val="nil"/>
            </w:tcBorders>
            <w:vAlign w:val="center"/>
            <w:hideMark/>
          </w:tcPr>
          <w:p w:rsidR="001878AC" w:rsidRPr="00817FAB" w:rsidRDefault="001878AC" w:rsidP="007B6068">
            <w:pPr>
              <w:spacing w:after="0" w:line="240" w:lineRule="auto"/>
              <w:rPr>
                <w:rFonts w:ascii="Calibri" w:eastAsia="Times New Roman" w:hAnsi="Calibri" w:cs="Times New Roman"/>
                <w:b/>
                <w:bCs/>
                <w:color w:val="000000"/>
              </w:rPr>
            </w:pPr>
          </w:p>
        </w:tc>
        <w:tc>
          <w:tcPr>
            <w:tcW w:w="985" w:type="pct"/>
            <w:vMerge/>
            <w:tcBorders>
              <w:top w:val="nil"/>
              <w:left w:val="nil"/>
              <w:bottom w:val="single" w:sz="12" w:space="0" w:color="000000"/>
              <w:right w:val="nil"/>
            </w:tcBorders>
            <w:vAlign w:val="center"/>
            <w:hideMark/>
          </w:tcPr>
          <w:p w:rsidR="001878AC" w:rsidRPr="00817FAB" w:rsidRDefault="001878AC" w:rsidP="007B6068">
            <w:pPr>
              <w:spacing w:after="0" w:line="240" w:lineRule="auto"/>
              <w:rPr>
                <w:rFonts w:ascii="Calibri" w:eastAsia="Times New Roman" w:hAnsi="Calibri" w:cs="Times New Roman"/>
                <w:b/>
                <w:bCs/>
                <w:color w:val="000000"/>
              </w:rPr>
            </w:pPr>
          </w:p>
        </w:tc>
        <w:tc>
          <w:tcPr>
            <w:tcW w:w="309" w:type="pct"/>
            <w:vMerge/>
            <w:tcBorders>
              <w:top w:val="nil"/>
              <w:left w:val="nil"/>
              <w:bottom w:val="single" w:sz="12" w:space="0" w:color="000000"/>
              <w:right w:val="nil"/>
            </w:tcBorders>
            <w:vAlign w:val="center"/>
            <w:hideMark/>
          </w:tcPr>
          <w:p w:rsidR="001878AC" w:rsidRPr="00817FAB" w:rsidRDefault="001878AC" w:rsidP="007B6068">
            <w:pPr>
              <w:spacing w:after="0" w:line="240" w:lineRule="auto"/>
              <w:rPr>
                <w:rFonts w:ascii="Calibri" w:eastAsia="Times New Roman" w:hAnsi="Calibri" w:cs="Times New Roman"/>
                <w:b/>
                <w:bCs/>
                <w:color w:val="000000"/>
              </w:rPr>
            </w:pPr>
          </w:p>
        </w:tc>
        <w:tc>
          <w:tcPr>
            <w:tcW w:w="309" w:type="pct"/>
            <w:vMerge/>
            <w:tcBorders>
              <w:top w:val="nil"/>
              <w:left w:val="nil"/>
              <w:bottom w:val="single" w:sz="12" w:space="0" w:color="000000"/>
              <w:right w:val="nil"/>
            </w:tcBorders>
            <w:vAlign w:val="center"/>
            <w:hideMark/>
          </w:tcPr>
          <w:p w:rsidR="001878AC" w:rsidRPr="00817FAB" w:rsidRDefault="001878AC" w:rsidP="007B6068">
            <w:pPr>
              <w:spacing w:after="0" w:line="240" w:lineRule="auto"/>
              <w:rPr>
                <w:rFonts w:ascii="Calibri" w:eastAsia="Times New Roman" w:hAnsi="Calibri" w:cs="Times New Roman"/>
                <w:b/>
                <w:bCs/>
                <w:color w:val="000000"/>
              </w:rPr>
            </w:pPr>
          </w:p>
        </w:tc>
        <w:tc>
          <w:tcPr>
            <w:tcW w:w="309" w:type="pct"/>
            <w:vMerge/>
            <w:tcBorders>
              <w:top w:val="nil"/>
              <w:left w:val="nil"/>
              <w:bottom w:val="single" w:sz="12" w:space="0" w:color="000000"/>
              <w:right w:val="nil"/>
            </w:tcBorders>
            <w:vAlign w:val="center"/>
            <w:hideMark/>
          </w:tcPr>
          <w:p w:rsidR="001878AC" w:rsidRPr="00817FAB" w:rsidRDefault="001878AC" w:rsidP="007B6068">
            <w:pPr>
              <w:spacing w:after="0" w:line="240" w:lineRule="auto"/>
              <w:rPr>
                <w:rFonts w:ascii="Calibri" w:eastAsia="Times New Roman" w:hAnsi="Calibri" w:cs="Times New Roman"/>
                <w:b/>
                <w:bCs/>
                <w:color w:val="000000"/>
              </w:rPr>
            </w:pPr>
          </w:p>
        </w:tc>
        <w:tc>
          <w:tcPr>
            <w:tcW w:w="309" w:type="pct"/>
            <w:vMerge/>
            <w:tcBorders>
              <w:left w:val="nil"/>
              <w:bottom w:val="single" w:sz="12" w:space="0" w:color="000000"/>
              <w:right w:val="nil"/>
            </w:tcBorders>
          </w:tcPr>
          <w:p w:rsidR="001878AC" w:rsidRPr="00C45088" w:rsidRDefault="001878AC" w:rsidP="007B6068">
            <w:pPr>
              <w:spacing w:after="0" w:line="240" w:lineRule="auto"/>
              <w:rPr>
                <w:rFonts w:ascii="Calibri" w:eastAsia="Times New Roman" w:hAnsi="Calibri" w:cs="Times New Roman"/>
                <w:b/>
                <w:bCs/>
                <w:color w:val="000000"/>
                <w:highlight w:val="green"/>
              </w:rPr>
            </w:pPr>
          </w:p>
        </w:tc>
        <w:tc>
          <w:tcPr>
            <w:tcW w:w="308" w:type="pct"/>
            <w:vMerge/>
            <w:tcBorders>
              <w:left w:val="nil"/>
              <w:bottom w:val="single" w:sz="12" w:space="0" w:color="000000"/>
              <w:right w:val="nil"/>
            </w:tcBorders>
            <w:textDirection w:val="btLr"/>
          </w:tcPr>
          <w:p w:rsidR="001878AC" w:rsidRPr="00C45088" w:rsidRDefault="001878AC" w:rsidP="001878AC">
            <w:pPr>
              <w:spacing w:after="0" w:line="240" w:lineRule="auto"/>
              <w:ind w:left="113" w:right="113"/>
              <w:rPr>
                <w:rFonts w:ascii="Calibri" w:eastAsia="Times New Roman" w:hAnsi="Calibri" w:cs="Times New Roman"/>
                <w:b/>
                <w:bCs/>
                <w:color w:val="000000"/>
                <w:highlight w:val="green"/>
              </w:rPr>
            </w:pPr>
          </w:p>
        </w:tc>
      </w:tr>
      <w:tr w:rsidR="001878AC" w:rsidRPr="00817FAB" w:rsidTr="001878AC">
        <w:trPr>
          <w:trHeight w:val="630"/>
        </w:trPr>
        <w:tc>
          <w:tcPr>
            <w:tcW w:w="1021" w:type="pct"/>
            <w:gridSpan w:val="2"/>
            <w:tcBorders>
              <w:top w:val="single" w:sz="12" w:space="0" w:color="auto"/>
              <w:left w:val="nil"/>
              <w:bottom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Gu (2009A)</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w:t>
            </w:r>
            <w:r>
              <w:rPr>
                <w:rFonts w:ascii="Calibri" w:eastAsia="Times New Roman" w:hAnsi="Calibri" w:cs="Times New Roman"/>
                <w:color w:val="000000"/>
              </w:rPr>
              <w:t>; absorbing boundaries</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50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F45EC2" w:rsidRDefault="001878AC" w:rsidP="007B6068">
            <w:pPr>
              <w:spacing w:after="0" w:line="240" w:lineRule="auto"/>
              <w:jc w:val="center"/>
              <w:rPr>
                <w:rFonts w:ascii="Calibri" w:eastAsia="Times New Roman" w:hAnsi="Calibri" w:cs="Times New Roman"/>
                <w:color w:val="000000"/>
              </w:rPr>
            </w:pPr>
            <w:r w:rsidRPr="00F45EC2">
              <w:rPr>
                <w:rFonts w:ascii="Calibri" w:eastAsia="Times New Roman" w:hAnsi="Calibri" w:cs="Times New Roman"/>
                <w:color w:val="000000"/>
              </w:rPr>
              <w:t>T</w:t>
            </w:r>
          </w:p>
        </w:tc>
        <w:tc>
          <w:tcPr>
            <w:tcW w:w="308" w:type="pct"/>
            <w:tcBorders>
              <w:top w:val="nil"/>
              <w:left w:val="nil"/>
              <w:bottom w:val="single" w:sz="8" w:space="0" w:color="auto"/>
              <w:right w:val="nil"/>
            </w:tcBorders>
            <w:vAlign w:val="center"/>
          </w:tcPr>
          <w:p w:rsidR="001878AC" w:rsidRPr="00F45EC2"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"10.1016/j.trstmh.2009.01.006.Agent-based", "ISSN" : "00071447", "abstract" : "Traditional environmental management programmes require extensive coverage of larval habitats to reduce drastically the emergence of adult mosquitoes. Recent studies have highlighted the impact of reduced availability of aquatic habitats on mosquito foraging for hosts and oviposition sites. In this study, we developed an agent-based model to track the status and movement of mosquitoes individually. Mosquito foraging was represented as a two-stage process: random flight when the resource was not within the mosquito\u2019s perception range and directional flight to the resource when it was detected. Three scenarios of targeted source reduction were devised to eliminate all aquatic habitats within certain distances of human habitations. For comparison, three conventional source reductions randomly eliminated the same numbers of aquatic habitats as their corresponding targeted scenarios. Our results show that the elimination of habitats within 100 m, 200 m and 300 m of surrounding houses resulted in 13%, 91% and 94% reductions in malaria incidence, respectively; compared with \u22123%, 19% and 44%, respectively, for the corresponding conventional interventions. These findings indicate that source reduction might not require coverage of extensive areas, as previously thought, and that the distance to human habitations can be used for habitat targeting.", "author" : [ { "dropping-particle" : "", "family" : "Gu", "given" : "Weidong", "non-dropping-particle" : "", "parse-names" : false, "suffix" : "" }, { "dropping-particle" : "", "family" : "Novak", "given" : "Robert J", "non-dropping-particle" : "", "parse-names" : false, "suffix" : "" } ], "container-title" : "Transactions of the Royal Society of Tropical Medicine and Hygeine", "id" : "ITEM-1", "issue" : "11", "issued" : { "date-parts" : [ [ "2009" ] ] }, "page" : "1105-1118", "title" : "Agent-based modelling of mosquito foraging behaviour for malaria control", "type" : "article-journal", "volume" : "103" }, "uris" : [ "http://www.mendeley.com/documents/?uuid=6103f57c-dd62-4596-946c-9ad4759547c1" ] } ], "mendeley" : { "formattedCitation" : "(1)", "plainTextFormattedCitation" : "(1)", "previouslyFormattedCitation" : "(1)"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(1)</w:t>
            </w:r>
            <w:r>
              <w:rPr>
                <w:rFonts w:ascii="Calibri" w:eastAsia="Times New Roman" w:hAnsi="Calibri" w:cs="Times New Roman"/>
                <w:color w:val="000000"/>
              </w:rPr>
              <w:fldChar w:fldCharType="end"/>
            </w:r>
          </w:p>
        </w:tc>
      </w:tr>
      <w:tr w:rsidR="001878AC" w:rsidRPr="00817FAB" w:rsidTr="001878AC">
        <w:trPr>
          <w:trHeight w:val="615"/>
        </w:trPr>
        <w:tc>
          <w:tcPr>
            <w:tcW w:w="470" w:type="pct"/>
            <w:tcBorders>
              <w:top w:val="nil"/>
              <w:left w:val="nil"/>
              <w:bottom w:val="single" w:sz="8" w:space="0" w:color="auto"/>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nil"/>
              <w:bottom w:val="single" w:sz="8" w:space="0" w:color="auto"/>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r w:rsidRPr="00817FAB">
              <w:rPr>
                <w:rFonts w:ascii="Calibri" w:eastAsia="Times New Roman" w:hAnsi="Calibri" w:cs="Times New Roman"/>
                <w:color w:val="000000"/>
              </w:rPr>
              <w:t>Gu (2009B)</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 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50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F45EC2" w:rsidRDefault="001878AC" w:rsidP="007B6068">
            <w:pPr>
              <w:spacing w:after="0" w:line="240" w:lineRule="auto"/>
              <w:jc w:val="center"/>
              <w:rPr>
                <w:rFonts w:ascii="Calibri" w:eastAsia="Times New Roman" w:hAnsi="Calibri" w:cs="Times New Roman"/>
                <w:color w:val="000000"/>
              </w:rPr>
            </w:pPr>
            <w:r w:rsidRPr="00F45EC2">
              <w:rPr>
                <w:rFonts w:ascii="Calibri" w:eastAsia="Times New Roman" w:hAnsi="Calibri" w:cs="Times New Roman"/>
                <w:color w:val="000000"/>
              </w:rPr>
              <w:t>T</w:t>
            </w:r>
          </w:p>
        </w:tc>
        <w:tc>
          <w:tcPr>
            <w:tcW w:w="308" w:type="pct"/>
            <w:tcBorders>
              <w:top w:val="nil"/>
              <w:left w:val="nil"/>
              <w:bottom w:val="single" w:sz="8" w:space="0" w:color="auto"/>
              <w:right w:val="nil"/>
            </w:tcBorders>
            <w:vAlign w:val="center"/>
          </w:tcPr>
          <w:p w:rsidR="001878AC" w:rsidRPr="00F45EC2"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"10.1186/1475-2875-8-256", "ISBN" : "1475-2875 (Electronic)", "ISSN" : "1475-2875", "PMID" : "19917119", "abstract" : "BACKGROUND: Insecticide-treated bed nets (ITNs), including long-lasting insecticidal nets (LLINs), play a primary role in global campaigns to roll back malaria in tropical Africa. Effectiveness of treated nets depends on direct impacts on individual mosquitoes including killing and excite-repellency, which vary considerably among vector species due to variations in host-seeking behaviours. While monitoring and evaluation programmes of ITNs have focuses on morbidity and all-cause mortality in humans, local entomological context receives little attention. Without knowing the dynamics of local vector species and their responses to treated nets, it is difficult to predict clinical outcomes when ITN applications are scaled up across African continent. Sound model frameworks incorporating intricate interactions between mosquitoes and treated nets are needed to develop the predictive capacity for scale-up applications of ITNs. METHODS: An established agent-based model was extended to incorporate the direct outcomes, e.g. killing and avoidance, of individual mosquitoes exposing to ITNs in a hypothetical village setting with 50 houses and 90 aquatic habitats. Individual mosquitoes were tracked throughout the life cycle across the landscape. Four levels of coverage, i.e. 40, 60, 80 and 100%, were applied at the household level with treated houses having only one bed net. By using Latin hypercube sampling scheme, parameters governing killing, diverting and personal protection of net users were evaluated for their relative roles in containing mosquito populations, entomological inoculation rates (EIRs) and malaria incidence. RESULTS: There were substantial gaps in coverage between households and individual persons, and 100% household coverage resulted in circa 50% coverage of the population. The results show that applications of ITNs could give rise to varying impacts on population-level metrics depending on values of parameters governing interactions of mosquitoes and treated nets at the individual level. The most significant factor in determining effectiveness was killing capability of treated nets. Strong excito-repellent effect of impregnated nets might lead to higher risk exposure to non-bed net users. CONCLUSION: With variabilities of vector mosquitoes in host-seeking behaviours and the responses to treated nets, it is anticipated that scale-up applications of INTs might produce varying degrees of success dependent on local entomological and epidemiological c\u2026", "author" : [ { "dropping-particle" : "", "family" : "Gu", "given" : "Weidong", "non-dropping-particle" : "", "parse-names" : false, "suffix" : "" }, { "dropping-particle" : "", "family" : "Novak", "given" : "Robert J", "non-dropping-particle" : "", "parse-names" : false, "suffix" : "" } ], "container-title" : "Malaria Journal", "id" : "ITEM-1", "issue" : "1", "issued" : { "date-parts" : [ [ "2009" ] ] }, "page" : "256-265", "title" : "Predicting the impact of insecticide-treated bed nets on malaria transmission: the devil is in the detail", "type" : "article-journal", "volume" : "8" }, "uris" : [ "http://www.mendeley.com/documents/?uuid=3eadbc6e-2836-42ad-a432-378dee9cbd9a" ] } ], "mendeley" : { "formattedCitation" : "(2)", "plainTextFormattedCitation" : "(2)", "previouslyFormattedCitation" : "(2)"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(2)</w:t>
            </w:r>
            <w:r>
              <w:rPr>
                <w:rFonts w:ascii="Calibri" w:eastAsia="Times New Roman" w:hAnsi="Calibri" w:cs="Times New Roman"/>
                <w:color w:val="000000"/>
              </w:rPr>
              <w:fldChar w:fldCharType="end"/>
            </w:r>
          </w:p>
        </w:tc>
      </w:tr>
      <w:tr w:rsidR="001878AC" w:rsidRPr="00817FAB" w:rsidTr="001878AC">
        <w:trPr>
          <w:trHeight w:val="615"/>
        </w:trPr>
        <w:tc>
          <w:tcPr>
            <w:tcW w:w="1021" w:type="pct"/>
            <w:gridSpan w:val="2"/>
            <w:tcBorders>
              <w:top w:val="single" w:sz="8" w:space="0" w:color="auto"/>
              <w:left w:val="nil"/>
              <w:bottom w:val="single" w:sz="8" w:space="0" w:color="auto"/>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Depinay</w:t>
            </w:r>
            <w:proofErr w:type="spellEnd"/>
            <w:r w:rsidRPr="00817FAB">
              <w:rPr>
                <w:rFonts w:ascii="Calibri" w:eastAsia="Times New Roman" w:hAnsi="Calibri" w:cs="Times New Roman"/>
                <w:color w:val="000000"/>
              </w:rPr>
              <w:t xml:space="preserve"> (2004)</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Simple random dispersal</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N/A</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N/A*</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9F6527" w:rsidRDefault="001878AC" w:rsidP="007B6068">
            <w:pPr>
              <w:spacing w:after="0" w:line="240" w:lineRule="auto"/>
              <w:jc w:val="center"/>
              <w:rPr>
                <w:rFonts w:ascii="Calibri" w:eastAsia="Times New Roman" w:hAnsi="Calibri" w:cs="Times New Roman"/>
                <w:color w:val="000000"/>
              </w:rPr>
            </w:pPr>
            <w:r w:rsidRPr="009F6527">
              <w:rPr>
                <w:rFonts w:ascii="Calibri" w:eastAsia="Times New Roman" w:hAnsi="Calibri" w:cs="Times New Roman"/>
                <w:color w:val="000000"/>
              </w:rPr>
              <w:t>H</w:t>
            </w:r>
          </w:p>
        </w:tc>
        <w:tc>
          <w:tcPr>
            <w:tcW w:w="308" w:type="pct"/>
            <w:tcBorders>
              <w:top w:val="nil"/>
              <w:left w:val="nil"/>
              <w:bottom w:val="single" w:sz="8" w:space="0" w:color="auto"/>
              <w:right w:val="nil"/>
            </w:tcBorders>
            <w:vAlign w:val="center"/>
          </w:tcPr>
          <w:p w:rsidR="001878AC" w:rsidRPr="009F6527"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"10.1186/1475-2875-3-29", "ISBN" : "1475-2875", "ISSN" : "1475-2875", "PMID" : "15285781", "abstract" : "Background: Malaria is one of the oldest and deadliest infectious diseases in humans. Many mathematical models of malaria have been developed during the past century, and applied to potential interventions. However, malaria remains uncontrolled and is increasing in many areas, as are vector and parasite resistance to insecticides and drugs. Methods: This study presents a simulation model of African malaria vectors. This individual-based model incorporates current knowledge of the mechanisms underlying Anopheles population dynamics and their relations to the environment. One of its main strengths is that it is based on both biological and environmental variables. Results: The model made it possible to structure existing knowledge, assembled in a comprehensive review of the literature, and also pointed out important aspects of basic Anopheles biology about which knowledge is lacking. One simulation showed several patterns similar to those seen in the field, and made it possible to examine different analyses and hypotheses for these patterns; sensitivity analyses on temperature, moisture, predation and preliminary investigations of nutrient competition were also conducted. Conclusions: Although based on some mathematical formulae and parameters, this new tool has been developed in order to be as explicit as possible, transparent in use, close to reality and amenable to direct use by field workers. It allows a better understanding of the mechanisms underlying Anopheles population dynamics in general and also a better understanding of the dynamics in specific local geographic environments. It points out many important areas for new investigations that will be critical to effective, efficient, sustainable interventions.", "author" : [ { "dropping-particle" : "", "family" : "Depinay", "given" : "Jean-Marc O", "non-dropping-particle" : "", "parse-names" : false, "suffix" : "" }, { "dropping-particle" : "", "family" : "Mbogo", "given" : "Charles M", "non-dropping-particle" : "", "parse-names" : false, "suffix" : "" }, { "dropping-particle" : "", "family" : "Killeen", "given" : "Gerry", "non-dropping-particle" : "", "parse-names" : false, "suffix" : "" }, { "dropping-particle" : "", "family" : "Knols", "given" : "Bart", "non-dropping-particle" : "", "parse-names" : false, "suffix" : "" }, { "dropping-particle" : "", "family" : "Beier", "given" : "John", "non-dropping-particle" : "", "parse-names" : false, "suffix" : "" }, { "dropping-particle" : "", "family" : "Carlson", "given" : "John", "non-dropping-particle" : "", "parse-names" : false, "suffix" : "" }, { "dropping-particle" : "", "family" : "Dushoff", "given" : "Jonathan", "non-dropping-particle" : "", "parse-names" : false, "suffix" : "" }, { "dropping-particle" : "", "family" : "Billingsley", "given" : "Peter", "non-dropping-particle" : "", "parse-names" : false, "suffix" : "" }, { "dropping-particle" : "", "family" : "Mwambi", "given" : "Henry", "non-dropping-particle" : "", "parse-names" : false, "suffix" : "" }, { "dropping-particle" : "", "family" : "Githure", "given" : "John", "non-dropping-particle" : "", "parse-names" : false, "suffix" : "" }, { "dropping-particle" : "", "family" : "Toure", "given" : "Abdoulaye M", "non-dropping-particle" : "", "parse-names" : false, "suffix" : "" }, { "dropping-particle" : "", "family" : "McKenzie", "given" : "F Ellis", "non-dropping-particle" : "", "parse-names" : false, "suffix" : "" } ], "container-title" : "Malaria Journal", "id" : "ITEM-1", "issue" : "1", "issued" : { "date-parts" : [ [ "2004" ] ] }, "page" : "29-49", "title" : "A simulation model of African Anopheles ecology and population dynamics for the analysis of malaria transmission", "type" : "article-journal", "volume" : "3" }, "uris" : [ "http://www.mendeley.com/documents/?uuid=340fa488-4747-4302-bd3e-c9ee31fd83fe" ] } ], "mendeley" : { "formattedCitation" : "(3)", "plainTextFormattedCitation" : "(3)", "previouslyFormattedCitation" : "(3)"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(3)</w:t>
            </w:r>
            <w:r>
              <w:rPr>
                <w:rFonts w:ascii="Calibri" w:eastAsia="Times New Roman" w:hAnsi="Calibri" w:cs="Times New Roman"/>
                <w:color w:val="000000"/>
              </w:rPr>
              <w:fldChar w:fldCharType="end"/>
            </w:r>
          </w:p>
        </w:tc>
      </w:tr>
      <w:tr w:rsidR="001878AC" w:rsidRPr="00817FAB" w:rsidTr="001878AC">
        <w:trPr>
          <w:trHeight w:val="615"/>
        </w:trPr>
        <w:tc>
          <w:tcPr>
            <w:tcW w:w="1021" w:type="pct"/>
            <w:gridSpan w:val="2"/>
            <w:tcBorders>
              <w:top w:val="single" w:sz="8" w:space="0" w:color="auto"/>
              <w:left w:val="nil"/>
              <w:bottom w:val="single" w:sz="8" w:space="0" w:color="auto"/>
              <w:right w:val="single" w:sz="12" w:space="0" w:color="000000"/>
            </w:tcBorders>
            <w:shd w:val="clear" w:color="auto" w:fill="auto"/>
            <w:vAlign w:val="center"/>
          </w:tcPr>
          <w:p w:rsidR="001878AC" w:rsidRDefault="001878AC" w:rsidP="007B6068">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Rateb</w:t>
            </w:r>
            <w:proofErr w:type="spellEnd"/>
            <w:r>
              <w:rPr>
                <w:rFonts w:ascii="Calibri" w:eastAsia="Times New Roman" w:hAnsi="Calibri" w:cs="Times New Roman"/>
                <w:color w:val="000000"/>
              </w:rPr>
              <w:t xml:space="preserve"> (2005)</w:t>
            </w:r>
          </w:p>
        </w:tc>
        <w:tc>
          <w:tcPr>
            <w:tcW w:w="977" w:type="pct"/>
            <w:tcBorders>
              <w:top w:val="nil"/>
              <w:left w:val="nil"/>
              <w:bottom w:val="single" w:sz="8" w:space="0" w:color="auto"/>
              <w:right w:val="nil"/>
            </w:tcBorders>
            <w:shd w:val="clear" w:color="auto" w:fill="auto"/>
            <w:vAlign w:val="center"/>
          </w:tcPr>
          <w:p w:rsidR="001878AC"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Micro-environments</w:t>
            </w:r>
          </w:p>
        </w:tc>
        <w:tc>
          <w:tcPr>
            <w:tcW w:w="472"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Haiti</w:t>
            </w:r>
          </w:p>
        </w:tc>
        <w:tc>
          <w:tcPr>
            <w:tcW w:w="985"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N/A</w:t>
            </w:r>
          </w:p>
        </w:tc>
        <w:tc>
          <w:tcPr>
            <w:tcW w:w="309"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H</w:t>
            </w:r>
          </w:p>
        </w:tc>
        <w:tc>
          <w:tcPr>
            <w:tcW w:w="309"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w:t>
            </w:r>
          </w:p>
        </w:tc>
        <w:tc>
          <w:tcPr>
            <w:tcW w:w="308" w:type="pct"/>
            <w:tcBorders>
              <w:top w:val="nil"/>
              <w:left w:val="nil"/>
              <w:bottom w:val="single" w:sz="8" w:space="0" w:color="auto"/>
              <w:right w:val="nil"/>
            </w:tcBorders>
            <w:vAlign w:val="center"/>
          </w:tcPr>
          <w:p w:rsidR="001878AC"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"10.4018/jiit.2005040102", "ISSN" : "1548-3657", "abstract" : "Malaria is a vector-borne disease that greatly affects social and economic development. We adopt the complex system paradigm in our analysis of the problem. Our aim is to assess the impact of education on malaria healthcare. Multi-agent systems are employed to model the spread of malaria in Haiti, where we introduce malaria education as a possible way of regulating deaths due to the parasite. We launch three experiments, each with environment modifications: three hospitals; three hospitals and 20 schools; and five hospitals and 20 schools. The results of running 10 simulations for each experiment show that there is a reduction in malaria deaths not only when including schools, but in combination with increasing the number of hospitals.", "author" : [ { "dropping-particle" : "", "family" : "Rateb", "given" : "Fatima", "non-dropping-particle" : "", "parse-names" : false, "suffix" : "" }, { "dropping-particle" : "", "family" : "Pavard", "given" : "Bernard", "non-dropping-particle" : "", "parse-names" : false, "suffix" : "" }, { "dropping-particle" : "", "family" : "Bellamine-BenSaoud", "given" : "Narjes", "non-dropping-particle" : "", "parse-names" : false, "suffix" : "" }, { "dropping-particle" : "", "family" : "Merelo", "given" : "J J", "non-dropping-particle" : "", "parse-names" : false, "suffix" : "" }, { "dropping-particle" : "", "family" : "Arenas", "given" : "M G", "non-dropping-particle" : "", "parse-names" : false, "suffix" : "" } ], "container-title" : "International Journal of Intelligent Information Technologies", "id" : "ITEM-1", "issue" : "June", "issued" : { "date-parts" : [ [ "2005" ] ] }, "page" : "17-27", "title" : "Modeling Malaria with Multi-Agent Systems", "type" : "article-journal", "volume" : "1" }, "uris" : [ "http://www.mendeley.com/documents/?uuid=e0bc9602-b652-4fa8-8aa1-400e09b2ecbc" ] } ], "mendeley" : { "formattedCitation" : "(4)", "plainTextFormattedCitation" : "(4)", "previouslyFormattedCitation" : "(4)"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(4)</w:t>
            </w:r>
            <w:r>
              <w:rPr>
                <w:rFonts w:ascii="Calibri" w:eastAsia="Times New Roman" w:hAnsi="Calibri" w:cs="Times New Roman"/>
                <w:color w:val="000000"/>
              </w:rPr>
              <w:fldChar w:fldCharType="end"/>
            </w:r>
          </w:p>
        </w:tc>
      </w:tr>
      <w:tr w:rsidR="001878AC" w:rsidRPr="00817FAB" w:rsidTr="001878AC">
        <w:trPr>
          <w:trHeight w:val="615"/>
        </w:trPr>
        <w:tc>
          <w:tcPr>
            <w:tcW w:w="1021" w:type="pct"/>
            <w:gridSpan w:val="2"/>
            <w:tcBorders>
              <w:top w:val="single" w:sz="8" w:space="0" w:color="auto"/>
              <w:left w:val="nil"/>
              <w:bottom w:val="single" w:sz="8" w:space="0" w:color="auto"/>
              <w:right w:val="single" w:sz="12" w:space="0" w:color="000000"/>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proofErr w:type="spellStart"/>
            <w:r>
              <w:rPr>
                <w:rFonts w:ascii="Calibri" w:eastAsia="Times New Roman" w:hAnsi="Calibri" w:cs="Times New Roman"/>
                <w:color w:val="000000"/>
              </w:rPr>
              <w:t>Linard</w:t>
            </w:r>
            <w:proofErr w:type="spellEnd"/>
            <w:r>
              <w:rPr>
                <w:rFonts w:ascii="Calibri" w:eastAsia="Times New Roman" w:hAnsi="Calibri" w:cs="Times New Roman"/>
                <w:color w:val="000000"/>
              </w:rPr>
              <w:t xml:space="preserve"> (2008)</w:t>
            </w:r>
          </w:p>
        </w:tc>
        <w:tc>
          <w:tcPr>
            <w:tcW w:w="977"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tcPr>
          <w:p w:rsidR="001878AC" w:rsidRPr="00081833"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~25km</w:t>
            </w:r>
            <w:r>
              <w:rPr>
                <w:rFonts w:ascii="Calibri" w:eastAsia="Times New Roman" w:hAnsi="Calibri" w:cs="Times New Roman"/>
                <w:color w:val="000000"/>
                <w:vertAlign w:val="superscript"/>
              </w:rPr>
              <w:t>2</w:t>
            </w:r>
          </w:p>
        </w:tc>
        <w:tc>
          <w:tcPr>
            <w:tcW w:w="985"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30</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H</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9F6527" w:rsidRDefault="001878AC" w:rsidP="007B6068">
            <w:pPr>
              <w:spacing w:after="0" w:line="240" w:lineRule="auto"/>
              <w:jc w:val="center"/>
              <w:rPr>
                <w:rFonts w:ascii="Calibri" w:eastAsia="Times New Roman" w:hAnsi="Calibri" w:cs="Times New Roman"/>
                <w:color w:val="000000"/>
              </w:rPr>
            </w:pPr>
            <w:r w:rsidRPr="009F6527">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9F6527"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"10.1016/j.ecolmodel.2008.09.001", "ISBN" : "0304-3800", "ISSN" : "03043800", "abstract" : "A multi-agent simulation (MAS) was developed to assess the risk of malaria re-emergence in the Camargue in southern France, a non-endemic area where mosquitoes of the genus Anopheles (Culicidae) live. The contact rate between people and potential malaria vectors, or the human biting rate, is one of the key factor to predict the risk of re-emergence of malaria, would the parasite be introduced in the region. Our model (called MALCAM) represents the different agents that could influence malaria transmission in the Camargue - people, mosquitoes, animal hosts and the landscape - in a spatially explicit environment. The model simulates spatial and temporal variations in human biting rate at the landscape scale. These variations depend on the distribution of people and potential vectors, their behaviour and their interactions. A land use/cover map was used as a cellular-spatial support for the movements of and interactions between mobile agents. The model was tested for its sensitivity to variations in parameter values, and for the agreement between field observations and model predictions. The MALCAM model provides a tool to better understand the interactions between the multiple agents of the disease transmission system, and the land use and land cover factors that control the spatial heterogeneity in these interactions. It allows testing hypotheses and scenarios related to disease dynamics by varying the value of exogenous biological, geographical, or human factors. This application of agent-based modelling to a human vector-borne disease can be adapted to different diseases and regions. \u00a9 2008 Elsevier B.V. All rights reserved.", "author" : [ { "dropping-particle" : "", "family" : "Linard", "given" : "Catherine", "non-dropping-particle" : "", "parse-names" : false, "suffix" : "" }, { "dropping-particle" : "", "family" : "Pon\u00e7on", "given" : "Nicolas", "non-dropping-particle" : "", "parse-names" : false, "suffix" : "" }, { "dropping-particle" : "", "family" : "Fontenille", "given" : "Didier", "non-dropping-particle" : "", "parse-names" : false, "suffix" : "" }, { "dropping-particle" : "", "family" : "Lambin", "given" : "Eric F.", "non-dropping-particle" : "", "parse-names" : false, "suffix" : "" } ], "container-title" : "Ecological Modelling", "id" : "ITEM-1", "issue" : "2", "issued" : { "date-parts" : [ [ "2009" ] ] }, "page" : "160-174", "title" : "A multi-agent simulation to assess the risk of malaria re-emergence in southern France", "type" : "article-journal", "volume" : "220" }, "uris" : [ "http://www.mendeley.com/documents/?uuid=08c82b73-7735-4a55-82d4-0fa408f5a687" ] } ], "mendeley" : { "formattedCitation" : "(5)", "plainTextFormattedCitation" : "(5)", "previouslyFormattedCitation" : "(5)"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(5)</w:t>
            </w:r>
            <w:r>
              <w:rPr>
                <w:rFonts w:ascii="Calibri" w:eastAsia="Times New Roman" w:hAnsi="Calibri" w:cs="Times New Roman"/>
                <w:color w:val="000000"/>
              </w:rPr>
              <w:fldChar w:fldCharType="end"/>
            </w:r>
          </w:p>
        </w:tc>
      </w:tr>
      <w:tr w:rsidR="001878AC" w:rsidRPr="00817FAB" w:rsidTr="001878AC">
        <w:trPr>
          <w:trHeight w:val="615"/>
        </w:trPr>
        <w:tc>
          <w:tcPr>
            <w:tcW w:w="1021" w:type="pct"/>
            <w:gridSpan w:val="2"/>
            <w:tcBorders>
              <w:top w:val="single" w:sz="8" w:space="0" w:color="auto"/>
              <w:left w:val="nil"/>
              <w:bottom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Bomblies</w:t>
            </w:r>
            <w:proofErr w:type="spellEnd"/>
            <w:r w:rsidRPr="00817FAB">
              <w:rPr>
                <w:rFonts w:ascii="Calibri" w:eastAsia="Times New Roman" w:hAnsi="Calibri" w:cs="Times New Roman"/>
                <w:color w:val="000000"/>
              </w:rPr>
              <w:t xml:space="preserve"> (2008)</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2500 x 2500m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10-80**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"10.1029/2008WR006917", "ISBN" : "0043-1397", "ISSN" : "00431397", "abstract" : "We present a coupled hydrology and entomology model for the mechanistic simulation of local-scale response of malaria transmission to hydrological and climatological determinants in semiarid, desert fringe environments. The model is applied to the Sahel village of Banizoumbou, Niger, to predict interannual variability in malaria vector mosquito populations that lead to variations in malaria transmission. Using a high-resolution, small-scale distributed hydrology model that incorporates remotely sensed data for land cover and topography, we simulate the formation and persistence of the pools constituting the primary breeding habitat of Anopheles gambiae s.l. mosquitoes, the principal regional malaria vector mosquitoes. An agent-based mosquito population model is coupled to the distributed hydrology model, with aquatic-stage and adult-stage components. Through a dependence of aquatic-stage mosquito development and adult emergence on pool persistence, we model small-scale hydrology as a dominant control of mosquito abundance. For each individual adult mosquito, the model tracks attributes relevant to population dynamics and malaria transmission, which are updated as mosquitoes interact with their environment, humans, and animals. Weekly field observations were made in 2005 and 2006. A 16% increase in rainfall between the two years was accompanied by a 132% increase in mosquito abundance between 2005 and 2006. The model reproduces mosquito population variability at seasonal and interannual timescales and highlights individual pool persistence as a dominant control. Future developments of the presented model can be used in the evaluation of impacts of climate change on malaria, as well as the a priori evaluation of environmental management-based interventions.", "author" : [ { "dropping-particle" : "", "family" : "Bomblies", "given" : "Arne", "non-dropping-particle" : "", "parse-names" : false, "suffix" : "" }, { "dropping-particle" : "", "family" : "Duchemin", "given" : "Jean Bernard", "non-dropping-particle" : "", "parse-names" : false, "suffix" : "" }, { "dropping-particle" : "", "family" : "Eltahir", "given" : "Elfatih A.B.", "non-dropping-particle" : "", "parse-names" : false, "suffix" : "" } ], "container-title" : "Water Resources Research", "id" : "ITEM-1", "issue" : "12", "issued" : { "date-parts" : [ [ "2008" ] ] }, "page" : "1-26", "title" : "Hydrology of malaria: Model development and application to a Sahelian village", "type" : "article-journal", "volume" : "44" }, "uris" : [ "http://www.mendeley.com/documents/?uuid=d926e170-7432-4a30-b5f5-30fbd701ac75" ] } ], "mendeley" : { "formattedCitation" : "(6)", "plainTextFormattedCitation" : "(6)", "previouslyFormattedCitation" : "(6)"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(6)</w:t>
            </w:r>
            <w:r>
              <w:rPr>
                <w:rFonts w:ascii="Calibri" w:eastAsia="Times New Roman" w:hAnsi="Calibri" w:cs="Times New Roman"/>
                <w:color w:val="000000"/>
              </w:rPr>
              <w:fldChar w:fldCharType="end"/>
            </w:r>
          </w:p>
        </w:tc>
      </w:tr>
      <w:tr w:rsidR="001878AC" w:rsidRPr="00817FAB" w:rsidTr="001878AC">
        <w:trPr>
          <w:trHeight w:val="615"/>
        </w:trPr>
        <w:tc>
          <w:tcPr>
            <w:tcW w:w="470" w:type="pct"/>
            <w:tcBorders>
              <w:top w:val="nil"/>
              <w:left w:val="nil"/>
              <w:bottom w:val="nil"/>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551" w:type="pct"/>
            <w:vMerge w:val="restart"/>
            <w:tcBorders>
              <w:top w:val="nil"/>
              <w:left w:val="single" w:sz="8" w:space="0" w:color="auto"/>
              <w:bottom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Bomblies</w:t>
            </w:r>
            <w:proofErr w:type="spellEnd"/>
            <w:r w:rsidRPr="00817FAB">
              <w:rPr>
                <w:rFonts w:ascii="Calibri" w:eastAsia="Times New Roman" w:hAnsi="Calibri" w:cs="Times New Roman"/>
                <w:color w:val="000000"/>
              </w:rPr>
              <w:t xml:space="preserve"> (2009A)</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Banizoumbou</w:t>
            </w:r>
            <w:proofErr w:type="spellEnd"/>
            <w:r w:rsidRPr="00817FAB">
              <w:rPr>
                <w:rFonts w:ascii="Calibri" w:eastAsia="Times New Roman" w:hAnsi="Calibri" w:cs="Times New Roman"/>
                <w:color w:val="000000"/>
              </w:rPr>
              <w:t>: 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2500 x 2500m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10-80†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vMerge w:val="restart"/>
            <w:tcBorders>
              <w:top w:val="nil"/>
              <w:left w:val="nil"/>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"10.1186/1475-2875-8-223", "ISBN" : "1475-2875", "ISSN" : "1475-2875", "PMID" : "19799793", "abstract" : "BACKGROUND: Malaria transmission models commonly incorporate spatial environmental and climate variability for making regional predictions of disease risk. However, a mismatch of these models' typical spatial resolutions and the characteristic scale of malaria vector population dynamics may confound disease risk predictions in areas of high spatial hydrological variability such as the Sahel region of Africa. METHODS: Field observations spanning two years from two Niger villages are compared. The two villages are separated by only 30 km but exhibit a ten-fold difference in anopheles mosquito density. These two villages would be covered by a single grid cell in many malaria models, yet their entomological activity differs greatly. Environmental conditions and associated entomological activity are simulated at high spatial- and temporal resolution using a mechanistic approach that couples a distributed hydrology scheme and an entomological model. Model results are compared to regular field observations of Anopheles gambiae sensu lato mosquito populations and local hydrology. The model resolves the formation and persistence of individual pools that facilitate mosquito breeding and predicts spatio-temporal mosquito population variability at high resolution using an agent-based modeling approach. RESULTS: Observations of soil moisture, pool size, and pool persistence are reproduced by the model. The resulting breeding of mosquitoes in the simulated pools yields time-integrated seasonal mosquito population dynamics that closely follow observations from captured mosquito abundance. Interannual difference in mosquito abundance is simulated, and the inter-village difference in mosquito population is reproduced for two years of observations. These modeling results emulate the known focal nature of malaria in Niger Sahel villages. CONCLUSION: Hydrological variability must be represented at high spatial and temporal resolution to achieve accurate predictive ability of malaria risk at the village scale, which can then be integrated appropriately to regional spatial scales and seasonal temporal scales. These results have important implications for models seeking to link the impacts of climate change and climate variability to malaria transmission. The highly focal nature of malaria in the Sahel makes detailed representation necessary to evaluate village-level risks associated with hydrology-related vector population variability.", "author" : [ { "dropping-particle" : "", "family" : "Bomblies", "given" : "Arne", "non-dropping-particle" : "", "parse-names" : false, "suffix" : "" }, { "dropping-particle" : "", "family" : "Duchemin", "given" : "Jean-Bernard", "non-dropping-particle" : "", "parse-names" : false, "suffix" : "" }, { "dropping-particle" : "", "family" : "Eltahir", "given" : "Elfatih A B", "non-dropping-particle" : "", "parse-names" : false, "suffix" : "" } ], "container-title" : "Malaria journal", "id" : "ITEM-1", "issue" : "1", "issued" : { "date-parts" : [ [ "2009" ] ] }, "page" : "223-234", "title" : "A mechanistic approach for accurate simulation of village scale malaria transmission", "type" : "article-journal", "volume" : "8" }, "uris" : [ "http://www.mendeley.com/documents/?uuid=06ad1904-773c-4fbc-9fa3-279a356eac92" ] } ], "mendeley" : { "formattedCitation" : "(7)", "plainTextFormattedCitation" : "(7)", "previouslyFormattedCitation" : "(7)"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(7)</w:t>
            </w:r>
            <w:r>
              <w:rPr>
                <w:rFonts w:ascii="Calibri" w:eastAsia="Times New Roman" w:hAnsi="Calibri" w:cs="Times New Roman"/>
                <w:color w:val="000000"/>
              </w:rPr>
              <w:fldChar w:fldCharType="end"/>
            </w:r>
          </w:p>
        </w:tc>
      </w:tr>
      <w:tr w:rsidR="001878AC" w:rsidRPr="00817FAB" w:rsidTr="001878AC">
        <w:trPr>
          <w:trHeight w:val="615"/>
        </w:trPr>
        <w:tc>
          <w:tcPr>
            <w:tcW w:w="470" w:type="pct"/>
            <w:tcBorders>
              <w:top w:val="nil"/>
              <w:left w:val="nil"/>
              <w:bottom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vMerge/>
            <w:tcBorders>
              <w:top w:val="nil"/>
              <w:left w:val="single" w:sz="8" w:space="0" w:color="auto"/>
              <w:bottom w:val="nil"/>
              <w:right w:val="single" w:sz="12" w:space="0" w:color="auto"/>
            </w:tcBorders>
            <w:vAlign w:val="center"/>
            <w:hideMark/>
          </w:tcPr>
          <w:p w:rsidR="001878AC" w:rsidRPr="00817FAB" w:rsidRDefault="001878AC" w:rsidP="007B6068">
            <w:pPr>
              <w:spacing w:after="0" w:line="240" w:lineRule="auto"/>
              <w:rPr>
                <w:rFonts w:ascii="Calibri" w:eastAsia="Times New Roman" w:hAnsi="Calibri" w:cs="Times New Roman"/>
                <w:color w:val="000000"/>
              </w:rPr>
            </w:pP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Zindarou</w:t>
            </w:r>
            <w:proofErr w:type="spellEnd"/>
            <w:r w:rsidRPr="00817FAB">
              <w:rPr>
                <w:rFonts w:ascii="Calibri" w:eastAsia="Times New Roman" w:hAnsi="Calibri" w:cs="Times New Roman"/>
                <w:color w:val="000000"/>
              </w:rPr>
              <w:t>: 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50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vMerge/>
            <w:tcBorders>
              <w:left w:val="nil"/>
              <w:bottom w:val="single" w:sz="8" w:space="0" w:color="auto"/>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p>
        </w:tc>
      </w:tr>
      <w:tr w:rsidR="001878AC" w:rsidRPr="00817FAB" w:rsidTr="00520947">
        <w:trPr>
          <w:trHeight w:val="615"/>
        </w:trPr>
        <w:tc>
          <w:tcPr>
            <w:tcW w:w="470" w:type="pct"/>
            <w:tcBorders>
              <w:top w:val="nil"/>
              <w:left w:val="nil"/>
              <w:bottom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lastRenderedPageBreak/>
              <w:t> </w:t>
            </w:r>
          </w:p>
        </w:tc>
        <w:tc>
          <w:tcPr>
            <w:tcW w:w="551" w:type="pct"/>
            <w:vMerge w:val="restart"/>
            <w:tcBorders>
              <w:top w:val="nil"/>
              <w:left w:val="single" w:sz="8" w:space="0" w:color="auto"/>
              <w:bottom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Bomblies</w:t>
            </w:r>
            <w:proofErr w:type="spellEnd"/>
            <w:r w:rsidRPr="00817FAB">
              <w:rPr>
                <w:rFonts w:ascii="Calibri" w:eastAsia="Times New Roman" w:hAnsi="Calibri" w:cs="Times New Roman"/>
                <w:color w:val="000000"/>
              </w:rPr>
              <w:t xml:space="preserve"> (2009B)</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Banizoumbou</w:t>
            </w:r>
            <w:proofErr w:type="spellEnd"/>
            <w:r w:rsidRPr="00817FAB">
              <w:rPr>
                <w:rFonts w:ascii="Calibri" w:eastAsia="Times New Roman" w:hAnsi="Calibri" w:cs="Times New Roman"/>
                <w:color w:val="000000"/>
              </w:rPr>
              <w:t>: 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2500 x 2500m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10-80†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vMerge w:val="restart"/>
            <w:tcBorders>
              <w:top w:val="nil"/>
              <w:left w:val="nil"/>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"10.1007/s10393-010-0274-5", "ISBN" : "1039301002", "ISSN" : "16129202", "PMID" : "20111887", "abstract" : "Climate affects malaria transmission through a complex network of causative pathways. We seek to evaluate the impact of hypothetical climate change scenarios on malaria transmission in the Sahel by using a novel mechanistic, high spatial- and temporal-resolution coupled hydrology and agent-based entomology model. The hydrology model component resolves individual precipitation events and individual breeding pools. The impact of future potential climate shifts on the representative Sahel village of Banizoumbou, Niger, is estimated by forcing the model of Banizoumbou environment with meteorological data from two locations along the north-south climatological gradient observed in the Sahel--both for warmer, drier scenarios from the north and cooler, wetter scenarios from the south. These shifts in climate represent hypothetical but historically realistic climate change scenarios. For Banizoumbou climatic conditions (latitude 13.54 N), a shift toward cooler, wetter conditions may dramatically increase mosquito abundance; however, our modeling results indicate that the increased malaria transmissibility is not simply proportional to the precipitation increase. The cooler, wetter conditions increase the length of the sporogonic cycle, dampening a large vectorial capacity increase otherwise brought about by increased mosquito survival and greater overall abundance. Furthermore, simulations varying rainfall event frequency demonstrate the importance of precipitation patterns, rather than simply average or time-integrated precipitation, as a controlling factor of these dynamics. Modeling results suggest that in addition to changes in temperature and total precipitation, changes in rainfall patterns are very important to predict changes in disease susceptibility resulting from climate shifts. The combined effect of these climate-shift-induced perturbations can be represented with the aid of a detailed mechanistic model.", "author" : [ { "dropping-particle" : "", "family" : "Bomblies", "given" : "Arne", "non-dropping-particle" : "", "parse-names" : false, "suffix" : "" }, { "dropping-particle" : "", "family" : "Eltahir", "given" : "Elfatih A B", "non-dropping-particle" : "", "parse-names" : false, "suffix" : "" } ], "container-title" : "EcoHealth", "id" : "ITEM-1", "issue" : "3", "issued" : { "date-parts" : [ [ "2009" ] ] }, "page" : "426-437", "title" : "Assessment of the impact of climate shifts on malaria transmission in the Sahel", "type" : "article-journal", "volume" : "6" }, "uris" : [ "http://www.mendeley.com/documents/?uuid=ceea02b4-6e90-4abe-a143-3c46fe6a241a" ] } ], "mendeley" : { "formattedCitation" : "(8)", "plainTextFormattedCitation" : "(8)", "previouslyFormattedCitation" : "(8)"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(8)</w:t>
            </w:r>
            <w:r>
              <w:rPr>
                <w:rFonts w:ascii="Calibri" w:eastAsia="Times New Roman" w:hAnsi="Calibri" w:cs="Times New Roman"/>
                <w:color w:val="000000"/>
              </w:rPr>
              <w:fldChar w:fldCharType="end"/>
            </w:r>
          </w:p>
        </w:tc>
      </w:tr>
      <w:tr w:rsidR="001878AC" w:rsidRPr="00817FAB" w:rsidTr="00520947">
        <w:trPr>
          <w:trHeight w:val="615"/>
        </w:trPr>
        <w:tc>
          <w:tcPr>
            <w:tcW w:w="470" w:type="pct"/>
            <w:tcBorders>
              <w:top w:val="nil"/>
              <w:left w:val="nil"/>
              <w:bottom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vMerge/>
            <w:tcBorders>
              <w:top w:val="nil"/>
              <w:left w:val="single" w:sz="8" w:space="0" w:color="auto"/>
              <w:bottom w:val="nil"/>
              <w:right w:val="single" w:sz="12" w:space="0" w:color="auto"/>
            </w:tcBorders>
            <w:vAlign w:val="center"/>
            <w:hideMark/>
          </w:tcPr>
          <w:p w:rsidR="001878AC" w:rsidRPr="00817FAB" w:rsidRDefault="001878AC" w:rsidP="007B6068">
            <w:pPr>
              <w:spacing w:after="0" w:line="240" w:lineRule="auto"/>
              <w:rPr>
                <w:rFonts w:ascii="Calibri" w:eastAsia="Times New Roman" w:hAnsi="Calibri" w:cs="Times New Roman"/>
                <w:color w:val="000000"/>
              </w:rPr>
            </w:pP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Zindarou</w:t>
            </w:r>
            <w:proofErr w:type="spellEnd"/>
            <w:r w:rsidRPr="00817FAB">
              <w:rPr>
                <w:rFonts w:ascii="Calibri" w:eastAsia="Times New Roman" w:hAnsi="Calibri" w:cs="Times New Roman"/>
                <w:color w:val="000000"/>
              </w:rPr>
              <w:t>: 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50?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vMerge/>
            <w:tcBorders>
              <w:left w:val="nil"/>
              <w:bottom w:val="single" w:sz="8" w:space="0" w:color="auto"/>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p>
        </w:tc>
      </w:tr>
      <w:tr w:rsidR="001878AC" w:rsidRPr="00817FAB" w:rsidTr="001878AC">
        <w:trPr>
          <w:trHeight w:val="615"/>
        </w:trPr>
        <w:tc>
          <w:tcPr>
            <w:tcW w:w="470" w:type="pct"/>
            <w:tcBorders>
              <w:top w:val="nil"/>
              <w:left w:val="nil"/>
              <w:bottom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nil"/>
              <w:bottom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r w:rsidRPr="00817FAB">
              <w:rPr>
                <w:rFonts w:ascii="Calibri" w:eastAsia="Times New Roman" w:hAnsi="Calibri" w:cs="Times New Roman"/>
                <w:color w:val="000000"/>
              </w:rPr>
              <w:t>Stryker (2012)</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"ISBN" : "1612-9202", "abstract" : "Changes in land use and climate are expected to alter the risk of malaria transmission in areas where rainfall limits vector abundance. We use a coupled hydrology\u2013entomology model to investigate the effects of land use change on hydrological processes impacting mosquito abundance in a highland village of Ethiopia. Land use affects partitioning of rainfall into infiltration and runoff that reaches small-scale topographic depressions, which constitute the primary breeding habitat of Anopheles arabiensis mosquitoes. A physically based hydrology model isolates hydrological mechanisms by which land use impacts pool formation and persistence, and an agent-based entomology model evaluates the response of mosquito populations. This approach reproduced observed interannual variability in mosquito abundance between the 2009 and 2010 wet seasons. Several scenarios of land cover were then evaluated using the calibrated, field-validated model. Model results show variation in pool persistence and depth, as well as in mosquito abundance, due to land use changes alone. The model showed particular sensitivity to surface roughness, but also to root zone uptake. Scenarios in which land use was modified from agriculture to forest generally resulted in lowest mosquito abundance predictions; classification of the entire domain as rainforest produced a 34% decrease in abundance compared to 2010 results. This study also showed that in addition to vegetation type, spatial proximity of land use change to habitat locations has an impact on mosquito abundance. This modeling approach can be applied to assess impacts of climate and land use conditions that fall outside of the range of previously observed variability.", "author" : [ { "dropping-particle" : "", "family" : "Stryker", "given" : "Jody J", "non-dropping-particle" : "", "parse-names" : false, "suffix" : "" }, { "dropping-particle" : "", "family" : "Bomblies", "given" : "Arne", "non-dropping-particle" : "", "parse-names" : false, "suffix" : "" } ], "container-title" : "EcoHealth", "id" : "ITEM-1", "issue" : "4", "issued" : { "date-parts" : [ [ "2012" ] ] }, "page" : "455-470", "title" : "The impacts of land use change on malaria vector abundance in a water-limited, highland region of Ethiopia", "type" : "article-journal", "volume" : "9" }, "uris" : [ "http://www.mendeley.com/documents/?uuid=d33e288d-1d61-4cd7-983e-5b27d535b157" ] } ], "mendeley" : { "formattedCitation" : "(9)", "plainTextFormattedCitation" : "(9)", "previouslyFormattedCitation" : "(9)"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(9)</w:t>
            </w:r>
            <w:r>
              <w:rPr>
                <w:rFonts w:ascii="Calibri" w:eastAsia="Times New Roman" w:hAnsi="Calibri" w:cs="Times New Roman"/>
                <w:color w:val="000000"/>
              </w:rPr>
              <w:fldChar w:fldCharType="end"/>
            </w:r>
          </w:p>
        </w:tc>
      </w:tr>
      <w:tr w:rsidR="001878AC" w:rsidRPr="00817FAB" w:rsidTr="002F14B0">
        <w:trPr>
          <w:trHeight w:val="615"/>
        </w:trPr>
        <w:tc>
          <w:tcPr>
            <w:tcW w:w="470" w:type="pct"/>
            <w:tcBorders>
              <w:top w:val="nil"/>
              <w:left w:val="nil"/>
              <w:bottom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vMerge w:val="restart"/>
            <w:tcBorders>
              <w:top w:val="nil"/>
              <w:left w:val="single" w:sz="8" w:space="0" w:color="auto"/>
              <w:bottom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Yamana</w:t>
            </w:r>
            <w:proofErr w:type="spellEnd"/>
            <w:r w:rsidRPr="00817FAB">
              <w:rPr>
                <w:rFonts w:ascii="Calibri" w:eastAsia="Times New Roman" w:hAnsi="Calibri" w:cs="Times New Roman"/>
                <w:color w:val="000000"/>
              </w:rPr>
              <w:t xml:space="preserve"> (2013)</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Banizoumbou</w:t>
            </w:r>
            <w:proofErr w:type="spellEnd"/>
            <w:r w:rsidRPr="00817FAB">
              <w:rPr>
                <w:rFonts w:ascii="Calibri" w:eastAsia="Times New Roman" w:hAnsi="Calibri" w:cs="Times New Roman"/>
                <w:color w:val="000000"/>
              </w:rPr>
              <w:t>: 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2500 x 2500m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vMerge w:val="restart"/>
            <w:tcBorders>
              <w:top w:val="nil"/>
              <w:left w:val="nil"/>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sidR="007B34F7">
              <w:rPr>
                <w:rFonts w:ascii="Calibri" w:eastAsia="Times New Roman" w:hAnsi="Calibri" w:cs="Times New Roman"/>
                <w:color w:val="000000"/>
              </w:rPr>
              <w:instrText>ADDIN CSL_CITATION { "citationItems" : [ { "id" : "ITEM-1", "itemData" : { "DOI" : "10.1186/1756-3305-6-226", "ISBN" : "1756-3305", "abstract" : "Background: Individuals continuously exposed to malaria gradually acquire immunity that protects from severe disease and high levels of parasitization. Acquired immunity has been incorporated into numerous models of malaria transmission of varying levels of complexity (e.g. Bull World Health Organ 50:347, 1974; Am J Trop Med Hyg 75:19, 2006; Math Biosci 90:385\u2013396, 1988). Most such models require prescribing inputs of mosquito biting rates or other entomological or epidemiological information. Here, we present a model with a novel structure that uses environmental controls of mosquito population dynamics to simulate the mosquito biting rates, malaria prevalence as well as variability in protective immunity of the population. Methods: A simple model of acquired immunity to malaria is presented and tested within the framework of the Hydrology, Entomology and Malaria Transmission Simulator (HYDREMATS), a coupled hydrology and agent-based entomology model. The combined model uses environmental data including rainfall, temperature, and topography to simulate malaria prevalence and level of acquired immunity in the human population. The model is used to demonstrate the effect of acquired immunity on malaria prevalence in two Niger villages that are hydrologically and entomologically very different. Simulations are conducted for the year 2006 and compared to malaria prevalence observations collected from the two villages. Results: Blood smear samples from children show no clear difference in malaria prevalence between the two villages despite pronounced differences in observed mosquito abundance. The similarity in prevalence is attributed to the moderating effect of acquired immunity, which depends on prior exposure to the parasite through infectious bites - and thus the hydrologically determined mosquito abundance. Modelling the level of acquired immunity can affect village vulnerability to climatic anomalies. Conclusions: The model presented has a novel structure constituting a mechanistic link between spatial and temporal environmental variability and village-scale malaria transmission. Incorporating acquired immunity into the model has allowed simulation of prevalence in the two villages, and isolation of the effects of acquired immunity in dampening the difference in prevalence between the two villages. Without these effects, the difference in prevalence between the two villages would have been significantly larger in response to the large differences in \u2026", "author" : [ { "dropping-particle" : "", "family" : "Yamana", "given" : "Teresa K", "non-dropping-particle" : "", "parse-names" : false, "suffix" : "" }, { "dropping-particle" : "", "family" : "Bomblies", "given" : "Arne", "non-dropping-particle" : "", "parse-names" : false, "suffix" : "" }, { "dropping-particle" : "", "family" : "Laminou", "given" : "Ibrahim M", "non-dropping-particle" : "", "parse-names" : false, "suffix" : "" }, { "dropping-particle" : "", "family" : "Duchemin", "given" : "Jean-Bernard", "non-dropping-particle" : "", "parse-names" : false, "suffix" : "" }, { "dropping-particle" : "", "family" : "Eltahir", "given" : "Elfatih A B", "non-dropping-particle" : "", "parse-names" : false, "suffix" : "" } ], "container-title" : "Parasites &amp; Vectors", "id" : "ITEM-1", "issue" : "1", "issued" : { "date-parts" : [ [ "2013" ] ] }, "page" : "226-239", "title" : "Linking environmental variability to village-scale malaria transmission using a simple immunity model", "type" : "article-journal", "volume" : "6" }, "uris" : [ "http://www.mendeley.com/documents/?uuid=795ef563-0494-49de-94b7-ae9a3fbef962" ] } ], "mendeley" : { "formattedCitation" : "(10)", "plainTextFormattedCitation" : "(10)", "previouslyFormattedCitation" : "(10)" }, "properties" : { "noteIndex" : 0 }, "schema" : "https://github.com/citation-style-language/schema/raw/master/csl-citation.json" }</w:instrText>
            </w:r>
            <w:r>
              <w:rPr>
                <w:rFonts w:ascii="Calibri" w:eastAsia="Times New Roman" w:hAnsi="Calibri" w:cs="Times New Roman"/>
                <w:color w:val="000000"/>
              </w:rPr>
              <w:fldChar w:fldCharType="separate"/>
            </w:r>
            <w:r w:rsidRPr="001878AC">
              <w:rPr>
                <w:rFonts w:ascii="Calibri" w:eastAsia="Times New Roman" w:hAnsi="Calibri" w:cs="Times New Roman"/>
                <w:noProof/>
                <w:color w:val="000000"/>
              </w:rPr>
              <w:t>(10)</w:t>
            </w:r>
            <w:r>
              <w:rPr>
                <w:rFonts w:ascii="Calibri" w:eastAsia="Times New Roman" w:hAnsi="Calibri" w:cs="Times New Roman"/>
                <w:color w:val="000000"/>
              </w:rPr>
              <w:fldChar w:fldCharType="end"/>
            </w:r>
          </w:p>
        </w:tc>
      </w:tr>
      <w:tr w:rsidR="001878AC" w:rsidRPr="00817FAB" w:rsidTr="002F14B0">
        <w:trPr>
          <w:trHeight w:val="615"/>
        </w:trPr>
        <w:tc>
          <w:tcPr>
            <w:tcW w:w="470" w:type="pct"/>
            <w:tcBorders>
              <w:top w:val="nil"/>
              <w:left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vMerge/>
            <w:tcBorders>
              <w:top w:val="nil"/>
              <w:left w:val="single" w:sz="8" w:space="0" w:color="auto"/>
              <w:right w:val="single" w:sz="12" w:space="0" w:color="auto"/>
            </w:tcBorders>
            <w:vAlign w:val="center"/>
            <w:hideMark/>
          </w:tcPr>
          <w:p w:rsidR="001878AC" w:rsidRPr="00817FAB" w:rsidRDefault="001878AC" w:rsidP="007B6068">
            <w:pPr>
              <w:spacing w:after="0" w:line="240" w:lineRule="auto"/>
              <w:rPr>
                <w:rFonts w:ascii="Calibri" w:eastAsia="Times New Roman" w:hAnsi="Calibri" w:cs="Times New Roman"/>
                <w:color w:val="000000"/>
              </w:rPr>
            </w:pP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Zindarou</w:t>
            </w:r>
            <w:proofErr w:type="spellEnd"/>
            <w:r w:rsidRPr="00817FAB">
              <w:rPr>
                <w:rFonts w:ascii="Calibri" w:eastAsia="Times New Roman" w:hAnsi="Calibri" w:cs="Times New Roman"/>
                <w:color w:val="000000"/>
              </w:rPr>
              <w:t>: 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vMerge/>
            <w:tcBorders>
              <w:left w:val="nil"/>
              <w:bottom w:val="single" w:sz="8" w:space="0" w:color="auto"/>
              <w:right w:val="nil"/>
            </w:tcBorders>
            <w:vAlign w:val="center"/>
          </w:tcPr>
          <w:p w:rsidR="001878AC" w:rsidRPr="00112415" w:rsidRDefault="001878AC" w:rsidP="001878AC">
            <w:pPr>
              <w:spacing w:after="0" w:line="240" w:lineRule="auto"/>
              <w:jc w:val="center"/>
              <w:rPr>
                <w:rFonts w:ascii="Calibri" w:eastAsia="Times New Roman" w:hAnsi="Calibri" w:cs="Times New Roman"/>
                <w:color w:val="000000"/>
              </w:rPr>
            </w:pPr>
          </w:p>
        </w:tc>
      </w:tr>
      <w:tr w:rsidR="001878AC" w:rsidRPr="00817FAB" w:rsidTr="001878AC">
        <w:trPr>
          <w:trHeight w:val="615"/>
        </w:trPr>
        <w:tc>
          <w:tcPr>
            <w:tcW w:w="470" w:type="pct"/>
            <w:tcBorders>
              <w:top w:val="nil"/>
              <w:left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Bomblies</w:t>
            </w:r>
            <w:proofErr w:type="spellEnd"/>
            <w:r w:rsidRPr="00817FAB">
              <w:rPr>
                <w:rFonts w:ascii="Calibri" w:eastAsia="Times New Roman" w:hAnsi="Calibri" w:cs="Times New Roman"/>
                <w:color w:val="000000"/>
              </w:rPr>
              <w:t xml:space="preserve"> (2014)</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2500 x 2500m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10-80†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112415"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"10.1186/1756-3305-7-308", "ISBN" : "1756-3305", "abstract" : "Background: The modeling of malaria vector mosquito populations yields great insight into drivers of malaria transmission at the village scale. Simulation of individual mosquitoes as \u201cagents\u201d in a distributed, dynamic model domain may be greatly beneficial for simulation of spatial relationships of vectors and hosts. Methods: In this study, an agent-based model is used to simulate the life cycle and movement of individual malaria vector mosquitoes in a Niger Sahel village, with individual simulated mosquitoes interacting with their physical environment as well as humans. Various processes that are known to be epidemiologically important, such as the dependence of parity on flight distance between developmental habitat and blood meal hosts and therefore spatial relationships of pools and houses, are readily simulated using this modeling paradigm. Impacts of perturbations can be evaluated on the basis of vectorial capacity, because the interactions between individuals that make up the population- scale metric vectorial capacity can be easily tracked for simulated mosquitoes and human blood meal hosts, without the need to estimate vectorial capacity parameters. Results: As expected, model results show pronounced impacts of pool source reduction from larvicide application and draining, but with varying degrees of impact depending on the spatial relationship between pools and human habitation. Results highlight the importance of spatially-explicit simulation that can model individuals such as in an agent-based model. Conclusions: The impacts of perturbations on village scale malaria transmission depend on spatial locations of individual mosquitoes, as well as the tracking of relevant life cycle events and characteristics of individual mosquitoes. This study demonstrates advantages of using an agent-based approach for village-scale mosquito simulation to address questions in which spatial relationships are known to be important.", "author" : [ { "dropping-particle" : "", "family" : "Bomblies", "given" : "Arne", "non-dropping-particle" : "", "parse-names" : false, "suffix" : "" } ], "container-title" : "Parasites &amp; Vectors", "id" : "ITEM-1", "issue" : "1", "issued" : { "date-parts" : [ [ "2014" ] ] }, "page" : "308-317", "title" : "Agent-based modeling of malaria vectors: the importance of spatial simulation", "type" : "article-journal", "volume" : "7" }, "uris" : [ "http://www.mendeley.com/documents/?uuid=f5d00c53-c88b-47d2-9904-6db608c84b32" ] } ], "mendeley" : { "formattedCitation" : "(11)", "plainTextFormattedCitation" : "(11)", "previouslyFormattedCitation" : "(11)"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(11)</w:t>
            </w:r>
            <w:r>
              <w:rPr>
                <w:rFonts w:ascii="Calibri" w:eastAsia="Times New Roman" w:hAnsi="Calibri" w:cs="Times New Roman"/>
                <w:color w:val="000000"/>
              </w:rPr>
              <w:fldChar w:fldCharType="end"/>
            </w:r>
          </w:p>
        </w:tc>
      </w:tr>
      <w:tr w:rsidR="001878AC" w:rsidRPr="00817FAB" w:rsidTr="001878AC">
        <w:trPr>
          <w:trHeight w:val="615"/>
        </w:trPr>
        <w:tc>
          <w:tcPr>
            <w:tcW w:w="470" w:type="pct"/>
            <w:tcBorders>
              <w:left w:val="nil"/>
              <w:right w:val="single" w:sz="8" w:space="0" w:color="auto"/>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p>
        </w:tc>
        <w:tc>
          <w:tcPr>
            <w:tcW w:w="551" w:type="pct"/>
            <w:tcBorders>
              <w:left w:val="nil"/>
              <w:right w:val="single" w:sz="12" w:space="0" w:color="auto"/>
            </w:tcBorders>
            <w:shd w:val="clear" w:color="auto" w:fill="auto"/>
            <w:vAlign w:val="center"/>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Pr>
                <w:rFonts w:ascii="Calibri" w:eastAsia="Times New Roman" w:hAnsi="Calibri" w:cs="Times New Roman"/>
                <w:color w:val="000000"/>
              </w:rPr>
              <w:t>Yamana</w:t>
            </w:r>
            <w:proofErr w:type="spellEnd"/>
            <w:r>
              <w:rPr>
                <w:rFonts w:ascii="Calibri" w:eastAsia="Times New Roman" w:hAnsi="Calibri" w:cs="Times New Roman"/>
                <w:color w:val="000000"/>
              </w:rPr>
              <w:t xml:space="preserve"> (2016)</w:t>
            </w:r>
          </w:p>
        </w:tc>
        <w:tc>
          <w:tcPr>
            <w:tcW w:w="977"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2500 x 2500m</w:t>
            </w:r>
          </w:p>
        </w:tc>
        <w:tc>
          <w:tcPr>
            <w:tcW w:w="985"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10-80</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112415"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"10.1016/j.advwatres.2016.10.003", "ISSN" : "03091708", "abstract" : "Malaria transmission is a complex system and in many parts of the world is closely related to climate conditions. However, studies on environmental determinants of malaria generally consider only concurrent climate conditions and ignore the historical or initial conditions of the system. Here, we demonstrate the concept of hysteresis in malaria transmission, defined as non-uniqueness of the relationship between malaria prevalence and concurrent climate conditions. We show the dependence of simulated malaria transmission on initial prevalence and the initial level of human immunity in the population. Using realistic time series of environmental variables, we quantify the effect of hysteresis in a modeled population. In a set of numerical experiments using HYDREMATS, a field-tested mechanistic model of malaria transmission, the simulated maximum malaria prevalence depends on both the initial prevalence and the initial level of human immunity in the population. We found the effects of initial conditions to be of comparable magnitude to the effects of interannual variability in environmental conditions in determining malaria prevalence. The memory associated with this hysteresis effect is longer in high transmission settings than in low transmission settings. Our results show that efforts to simulate and forecast malaria transmission must consider the exposure history of a location as well as the concurrent environmental drivers.", "author" : [ { "dropping-particle" : "", "family" : "Yamana", "given" : "Teresa K.", "non-dropping-particle" : "", "parse-names" : false, "suffix" : "" }, { "dropping-particle" : "", "family" : "Qiu", "given" : "Xin", "non-dropping-particle" : "", "parse-names" : false, "suffix" : "" }, { "dropping-particle" : "", "family" : "Eltahir", "given" : "Elfatih A.B.", "non-dropping-particle" : "", "parse-names" : false, "suffix" : "" } ], "container-title" : "Advances in Water Resources", "id" : "ITEM-1", "issued" : { "date-parts" : [ [ "2017" ] ] }, "page" : "416-422", "publisher" : "Elsevier Ltd", "title" : "Hysteresis in simulations of malaria transmission", "type" : "article-journal", "volume" : "108" }, "uris" : [ "http://www.mendeley.com/documents/?uuid=3e77c00c-c09f-452c-a1d7-1dd709016c3d" ] } ], "mendeley" : { "formattedCitation" : "(12)", "plainTextFormattedCitation" : "(12)", "previouslyFormattedCitation" : "(12)"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(12)</w:t>
            </w:r>
            <w:r>
              <w:rPr>
                <w:rFonts w:ascii="Calibri" w:eastAsia="Times New Roman" w:hAnsi="Calibri" w:cs="Times New Roman"/>
                <w:color w:val="000000"/>
              </w:rPr>
              <w:fldChar w:fldCharType="end"/>
            </w:r>
          </w:p>
        </w:tc>
      </w:tr>
      <w:tr w:rsidR="001878AC" w:rsidRPr="00817FAB" w:rsidTr="001878AC">
        <w:trPr>
          <w:trHeight w:val="615"/>
        </w:trPr>
        <w:tc>
          <w:tcPr>
            <w:tcW w:w="470" w:type="pct"/>
            <w:tcBorders>
              <w:left w:val="nil"/>
              <w:right w:val="single" w:sz="8" w:space="0" w:color="auto"/>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p>
        </w:tc>
        <w:tc>
          <w:tcPr>
            <w:tcW w:w="551" w:type="pct"/>
            <w:tcBorders>
              <w:left w:val="nil"/>
              <w:right w:val="single" w:sz="12" w:space="0" w:color="auto"/>
            </w:tcBorders>
            <w:shd w:val="clear" w:color="auto" w:fill="auto"/>
            <w:vAlign w:val="center"/>
          </w:tcPr>
          <w:p w:rsidR="001878AC" w:rsidRDefault="001878AC" w:rsidP="007B6068">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Endo (2016)</w:t>
            </w:r>
          </w:p>
        </w:tc>
        <w:tc>
          <w:tcPr>
            <w:tcW w:w="977" w:type="pct"/>
            <w:tcBorders>
              <w:top w:val="nil"/>
              <w:left w:val="nil"/>
              <w:bottom w:val="single" w:sz="8" w:space="0" w:color="auto"/>
              <w:right w:val="nil"/>
            </w:tcBorders>
            <w:shd w:val="clear" w:color="auto" w:fill="auto"/>
            <w:vAlign w:val="center"/>
          </w:tcPr>
          <w:p w:rsidR="001878AC"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Grid-based, non-absorbing boundaries</w:t>
            </w:r>
          </w:p>
        </w:tc>
        <w:tc>
          <w:tcPr>
            <w:tcW w:w="472"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1500 x 1000m</w:t>
            </w:r>
          </w:p>
        </w:tc>
        <w:tc>
          <w:tcPr>
            <w:tcW w:w="985"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w:t>
            </w:r>
          </w:p>
        </w:tc>
        <w:tc>
          <w:tcPr>
            <w:tcW w:w="309"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tcPr>
          <w:p w:rsidR="001878AC"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sidRPr="00112415">
              <w:rPr>
                <w:rFonts w:ascii="Calibri" w:eastAsia="Times New Roman" w:hAnsi="Calibri" w:cs="Times New Roman"/>
                <w:color w:val="000000"/>
              </w:rPr>
              <w:t>H</w:t>
            </w:r>
          </w:p>
        </w:tc>
        <w:tc>
          <w:tcPr>
            <w:tcW w:w="308" w:type="pct"/>
            <w:tcBorders>
              <w:top w:val="nil"/>
              <w:left w:val="nil"/>
              <w:bottom w:val="single" w:sz="8" w:space="0" w:color="auto"/>
              <w:right w:val="nil"/>
            </w:tcBorders>
            <w:vAlign w:val="center"/>
          </w:tcPr>
          <w:p w:rsidR="001878AC" w:rsidRPr="00112415"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"10.1186/s12936-016-1633-7", "ISBN" : "1293601616", "ISSN" : "14752875", "PMID" : "27903266", "abstract" : "Malaria transmission is complex, involving a range of hydroclimatological, biological, and environmental processes. The high degree of non-linearity in these processes makes it difficult to predict and intervene against malaria. This study seeks both to define a minimal number of malaria transmission determinants, and to provide a theoretical basis for sustainable environmental manipulation to prevent malaria transmission. Using a field-tested mechanistic malaria model, HYDREMATS, a theoretical study was conducted under hypothetical conditions. Simulations were conducted with a range of hydroclimatological and environmental conditions: temperature (t), length of wet season (Twet), storm inter-arrival time (Tint), persistence of vector breeding pools (Ton), and distribution of houses from breeding pools and from each other (Xdist and Ydist, respectively). Based on the theoretical study, a malaria time scale, To, and a predictive theory of malaria transmission were introduced. The performance of the predictive theory was compared against the observational malaria transmission data in West Africa. Population density was used to estimate the scale that describes the spatial distribution of houses. The predictive theory shows a universality in malaria endemic conditions when plotted using two newly-introduced dimension-less parameters. The projected malaria transmission potential compared well with the observation data, and the apparent differences were discussed. The results illustrate the importance of spatial aspects in malaria transmission. The predictive theory is useful in measuring malaria transmission potential, and it can also provide guidelines on how to plan the layout of human habitats in order to prevent endemic malaria. Malaria-resistant villages can be designed by locating houses further than critical distances away from breeding pools or by removing pools within a critical distance from houses; the critical distance is described in the context of local climatology and hydrology.", "author" : [ { "dropping-particle" : "", "family" : "Endo", "given" : "Noriko", "non-dropping-particle" : "", "parse-names" : false, "suffix" : "" }, { "dropping-particle" : "", "family" : "Eltahir", "given" : "Elfatih A.B.", "non-dropping-particle" : "", "parse-names" : false, "suffix" : "" } ], "container-title" : "Malaria Journal", "id" : "ITEM-1", "issue" : "1", "issued" : { "date-parts" : [ [ "2016" ] ] }, "page" : "1-11", "publisher" : "BioMed Central", "title" : "Environmental determinants of malaria transmission in African villages", "type" : "article-journal", "volume" : "15" }, "uris" : [ "http://www.mendeley.com/documents/?uuid=004c347c-8f8f-4c6f-81ca-2c0aa97b0eb9" ] } ], "mendeley" : { "formattedCitation" : "(13)", "plainTextFormattedCitation" : "(13)", "previouslyFormattedCitation" : "(13)"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(13)</w:t>
            </w:r>
            <w:r>
              <w:rPr>
                <w:rFonts w:ascii="Calibri" w:eastAsia="Times New Roman" w:hAnsi="Calibri" w:cs="Times New Roman"/>
                <w:color w:val="000000"/>
              </w:rPr>
              <w:fldChar w:fldCharType="end"/>
            </w:r>
          </w:p>
        </w:tc>
      </w:tr>
      <w:tr w:rsidR="001878AC" w:rsidRPr="00817FAB" w:rsidTr="001878AC">
        <w:trPr>
          <w:trHeight w:val="615"/>
        </w:trPr>
        <w:tc>
          <w:tcPr>
            <w:tcW w:w="470" w:type="pct"/>
            <w:tcBorders>
              <w:left w:val="nil"/>
              <w:bottom w:val="single" w:sz="8" w:space="0" w:color="auto"/>
              <w:right w:val="single" w:sz="8" w:space="0" w:color="auto"/>
            </w:tcBorders>
            <w:shd w:val="clear" w:color="auto" w:fill="auto"/>
            <w:vAlign w:val="center"/>
          </w:tcPr>
          <w:p w:rsidR="001878AC" w:rsidRPr="009F6527" w:rsidRDefault="001878AC" w:rsidP="007B6068">
            <w:pPr>
              <w:spacing w:after="0" w:line="240" w:lineRule="auto"/>
              <w:rPr>
                <w:rFonts w:ascii="Calibri" w:eastAsia="Times New Roman" w:hAnsi="Calibri" w:cs="Times New Roman"/>
                <w:color w:val="000000"/>
              </w:rPr>
            </w:pPr>
          </w:p>
        </w:tc>
        <w:tc>
          <w:tcPr>
            <w:tcW w:w="551" w:type="pct"/>
            <w:tcBorders>
              <w:left w:val="nil"/>
              <w:bottom w:val="single" w:sz="8" w:space="0" w:color="auto"/>
              <w:right w:val="single" w:sz="12" w:space="0" w:color="auto"/>
            </w:tcBorders>
            <w:shd w:val="clear" w:color="auto" w:fill="auto"/>
            <w:vAlign w:val="center"/>
          </w:tcPr>
          <w:p w:rsidR="001878AC" w:rsidRPr="00112415" w:rsidRDefault="001878AC" w:rsidP="007B6068">
            <w:pPr>
              <w:spacing w:after="0" w:line="240" w:lineRule="auto"/>
              <w:jc w:val="right"/>
              <w:rPr>
                <w:rFonts w:ascii="Calibri" w:eastAsia="Times New Roman" w:hAnsi="Calibri" w:cs="Times New Roman"/>
                <w:color w:val="000000"/>
              </w:rPr>
            </w:pPr>
            <w:r w:rsidRPr="00112415">
              <w:rPr>
                <w:rFonts w:ascii="Calibri" w:eastAsia="Times New Roman" w:hAnsi="Calibri" w:cs="Times New Roman"/>
                <w:color w:val="000000"/>
              </w:rPr>
              <w:t>Endo (2018)</w:t>
            </w:r>
          </w:p>
        </w:tc>
        <w:tc>
          <w:tcPr>
            <w:tcW w:w="977" w:type="pct"/>
            <w:tcBorders>
              <w:top w:val="nil"/>
              <w:left w:val="nil"/>
              <w:bottom w:val="single" w:sz="8" w:space="0" w:color="auto"/>
              <w:right w:val="nil"/>
            </w:tcBorders>
            <w:shd w:val="clear" w:color="auto" w:fill="auto"/>
            <w:vAlign w:val="center"/>
          </w:tcPr>
          <w:p w:rsidR="001878AC" w:rsidRPr="00050AFD"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tcPr>
          <w:p w:rsidR="001878AC" w:rsidRPr="009F6527" w:rsidRDefault="001878AC" w:rsidP="007B6068">
            <w:pPr>
              <w:spacing w:after="0" w:line="240" w:lineRule="auto"/>
              <w:jc w:val="center"/>
              <w:rPr>
                <w:rFonts w:ascii="Calibri" w:eastAsia="Times New Roman" w:hAnsi="Calibri" w:cs="Times New Roman"/>
                <w:color w:val="000000"/>
              </w:rPr>
            </w:pPr>
            <w:r w:rsidRPr="009F6527">
              <w:rPr>
                <w:rFonts w:ascii="Calibri" w:eastAsia="Times New Roman" w:hAnsi="Calibri" w:cs="Times New Roman"/>
                <w:color w:val="000000"/>
              </w:rPr>
              <w:t>3000 x 3000m</w:t>
            </w:r>
          </w:p>
        </w:tc>
        <w:tc>
          <w:tcPr>
            <w:tcW w:w="985" w:type="pct"/>
            <w:tcBorders>
              <w:top w:val="nil"/>
              <w:left w:val="nil"/>
              <w:bottom w:val="single" w:sz="8" w:space="0" w:color="auto"/>
              <w:right w:val="nil"/>
            </w:tcBorders>
            <w:shd w:val="clear" w:color="auto" w:fill="auto"/>
            <w:vAlign w:val="center"/>
          </w:tcPr>
          <w:p w:rsidR="001878AC" w:rsidRPr="00050AFD"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w:t>
            </w:r>
          </w:p>
        </w:tc>
        <w:tc>
          <w:tcPr>
            <w:tcW w:w="309" w:type="pct"/>
            <w:tcBorders>
              <w:top w:val="nil"/>
              <w:left w:val="nil"/>
              <w:bottom w:val="single" w:sz="8" w:space="0" w:color="auto"/>
              <w:right w:val="nil"/>
            </w:tcBorders>
            <w:shd w:val="clear" w:color="auto" w:fill="auto"/>
            <w:vAlign w:val="center"/>
          </w:tcPr>
          <w:p w:rsidR="001878AC" w:rsidRPr="009F6527" w:rsidRDefault="001878AC" w:rsidP="007B6068">
            <w:pPr>
              <w:spacing w:after="0" w:line="240" w:lineRule="auto"/>
              <w:jc w:val="center"/>
              <w:rPr>
                <w:rFonts w:ascii="Calibri" w:eastAsia="Times New Roman" w:hAnsi="Calibri" w:cs="Times New Roman"/>
                <w:color w:val="000000"/>
              </w:rPr>
            </w:pPr>
            <w:r w:rsidRPr="009F6527">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tcPr>
          <w:p w:rsidR="001878AC" w:rsidRPr="009F6527" w:rsidRDefault="001878AC" w:rsidP="007B6068">
            <w:pPr>
              <w:spacing w:after="0" w:line="240" w:lineRule="auto"/>
              <w:jc w:val="center"/>
              <w:rPr>
                <w:rFonts w:ascii="Calibri" w:eastAsia="Times New Roman" w:hAnsi="Calibri" w:cs="Times New Roman"/>
                <w:color w:val="000000"/>
              </w:rPr>
            </w:pPr>
            <w:r w:rsidRPr="009F6527">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tcPr>
          <w:p w:rsidR="001878AC" w:rsidRPr="0000456D" w:rsidRDefault="001878AC" w:rsidP="007B6068">
            <w:pPr>
              <w:spacing w:after="0" w:line="240" w:lineRule="auto"/>
              <w:jc w:val="center"/>
              <w:rPr>
                <w:rFonts w:ascii="Calibri" w:eastAsia="Times New Roman" w:hAnsi="Calibri" w:cs="Times New Roman"/>
                <w:color w:val="000000"/>
              </w:rPr>
            </w:pPr>
            <w:r w:rsidRPr="0000456D">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112415"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"10.1002/2017GH000108", "ISSN" : "24711403", "author" : [ { "dropping-particle" : "", "family" : "Endo", "given" : "Noriko", "non-dropping-particle" : "", "parse-names" : false, "suffix" : "" }, { "dropping-particle" : "", "family" : "Eltahir", "given" : "Elfatih A. B.", "non-dropping-particle" : "", "parse-names" : false, "suffix" : "" } ], "container-title" : "GeoHealth", "id" : "ITEM-1", "issue" : "3", "issued" : { "date-parts" : [ [ "2018" ] ] }, "page" : "104-115", "title" : "Environmental Determinants of Malaria Transmission Around the Koka Reservoir in Ethiopia", "type" : "article-journal", "volume" : "2" }, "uris" : [ "http://www.mendeley.com/documents/?uuid=5a458777-13c5-4096-af4c-75dec58057fa" ] } ], "mendeley" : { "formattedCitation" : "(14)", "plainTextFormattedCitation" : "(14)", "previouslyFormattedCitation" : "(14)"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(14)</w:t>
            </w:r>
            <w:r>
              <w:rPr>
                <w:rFonts w:ascii="Calibri" w:eastAsia="Times New Roman" w:hAnsi="Calibri" w:cs="Times New Roman"/>
                <w:color w:val="000000"/>
              </w:rPr>
              <w:fldChar w:fldCharType="end"/>
            </w:r>
          </w:p>
        </w:tc>
      </w:tr>
      <w:tr w:rsidR="001878AC" w:rsidRPr="00817FAB" w:rsidTr="001878AC">
        <w:trPr>
          <w:trHeight w:val="315"/>
        </w:trPr>
        <w:tc>
          <w:tcPr>
            <w:tcW w:w="1021" w:type="pct"/>
            <w:gridSpan w:val="2"/>
            <w:tcBorders>
              <w:top w:val="single" w:sz="8" w:space="0" w:color="auto"/>
              <w:left w:val="nil"/>
              <w:bottom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Zhou (2010)</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vAlign w:val="center"/>
          </w:tcPr>
          <w:p w:rsidR="001878AC" w:rsidRPr="009F6527" w:rsidRDefault="001878AC" w:rsidP="007B6068">
            <w:pPr>
              <w:spacing w:after="0" w:line="240" w:lineRule="auto"/>
              <w:jc w:val="center"/>
              <w:rPr>
                <w:rFonts w:ascii="Calibri" w:eastAsia="Times New Roman" w:hAnsi="Calibri" w:cs="Times New Roman"/>
                <w:color w:val="000000"/>
              </w:rPr>
            </w:pPr>
          </w:p>
        </w:tc>
        <w:tc>
          <w:tcPr>
            <w:tcW w:w="308" w:type="pct"/>
            <w:tcBorders>
              <w:top w:val="nil"/>
              <w:left w:val="nil"/>
              <w:bottom w:val="single" w:sz="8" w:space="0" w:color="auto"/>
              <w:right w:val="nil"/>
            </w:tcBorders>
            <w:vAlign w:val="center"/>
          </w:tcPr>
          <w:p w:rsidR="001878AC" w:rsidRPr="009F6527" w:rsidRDefault="001878AC" w:rsidP="001878AC">
            <w:pPr>
              <w:spacing w:after="0" w:line="240" w:lineRule="auto"/>
              <w:jc w:val="center"/>
              <w:rPr>
                <w:rFonts w:ascii="Calibri" w:eastAsia="Times New Roman" w:hAnsi="Calibri" w:cs="Times New Roman"/>
                <w:color w:val="000000"/>
              </w:rPr>
            </w:pPr>
          </w:p>
        </w:tc>
      </w:tr>
      <w:tr w:rsidR="001878AC" w:rsidRPr="00817FAB" w:rsidTr="001878AC">
        <w:trPr>
          <w:trHeight w:val="915"/>
        </w:trPr>
        <w:tc>
          <w:tcPr>
            <w:tcW w:w="470" w:type="pct"/>
            <w:tcBorders>
              <w:top w:val="nil"/>
              <w:left w:val="nil"/>
              <w:bottom w:val="nil"/>
              <w:right w:val="single" w:sz="8" w:space="0" w:color="auto"/>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p>
        </w:tc>
        <w:tc>
          <w:tcPr>
            <w:tcW w:w="551" w:type="pct"/>
            <w:tcBorders>
              <w:top w:val="nil"/>
              <w:left w:val="nil"/>
              <w:bottom w:val="nil"/>
              <w:right w:val="single" w:sz="12" w:space="0" w:color="auto"/>
            </w:tcBorders>
            <w:shd w:val="clear" w:color="auto" w:fill="auto"/>
            <w:vAlign w:val="center"/>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Pr>
                <w:rFonts w:ascii="Calibri" w:eastAsia="Times New Roman" w:hAnsi="Calibri" w:cs="Times New Roman"/>
                <w:color w:val="000000"/>
              </w:rPr>
              <w:t>Arifin</w:t>
            </w:r>
            <w:proofErr w:type="spellEnd"/>
            <w:r>
              <w:rPr>
                <w:rFonts w:ascii="Calibri" w:eastAsia="Times New Roman" w:hAnsi="Calibri" w:cs="Times New Roman"/>
                <w:color w:val="000000"/>
              </w:rPr>
              <w:t xml:space="preserve"> (2011)</w:t>
            </w:r>
          </w:p>
        </w:tc>
        <w:tc>
          <w:tcPr>
            <w:tcW w:w="977"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N/A</w:t>
            </w:r>
          </w:p>
        </w:tc>
        <w:tc>
          <w:tcPr>
            <w:tcW w:w="985"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N/A</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255254" w:rsidRDefault="001878AC" w:rsidP="007B6068">
            <w:pPr>
              <w:spacing w:after="0" w:line="240" w:lineRule="auto"/>
              <w:jc w:val="center"/>
              <w:rPr>
                <w:rFonts w:ascii="Calibri" w:eastAsia="Times New Roman" w:hAnsi="Calibri" w:cs="Times New Roman"/>
                <w:color w:val="000000"/>
              </w:rPr>
            </w:pPr>
            <w:r w:rsidRPr="00255254">
              <w:rPr>
                <w:rFonts w:ascii="Calibri" w:eastAsia="Times New Roman" w:hAnsi="Calibri" w:cs="Times New Roman"/>
                <w:color w:val="000000"/>
              </w:rPr>
              <w:t>H</w:t>
            </w:r>
          </w:p>
        </w:tc>
        <w:tc>
          <w:tcPr>
            <w:tcW w:w="308" w:type="pct"/>
            <w:tcBorders>
              <w:top w:val="nil"/>
              <w:left w:val="nil"/>
              <w:bottom w:val="single" w:sz="8" w:space="0" w:color="auto"/>
              <w:right w:val="nil"/>
            </w:tcBorders>
            <w:vAlign w:val="center"/>
          </w:tcPr>
          <w:p w:rsidR="001878AC" w:rsidRPr="0025525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"10.4018/jats.2011070102", "ISBN" : "1-930638-56-6", "ISSN" : "1943-0744", "author" : [ { "dropping-particle" : "", "family" : "Arifin", "given" : "S. M. Niaz", "non-dropping-particle" : "", "parse-names" : false, "suffix" : "" }, { "dropping-particle" : "", "family" : "Davis", "given" : "Gregory J.", "non-dropping-particle" : "", "parse-names" : false, "suffix" : "" }, { "dropping-particle" : "", "family" : "Zhou", "given" : "Ying", "non-dropping-particle" : "", "parse-names" : false, "suffix" : "" } ], "container-title" : "International Journal of Agent Technologies and Systems", "id" : "ITEM-1", "issue" : "3", "issued" : { "date-parts" : [ [ "2011" ] ] }, "page" : "17-34", "title" : "A Spatial Agent-Based Model of Malaria", "type" : "article-journal", "volume" : "3" }, "uris" : [ "http://www.mendeley.com/documents/?uuid=daa3f1da-7e96-476c-8306-2012bb6e2500" ] } ], "mendeley" : { "formattedCitation" : "(15)", "plainTextFormattedCitation" : "(15)", "previouslyFormattedCitation" : "(15)"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(15)</w:t>
            </w:r>
            <w:r>
              <w:rPr>
                <w:rFonts w:ascii="Calibri" w:eastAsia="Times New Roman" w:hAnsi="Calibri" w:cs="Times New Roman"/>
                <w:color w:val="000000"/>
              </w:rPr>
              <w:fldChar w:fldCharType="end"/>
            </w:r>
          </w:p>
        </w:tc>
      </w:tr>
      <w:tr w:rsidR="001878AC" w:rsidRPr="00817FAB" w:rsidTr="001878AC">
        <w:trPr>
          <w:trHeight w:val="915"/>
        </w:trPr>
        <w:tc>
          <w:tcPr>
            <w:tcW w:w="470" w:type="pct"/>
            <w:tcBorders>
              <w:top w:val="nil"/>
              <w:left w:val="nil"/>
              <w:bottom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nil"/>
              <w:bottom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Arifin</w:t>
            </w:r>
            <w:proofErr w:type="spellEnd"/>
            <w:r w:rsidRPr="00817FAB">
              <w:rPr>
                <w:rFonts w:ascii="Calibri" w:eastAsia="Times New Roman" w:hAnsi="Calibri" w:cs="Times New Roman"/>
                <w:color w:val="000000"/>
              </w:rPr>
              <w:t xml:space="preserve"> (2013)</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 non-absorbing boundaries</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50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255254" w:rsidRDefault="001878AC" w:rsidP="007B6068">
            <w:pPr>
              <w:spacing w:after="0" w:line="240" w:lineRule="auto"/>
              <w:jc w:val="center"/>
              <w:rPr>
                <w:rFonts w:ascii="Calibri" w:eastAsia="Times New Roman" w:hAnsi="Calibri" w:cs="Times New Roman"/>
                <w:color w:val="000000"/>
              </w:rPr>
            </w:pPr>
            <w:r w:rsidRPr="00255254">
              <w:rPr>
                <w:rFonts w:ascii="Calibri" w:eastAsia="Times New Roman" w:hAnsi="Calibri" w:cs="Times New Roman"/>
                <w:color w:val="000000"/>
              </w:rPr>
              <w:t>H</w:t>
            </w:r>
          </w:p>
        </w:tc>
        <w:tc>
          <w:tcPr>
            <w:tcW w:w="308" w:type="pct"/>
            <w:tcBorders>
              <w:top w:val="nil"/>
              <w:left w:val="nil"/>
              <w:bottom w:val="single" w:sz="8" w:space="0" w:color="auto"/>
              <w:right w:val="nil"/>
            </w:tcBorders>
            <w:vAlign w:val="center"/>
          </w:tcPr>
          <w:p w:rsidR="001878AC" w:rsidRPr="0025525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"10.1186/1475-2875-12-290", "abstract" : "Background: Agent-based models (ABMs) have been used to estimate the effects of malaria-control interventions. Early studies have shown the efficacy of larval source management (LSM) and insecticide-treated nets (ITNs) as vector-control interventions, applied both in isolation and in combination. However, the robustness of results can be affected by several important modelling assumptions, including the type of boundary used for landscapes, and the number of replicated simulation runs reported in results. Selection of the ITN coverage definition may also affect the predictive findings. Hence, by replication, independent verification of prior findings of published models bears special importance. Methods: A spatially-explicit entomological ABM of Anopheles gambiae is used to simulate the resource-seeking process of mosquitoes in grid-based landscapes. To explore LSM and replicate results of an earlier LSM study, the original landscapes and scenarios are replicated by using a landscape generator tool, and 1,800 replicated simulations are run using absorbing and non-absorbing boundaries. To explore ITNs and evaluate the relative impacts of the different ITN coverage schemes, the settings of an earlier ITN study are replicated, the coverage schemes are defined and simulated, and 9,000 replicated simulations for three ITN parameters (coverage, repellence and mortality) are run. To evaluate LSM and ITNs in combination, landscapes with varying densities of houses and human populations are generated, and 12,000 simulations are run. Results: General agreement with an earlier LSM study is observed when an absorbing boundary is used. However, using a non-absorbing boundary produces significantly different results, which may be attributed to the unrealistic killing effect of an absorbing boundary. Abundance cannot be completely suppressed by removing aquatic habitats within 300 m of houses. Also, with density-dependent oviposition, removal of insufficient number of aquatic habitats may prove counter-productive. The importance of performing large number of simulation runs is also demonstrated. For ITNs, the choice of coverage scheme has important implications, and too high repellence yields detrimental effects. When LSM and ITNs are applied in combination, ITNs\u2019 mortality can play more important roles with higher densities of houses. With partial mortality, increasing ITN coverage is more effective than increasing LSM coverage, and integrating both interventions yie\u2026", "author" : [ { "dropping-particle" : "", "family" : "Arifin", "given" : "S M Niaz", "non-dropping-particle" : "", "parse-names" : false, "suffix" : "" }, { "dropping-particle" : "", "family" : "Madey", "given" : "Gregory R", "non-dropping-particle" : "", "parse-names" : false, "suffix" : "" }, { "dropping-particle" : "", "family" : "Collins", "given" : "Frank H", "non-dropping-particle" : "", "parse-names" : false, "suffix" : "" } ], "container-title" : "Malar J", "id" : "ITEM-1", "issue" : "1", "issued" : { "date-parts" : [ [ "2013" ] ] }, "page" : "290-313", "title" : "Examining the impact of larval source management and insecticide-treated nets using a spatial agent-based model of Anopheles gambiae and a landscape generator tool", "type" : "article-journal", "volume" : "12" }, "uris" : [ "http://www.mendeley.com/documents/?uuid=00950d1b-f9a6-4f09-bf04-dd31d8310fd1" ] } ], "mendeley" : { "formattedCitation" : "(16)", "plainTextFormattedCitation" : "(16)", "previouslyFormattedCitation" : "(16)"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(16)</w:t>
            </w:r>
            <w:r>
              <w:rPr>
                <w:rFonts w:ascii="Calibri" w:eastAsia="Times New Roman" w:hAnsi="Calibri" w:cs="Times New Roman"/>
                <w:color w:val="000000"/>
              </w:rPr>
              <w:fldChar w:fldCharType="end"/>
            </w:r>
          </w:p>
        </w:tc>
      </w:tr>
      <w:tr w:rsidR="001878AC" w:rsidRPr="00817FAB" w:rsidTr="001878AC">
        <w:trPr>
          <w:trHeight w:val="915"/>
        </w:trPr>
        <w:tc>
          <w:tcPr>
            <w:tcW w:w="470" w:type="pct"/>
            <w:tcBorders>
              <w:top w:val="nil"/>
              <w:left w:val="nil"/>
              <w:bottom w:val="nil"/>
              <w:right w:val="single" w:sz="8" w:space="0" w:color="auto"/>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p>
        </w:tc>
        <w:tc>
          <w:tcPr>
            <w:tcW w:w="551" w:type="pct"/>
            <w:tcBorders>
              <w:top w:val="nil"/>
              <w:left w:val="nil"/>
              <w:bottom w:val="nil"/>
              <w:right w:val="single" w:sz="12" w:space="0" w:color="auto"/>
            </w:tcBorders>
            <w:shd w:val="clear" w:color="auto" w:fill="auto"/>
            <w:vAlign w:val="center"/>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Pr>
                <w:rFonts w:ascii="Calibri" w:eastAsia="Times New Roman" w:hAnsi="Calibri" w:cs="Times New Roman"/>
                <w:color w:val="000000"/>
              </w:rPr>
              <w:t>Arifin</w:t>
            </w:r>
            <w:proofErr w:type="spellEnd"/>
            <w:r>
              <w:rPr>
                <w:rFonts w:ascii="Calibri" w:eastAsia="Times New Roman" w:hAnsi="Calibri" w:cs="Times New Roman"/>
                <w:color w:val="000000"/>
              </w:rPr>
              <w:t xml:space="preserve"> (2015)</w:t>
            </w:r>
          </w:p>
        </w:tc>
        <w:tc>
          <w:tcPr>
            <w:tcW w:w="977"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 non-absorbing boundaries</w:t>
            </w:r>
          </w:p>
        </w:tc>
        <w:tc>
          <w:tcPr>
            <w:tcW w:w="472"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4800 x 4750m</w:t>
            </w:r>
          </w:p>
        </w:tc>
        <w:tc>
          <w:tcPr>
            <w:tcW w:w="985"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50</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255254" w:rsidRDefault="001878AC" w:rsidP="007B6068">
            <w:pPr>
              <w:spacing w:after="0" w:line="240" w:lineRule="auto"/>
              <w:jc w:val="center"/>
              <w:rPr>
                <w:rFonts w:ascii="Calibri" w:eastAsia="Times New Roman" w:hAnsi="Calibri" w:cs="Times New Roman"/>
                <w:color w:val="000000"/>
              </w:rPr>
            </w:pPr>
            <w:r w:rsidRPr="00255254">
              <w:rPr>
                <w:rFonts w:ascii="Calibri" w:eastAsia="Times New Roman" w:hAnsi="Calibri" w:cs="Times New Roman"/>
                <w:color w:val="000000"/>
              </w:rPr>
              <w:t>H</w:t>
            </w:r>
          </w:p>
        </w:tc>
        <w:tc>
          <w:tcPr>
            <w:tcW w:w="308" w:type="pct"/>
            <w:tcBorders>
              <w:top w:val="nil"/>
              <w:left w:val="nil"/>
              <w:bottom w:val="single" w:sz="8" w:space="0" w:color="auto"/>
              <w:right w:val="nil"/>
            </w:tcBorders>
            <w:vAlign w:val="center"/>
          </w:tcPr>
          <w:p w:rsidR="001878AC" w:rsidRPr="0025525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"10.3390/land4020378", "ISBN" : "10.3390/land4020378", "ISSN" : "2073-445X", "abstract" : "A landscape epidemiology modeling framework is presented which integrates the simulation outputs from an established spatial agent-based model (ABM) of malaria with a geographic information system (GIS). For a study area in Kenya, five landscape scenarios are constructed with varying coverage levels of two mosquito-control interventions. For each scenario, maps are presented to show the average distributions of three output indices obtained from the results of 750 simulation runs. Hot spot analysis is performed to detect statistically significant hot spots and cold spots. Additional spatial analysis is conducted using ordinary kriging with circular semivariograms for all scenarios. The integration of epidemiological simulation-based results with spatial analyses techniques within a single modeling framework can be a valuable tool for conducting a variety of disease control activities such as exploring new biological insights, monitoring epidemiological landscape changes, and guiding resource allocation for further investigation.", "author" : [ { "dropping-particle" : "", "family" : "Arifin", "given" : "S.", "non-dropping-particle" : "", "parse-names" : false, "suffix" : "" }, { "dropping-particle" : "", "family" : "Arifin", "given" : "Rumana", "non-dropping-particle" : "", "parse-names" : false, "suffix" : "" }, { "dropping-particle" : "", "family" : "Pitts", "given" : "Dilkushi", "non-dropping-particle" : "", "parse-names" : false, "suffix" : "" }, { "dropping-particle" : "", "family" : "Rahman", "given" : "M.", "non-dropping-particle" : "", "parse-names" : false, "suffix" : "" }, { "dropping-particle" : "", "family" : "Nowreen", "given" : "Sara", "non-dropping-particle" : "", "parse-names" : false, "suffix" : "" }, { "dropping-particle" : "", "family" : "Madey", "given" : "Gregory", "non-dropping-particle" : "", "parse-names" : false, "suffix" : "" }, { "dropping-particle" : "", "family" : "Collins", "given" : "Frank", "non-dropping-particle" : "", "parse-names" : false, "suffix" : "" } ], "container-title" : "Land", "id" : "ITEM-1", "issue" : "2", "issued" : { "date-parts" : [ [ "2015" ] ] }, "page" : "378-412", "title" : "Landscape Epidemiology Modeling Using an Agent-Based Model and a Geographic Information System", "type" : "article-journal", "volume" : "4" }, "uris" : [ "http://www.mendeley.com/documents/?uuid=28e1fecb-9d72-48d2-9c38-bec7af3b16f2" ] } ], "mendeley" : { "formattedCitation" : "(17)", "plainTextFormattedCitation" : "(17)", "previouslyFormattedCitation" : "(17)"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(17)</w:t>
            </w:r>
            <w:r>
              <w:rPr>
                <w:rFonts w:ascii="Calibri" w:eastAsia="Times New Roman" w:hAnsi="Calibri" w:cs="Times New Roman"/>
                <w:color w:val="000000"/>
              </w:rPr>
              <w:fldChar w:fldCharType="end"/>
            </w:r>
          </w:p>
        </w:tc>
      </w:tr>
      <w:tr w:rsidR="001878AC" w:rsidRPr="00817FAB" w:rsidTr="001878AC">
        <w:trPr>
          <w:trHeight w:val="915"/>
        </w:trPr>
        <w:tc>
          <w:tcPr>
            <w:tcW w:w="470" w:type="pct"/>
            <w:tcBorders>
              <w:top w:val="nil"/>
              <w:left w:val="nil"/>
              <w:bottom w:val="nil"/>
              <w:right w:val="single" w:sz="8" w:space="0" w:color="auto"/>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p>
        </w:tc>
        <w:tc>
          <w:tcPr>
            <w:tcW w:w="551" w:type="pct"/>
            <w:tcBorders>
              <w:top w:val="nil"/>
              <w:left w:val="nil"/>
              <w:bottom w:val="nil"/>
              <w:right w:val="single" w:sz="12" w:space="0" w:color="auto"/>
            </w:tcBorders>
            <w:shd w:val="clear" w:color="auto" w:fill="auto"/>
            <w:vAlign w:val="center"/>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Pr>
                <w:rFonts w:ascii="Calibri" w:eastAsia="Times New Roman" w:hAnsi="Calibri" w:cs="Times New Roman"/>
                <w:color w:val="000000"/>
              </w:rPr>
              <w:t>Alam</w:t>
            </w:r>
            <w:proofErr w:type="spellEnd"/>
            <w:r>
              <w:rPr>
                <w:rFonts w:ascii="Calibri" w:eastAsia="Times New Roman" w:hAnsi="Calibri" w:cs="Times New Roman"/>
                <w:color w:val="000000"/>
              </w:rPr>
              <w:t xml:space="preserve"> (2017)</w:t>
            </w:r>
          </w:p>
        </w:tc>
        <w:tc>
          <w:tcPr>
            <w:tcW w:w="977"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Grid-based, non-absorbing boundaries</w:t>
            </w:r>
          </w:p>
        </w:tc>
        <w:tc>
          <w:tcPr>
            <w:tcW w:w="472"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2000 x 2000m</w:t>
            </w:r>
          </w:p>
        </w:tc>
        <w:tc>
          <w:tcPr>
            <w:tcW w:w="985"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50</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9F6527" w:rsidRDefault="001878AC" w:rsidP="007B6068">
            <w:pPr>
              <w:spacing w:after="0" w:line="240" w:lineRule="auto"/>
              <w:jc w:val="center"/>
              <w:rPr>
                <w:rFonts w:ascii="Calibri" w:eastAsia="Times New Roman" w:hAnsi="Calibri" w:cs="Times New Roman"/>
                <w:color w:val="000000"/>
              </w:rPr>
            </w:pPr>
            <w:r w:rsidRPr="009F6527">
              <w:rPr>
                <w:rFonts w:ascii="Calibri" w:eastAsia="Times New Roman" w:hAnsi="Calibri" w:cs="Times New Roman"/>
                <w:color w:val="000000"/>
              </w:rPr>
              <w:t>T</w:t>
            </w:r>
          </w:p>
        </w:tc>
        <w:tc>
          <w:tcPr>
            <w:tcW w:w="308" w:type="pct"/>
            <w:tcBorders>
              <w:top w:val="nil"/>
              <w:left w:val="nil"/>
              <w:bottom w:val="single" w:sz="8" w:space="0" w:color="auto"/>
              <w:right w:val="nil"/>
            </w:tcBorders>
            <w:vAlign w:val="center"/>
          </w:tcPr>
          <w:p w:rsidR="001878AC" w:rsidRPr="009F6527"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"10.1186/s12936-017-2075-6", "ISSN" : "14752875", "PMID" : "29078771", "abstract" : "Malaria, being a mosquito-borne infectious disease, is still one of the most devastating global health issues. The malaria vector Anopheles vagus is widely distributed in Asia and a dominant vector in Bandarban, Bangladesh. However, despite its wide distribution, no agent based model (ABM) of An. vagus has yet been developed. Additionally, its response to combined vector control interventions has not been examined. A spatial ABM, denoted as ABM $$_{vagus}$$ v a g u s , was designed and implemented based on the biological attributes of An. vagus by modifying an established, existing ABM of Anopheles gambiae. Environmental factors such as temperature and rainfall were incorporated into ABM $$_{vagus}$$ v a g u s using daily weather profiles. Real-life field data of Bandarban were used to generate landscapes which were used in the simulations. ABM $$_{vagus}$$ v a g u s was verified and validated using several standard techniques and against real-life field data. Using artificial landscapes, the individual and combined efficacies of existing vector control interventions are modeled, applied, and examined. Simulated female abundance curves generated by ABM $$_{vagus}$$ v a g u s closely follow the patterns observed in the field. Due to the use of daily temperature and rainfall data, ABM $$_{vagus}$$ v a g u s was able to generate seasonal patterns for a particular area. When two interventions were applied with parameters set to mid-ranges, ITNs/LLINs with IRS produced better results compared to the other cases. Moreover, any intervention combined with ITNs/LLINs yielded better results. Not surprisingly, three interventions applied in combination generate best results compared to any two interventions applied in combination. Output of ABM $$_{vagus}$$ v a g u s showed high sensitivity to real-life field data of the environmental factors and the landscape of a particular area. Hence, it is recommended to use the model for a given area in connection to its local field data. For applying combined interventions, three interventions altogether are highly recommended whenever possible. It is also suggested that ITNs/LLINs with IRS can be applied when three interventions are not available.", "author" : [ { "dropping-particle" : "", "family" : "Alam", "given" : "Mohammad Shafiul Md Zahangir", "non-dropping-particle" : "", "parse-names" : false, "suffix" : "" }, { "dropping-particle" : "", "family" : "Niaz Arifin", "given" : "S. M.", "non-dropping-particle" : "", "parse-names" : false, "suffix" : "" }, { "dropping-particle" : "", "family" : "Al-Amin", "given" : "Hasan Mohammad", "non-dropping-particle" : "", "parse-names" : false, "suffix" : "" }, { "dropping-particle" : "", "family" : "Alam", "given" : "Mohammad Shafiul Md Zahangir", "non-dropping-particle" : "", "parse-names" : false, "suffix" : "" }, { "dropping-particle" : "", "family" : "Rahman", "given" : "M. Sohel", "non-dropping-particle" : "", "parse-names" : false, "suffix" : "" } ], "container-title" : "Malaria Journal", "id" : "ITEM-1", "issue" : "1", "issued" : { "date-parts" : [ [ "2017", "12", "27" ] ] }, "page" : "1-20", "publisher" : "BioMed Central", "title" : "A spatial agent-based model of Anopheles vagus for malaria epidemiology: Examining the impact of vector control interventions", "type" : "article-journal", "volume" : "16" }, "uris" : [ "http://www.mendeley.com/documents/?uuid=4c6e407c-9202-4f78-b889-fd95526f4464" ] } ], "mendeley" : { "formattedCitation" : "(18)", "plainTextFormattedCitation" : "(18)", "previouslyFormattedCitation" : "(18)"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(18)</w:t>
            </w:r>
            <w:r>
              <w:rPr>
                <w:rFonts w:ascii="Calibri" w:eastAsia="Times New Roman" w:hAnsi="Calibri" w:cs="Times New Roman"/>
                <w:color w:val="000000"/>
              </w:rPr>
              <w:fldChar w:fldCharType="end"/>
            </w:r>
          </w:p>
        </w:tc>
      </w:tr>
      <w:tr w:rsidR="001878AC" w:rsidRPr="00817FAB" w:rsidTr="001878AC">
        <w:trPr>
          <w:trHeight w:val="315"/>
        </w:trPr>
        <w:tc>
          <w:tcPr>
            <w:tcW w:w="1021" w:type="pct"/>
            <w:gridSpan w:val="2"/>
            <w:tcBorders>
              <w:top w:val="single" w:sz="8" w:space="0" w:color="auto"/>
              <w:left w:val="nil"/>
              <w:bottom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Eckhoff</w:t>
            </w:r>
            <w:proofErr w:type="spellEnd"/>
            <w:r w:rsidRPr="00817FAB">
              <w:rPr>
                <w:rFonts w:ascii="Calibri" w:eastAsia="Times New Roman" w:hAnsi="Calibri" w:cs="Times New Roman"/>
                <w:color w:val="000000"/>
              </w:rPr>
              <w:t xml:space="preserve"> (2011)</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
        </w:tc>
        <w:tc>
          <w:tcPr>
            <w:tcW w:w="309" w:type="pct"/>
            <w:tcBorders>
              <w:top w:val="nil"/>
              <w:left w:val="nil"/>
              <w:bottom w:val="single" w:sz="8" w:space="0" w:color="auto"/>
              <w:right w:val="nil"/>
            </w:tcBorders>
            <w:vAlign w:val="center"/>
          </w:tcPr>
          <w:p w:rsidR="001878AC" w:rsidRPr="009F6527" w:rsidRDefault="001878AC" w:rsidP="007B6068">
            <w:pPr>
              <w:spacing w:after="0" w:line="240" w:lineRule="auto"/>
              <w:jc w:val="center"/>
              <w:rPr>
                <w:rFonts w:ascii="Calibri" w:eastAsia="Times New Roman" w:hAnsi="Calibri" w:cs="Times New Roman"/>
                <w:color w:val="000000"/>
              </w:rPr>
            </w:pPr>
          </w:p>
        </w:tc>
        <w:tc>
          <w:tcPr>
            <w:tcW w:w="308" w:type="pct"/>
            <w:tcBorders>
              <w:top w:val="nil"/>
              <w:left w:val="nil"/>
              <w:bottom w:val="single" w:sz="8" w:space="0" w:color="auto"/>
              <w:right w:val="nil"/>
            </w:tcBorders>
            <w:vAlign w:val="center"/>
          </w:tcPr>
          <w:p w:rsidR="001878AC" w:rsidRPr="009F6527" w:rsidRDefault="001878AC" w:rsidP="001878AC">
            <w:pPr>
              <w:spacing w:after="0" w:line="240" w:lineRule="auto"/>
              <w:jc w:val="center"/>
              <w:rPr>
                <w:rFonts w:ascii="Calibri" w:eastAsia="Times New Roman" w:hAnsi="Calibri" w:cs="Times New Roman"/>
                <w:color w:val="000000"/>
              </w:rPr>
            </w:pPr>
          </w:p>
        </w:tc>
      </w:tr>
      <w:tr w:rsidR="001878AC" w:rsidRPr="00817FAB" w:rsidTr="001878AC">
        <w:trPr>
          <w:trHeight w:val="615"/>
        </w:trPr>
        <w:tc>
          <w:tcPr>
            <w:tcW w:w="470" w:type="pct"/>
            <w:tcBorders>
              <w:top w:val="nil"/>
              <w:left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Gerardin</w:t>
            </w:r>
            <w:proofErr w:type="spellEnd"/>
            <w:r w:rsidRPr="00817FAB">
              <w:rPr>
                <w:rFonts w:ascii="Calibri" w:eastAsia="Times New Roman" w:hAnsi="Calibri" w:cs="Times New Roman"/>
                <w:color w:val="000000"/>
              </w:rPr>
              <w:t xml:space="preserve"> (2016)</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Patch-based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~31.5 sq. km†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sphere radius 50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Nil</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vAlign w:val="center"/>
          </w:tcPr>
          <w:p w:rsidR="001878AC" w:rsidRPr="00853407" w:rsidRDefault="001878AC"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3E66A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"10.1371/journal.pcbi.1004707", "ISBN" : "1553-7358 (Electronic)\\r1553-734X (Linking)", "ISSN" : "1553-7358", "PMID" : "26764905", "abstract" : "Mass campaigns with antimalarial drugs are potentially a powerful tool for local elimination of malaria, yet current diagnostic technologies are insufficiently sensitive to identify all individuals who harbor infections. At the same time, overtreatment of uninfected individuals increases the risk of accelerating emergence of drug resistance and losing community acceptance. Local heterogeneity in transmission intensity may allow campaign strategies that respond to index cases to successfully target subpatent infections while simultaneously limiting overtreatment. While selective targeting of hotspots of transmission has been proposed as a strategy for malaria control, such targeting has not been tested in the context of malaria elimination. Using household locations, demographics, and prevalence data from a survey of four health facility catchment areas in southern Zambia and an agent-based model of malaria transmission and immunity acquisition, a transmission intensity was fit to each household based on neighborhood age-dependent malaria prevalence. A set of individual infection trajectories was constructed for every household in each catchment area, accounting for heterogeneous exposure and immunity. Various campaign strategies-mass drug administration, mass screen and treat, focal mass drug administration, snowball reactive case detection, pooled sampling, and a hypothetical serological diagnostic-were simulated and evaluated for performance at finding infections, minimizing overtreatment, reducing clinical case counts, and interrupting transmission. For malaria control, presumptive treatment leads to substantial overtreatment without additional morbidity reduction under all but the highest transmission conditions. Compared with untargeted approaches, selective targeting of hotspots with drug campaigns is an ineffective tool for elimination due to limited sensitivity of available field diagnostics. Serological diagnosis is potentially an effective tool for malaria elimination but requires higher coverage to achieve similar results to mass distribution of presumptive treatment.", "author" : [ { "dropping-particle" : "", "family" : "Gerardin", "given" : "Jaline", "non-dropping-particle" : "", "parse-names" : false, "suffix" : "" }, { "dropping-particle" : "", "family" : "Bever", "given" : "Caitlin A", "non-dropping-particle" : "", "parse-names" : false, "suffix" : "" }, { "dropping-particle" : "", "family" : "Hamainza", "given" : "Busiku", "non-dropping-particle" : "", "parse-names" : false, "suffix" : "" }, { "dropping-particle" : "", "family" : "Miller", "given" : "John M", "non-dropping-particle" : "", "parse-names" : false, "suffix" : "" }, { "dropping-particle" : "", "family" : "Eckhoff", "given" : "Philip A", "non-dropping-particle" : "", "parse-names" : false, "suffix" : "" }, { "dropping-particle" : "", "family" : "Wenger", "given" : "Edward A.", "non-dropping-particle" : "", "parse-names" : false, "suffix" : "" } ], "container-title" : "PLOS Computational Biology", "id" : "ITEM-1", "issue" : "1", "issued" : { "date-parts" : [ [ "2016", "1", "14" ] ] }, "page" : "e1004707", "title" : "Optimal Population-Level Infection Detection Strategies for Malaria Control and Elimination in a Spatial Model of Malaria Transmission", "type" : "article-journal", "volume" : "12" }, "uris" : [ "http://www.mendeley.com/documents/?uuid=9dada0b9-8c47-4286-b01c-da763387d3f3" ] } ], "mendeley" : { "formattedCitation" : "(19)", "plainTextFormattedCitation" : "(19)", "previouslyFormattedCitation" : "(19)"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(19)</w:t>
            </w:r>
            <w:r>
              <w:rPr>
                <w:rFonts w:ascii="Calibri" w:eastAsia="Times New Roman" w:hAnsi="Calibri" w:cs="Times New Roman"/>
                <w:color w:val="000000"/>
              </w:rPr>
              <w:fldChar w:fldCharType="end"/>
            </w:r>
          </w:p>
        </w:tc>
      </w:tr>
      <w:tr w:rsidR="001878AC" w:rsidRPr="00817FAB" w:rsidTr="001878AC">
        <w:trPr>
          <w:trHeight w:val="1215"/>
        </w:trPr>
        <w:tc>
          <w:tcPr>
            <w:tcW w:w="470" w:type="pct"/>
            <w:tcBorders>
              <w:top w:val="nil"/>
              <w:left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Eckhoff</w:t>
            </w:r>
            <w:proofErr w:type="spellEnd"/>
            <w:r w:rsidRPr="00817FAB">
              <w:rPr>
                <w:rFonts w:ascii="Calibri" w:eastAsia="Times New Roman" w:hAnsi="Calibri" w:cs="Times New Roman"/>
                <w:color w:val="000000"/>
              </w:rPr>
              <w:t xml:space="preserve"> (2016)</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Patch-based environment, grid-based movement</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10000 x 10000m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1000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853407"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"10.1073/pnas.1611064114", "ISBN" : "0027-8424", "ISSN" : "1091-6490", "PMID" : "28028208", "abstract" : "The renewed effort to eliminate malaria and permanently remove its tremendous burden highlights questions of what combination of tools would be sufficient in various settings and what new tools need to be developed. Gene drive mosquitoes constitute a promising set of tools, with multiple different possible approaches including population replacement with introduced genes limiting malaria transmission, driving-Y chromosomes to collapse a mosquito population, and gene drive disrupting a fertility gene and thereby achieving population suppression or collapse. Each of these approaches has had recent success and advances under laboratory conditions, raising the urgency for understanding how each could be deployed in the real world and the potential impacts of each. New analyses are needed as existing models of gene drive primarily focus on nonseasonal or nonspatial dynamics. We use a mechanistic, spatially explicit, stochastic, individual-based mathematical model to simulate each gene drive approach in a variety of sub-Saharan African settings. Each approach exhibits a broad region of gene construct parameter space with successful elimination of malaria transmission due to the targeted vector species. The introduction of realistic seasonality in vector population dynamics facilitates gene drive success compared with nonseasonal analyses. Spatial simulations illustrate constraints on release timing, frequency, and spatial density in the most challenging settings for construct success. Within its parameter space for success, each gene drive approach provides a tool for malaria elimination unlike anything presently available. Provided potential barriers to success are surmounted, each achieves high efficacy at reducing transmission potential and lower delivery requirements in logistically challenged settings.", "author" : [ { "dropping-particle" : "", "family" : "Eckhoff", "given" : "Philip A", "non-dropping-particle" : "", "parse-names" : false, "suffix" : "" }, { "dropping-particle" : "", "family" : "Wenger", "given" : "Edward A", "non-dropping-particle" : "", "parse-names" : false, "suffix" : "" }, { "dropping-particle" : "", "family" : "Godfray", "given" : "H Charles J", "non-dropping-particle" : "", "parse-names" : false, "suffix" : "" }, { "dropping-particle" : "", "family" : "Burt", "given" : "Austin", "non-dropping-particle" : "", "parse-names" : false, "suffix" : "" } ], "container-title" : "Proceedings of the National Academy of Sciences of the United States of America", "id" : "ITEM-1", "issue" : "2", "issued" : { "date-parts" : [ [ "2016" ] ] }, "page" : "E255-E264", "title" : "Impact of mosquito gene drive on malaria elimination in a computational model with explicit spatial and temporal dynamics.", "type" : "article-journal", "volume" : "114" }, "uris" : [ "http://www.mendeley.com/documents/?uuid=5ab59758-0a05-46ea-b582-dbc1408b663e" ] } ], "mendeley" : { "formattedCitation" : "(20)", "plainTextFormattedCitation" : "(20)", "previouslyFormattedCitation" : "(20)"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(20)</w:t>
            </w:r>
            <w:r>
              <w:rPr>
                <w:rFonts w:ascii="Calibri" w:eastAsia="Times New Roman" w:hAnsi="Calibri" w:cs="Times New Roman"/>
                <w:color w:val="000000"/>
              </w:rPr>
              <w:fldChar w:fldCharType="end"/>
            </w:r>
          </w:p>
        </w:tc>
      </w:tr>
      <w:tr w:rsidR="001878AC" w:rsidRPr="00817FAB" w:rsidTr="001878AC">
        <w:trPr>
          <w:trHeight w:val="1215"/>
        </w:trPr>
        <w:tc>
          <w:tcPr>
            <w:tcW w:w="470" w:type="pct"/>
            <w:tcBorders>
              <w:left w:val="nil"/>
              <w:bottom w:val="single" w:sz="8" w:space="0" w:color="auto"/>
              <w:right w:val="single" w:sz="8" w:space="0" w:color="auto"/>
            </w:tcBorders>
            <w:shd w:val="clear" w:color="auto" w:fill="auto"/>
            <w:vAlign w:val="center"/>
          </w:tcPr>
          <w:p w:rsidR="001878AC" w:rsidRPr="009F6527" w:rsidRDefault="001878AC" w:rsidP="007B6068">
            <w:pPr>
              <w:spacing w:after="0" w:line="240" w:lineRule="auto"/>
              <w:rPr>
                <w:rFonts w:ascii="Calibri" w:eastAsia="Times New Roman" w:hAnsi="Calibri" w:cs="Times New Roman"/>
                <w:color w:val="000000"/>
              </w:rPr>
            </w:pPr>
          </w:p>
        </w:tc>
        <w:tc>
          <w:tcPr>
            <w:tcW w:w="551" w:type="pct"/>
            <w:tcBorders>
              <w:left w:val="nil"/>
              <w:bottom w:val="single" w:sz="8" w:space="0" w:color="auto"/>
              <w:right w:val="single" w:sz="12" w:space="0" w:color="auto"/>
            </w:tcBorders>
            <w:shd w:val="clear" w:color="auto" w:fill="auto"/>
            <w:vAlign w:val="center"/>
          </w:tcPr>
          <w:p w:rsidR="001878AC" w:rsidRPr="00596F85" w:rsidRDefault="001878AC" w:rsidP="007B6068">
            <w:pPr>
              <w:spacing w:after="0" w:line="240" w:lineRule="auto"/>
              <w:jc w:val="right"/>
              <w:rPr>
                <w:rFonts w:ascii="Calibri" w:eastAsia="Times New Roman" w:hAnsi="Calibri" w:cs="Times New Roman"/>
                <w:color w:val="000000"/>
              </w:rPr>
            </w:pPr>
            <w:proofErr w:type="spellStart"/>
            <w:r>
              <w:rPr>
                <w:rFonts w:ascii="Calibri" w:eastAsia="Times New Roman" w:hAnsi="Calibri" w:cs="Times New Roman"/>
                <w:color w:val="000000"/>
              </w:rPr>
              <w:t>Gerardin</w:t>
            </w:r>
            <w:proofErr w:type="spellEnd"/>
            <w:r w:rsidRPr="00596F85">
              <w:rPr>
                <w:rFonts w:ascii="Calibri" w:eastAsia="Times New Roman" w:hAnsi="Calibri" w:cs="Times New Roman"/>
                <w:color w:val="000000"/>
              </w:rPr>
              <w:t xml:space="preserve"> (2017)</w:t>
            </w:r>
          </w:p>
        </w:tc>
        <w:tc>
          <w:tcPr>
            <w:tcW w:w="977" w:type="pct"/>
            <w:tcBorders>
              <w:top w:val="nil"/>
              <w:left w:val="nil"/>
              <w:bottom w:val="single" w:sz="8" w:space="0" w:color="auto"/>
              <w:right w:val="nil"/>
            </w:tcBorders>
            <w:shd w:val="clear" w:color="auto" w:fill="auto"/>
            <w:vAlign w:val="center"/>
          </w:tcPr>
          <w:p w:rsidR="001878AC" w:rsidRPr="00596F85" w:rsidRDefault="001878AC" w:rsidP="007B6068">
            <w:pPr>
              <w:spacing w:after="0" w:line="240" w:lineRule="auto"/>
              <w:rPr>
                <w:rFonts w:ascii="Calibri" w:eastAsia="Times New Roman" w:hAnsi="Calibri" w:cs="Times New Roman"/>
                <w:color w:val="000000"/>
              </w:rPr>
            </w:pPr>
            <w:r w:rsidRPr="00C45088">
              <w:rPr>
                <w:rFonts w:ascii="Calibri" w:eastAsia="Times New Roman" w:hAnsi="Calibri" w:cs="Times New Roman"/>
                <w:color w:val="000000"/>
              </w:rPr>
              <w:t>Grid-based environment, unspecified movement</w:t>
            </w:r>
          </w:p>
        </w:tc>
        <w:tc>
          <w:tcPr>
            <w:tcW w:w="472" w:type="pct"/>
            <w:tcBorders>
              <w:top w:val="nil"/>
              <w:left w:val="nil"/>
              <w:bottom w:val="single" w:sz="8" w:space="0" w:color="auto"/>
              <w:right w:val="nil"/>
            </w:tcBorders>
            <w:shd w:val="clear" w:color="auto" w:fill="auto"/>
            <w:vAlign w:val="center"/>
          </w:tcPr>
          <w:p w:rsidR="001878AC" w:rsidRPr="00596F85" w:rsidRDefault="001878AC" w:rsidP="007B6068">
            <w:pPr>
              <w:spacing w:after="0" w:line="240" w:lineRule="auto"/>
              <w:jc w:val="center"/>
              <w:rPr>
                <w:rFonts w:ascii="Calibri" w:eastAsia="Times New Roman" w:hAnsi="Calibri" w:cs="Times New Roman"/>
                <w:color w:val="000000"/>
              </w:rPr>
            </w:pPr>
            <w:r w:rsidRPr="00C45088">
              <w:rPr>
                <w:rFonts w:ascii="Calibri" w:eastAsia="Times New Roman" w:hAnsi="Calibri" w:cs="Times New Roman"/>
                <w:color w:val="000000"/>
              </w:rPr>
              <w:t>~100km x 100km</w:t>
            </w:r>
          </w:p>
        </w:tc>
        <w:tc>
          <w:tcPr>
            <w:tcW w:w="985" w:type="pct"/>
            <w:tcBorders>
              <w:top w:val="nil"/>
              <w:left w:val="nil"/>
              <w:bottom w:val="single" w:sz="8" w:space="0" w:color="auto"/>
              <w:right w:val="nil"/>
            </w:tcBorders>
            <w:shd w:val="clear" w:color="auto" w:fill="auto"/>
            <w:vAlign w:val="center"/>
          </w:tcPr>
          <w:p w:rsidR="001878AC" w:rsidRPr="0061044B" w:rsidRDefault="001878AC" w:rsidP="007B6068">
            <w:pPr>
              <w:spacing w:after="0" w:line="240" w:lineRule="auto"/>
              <w:jc w:val="center"/>
              <w:rPr>
                <w:rFonts w:ascii="Calibri" w:eastAsia="Times New Roman" w:hAnsi="Calibri" w:cs="Times New Roman"/>
                <w:color w:val="000000"/>
              </w:rPr>
            </w:pPr>
            <w:r w:rsidRPr="0061044B">
              <w:rPr>
                <w:rFonts w:ascii="Calibri" w:eastAsia="Times New Roman" w:hAnsi="Calibri" w:cs="Times New Roman"/>
                <w:color w:val="000000"/>
              </w:rPr>
              <w:t>1000</w:t>
            </w:r>
          </w:p>
        </w:tc>
        <w:tc>
          <w:tcPr>
            <w:tcW w:w="309" w:type="pct"/>
            <w:tcBorders>
              <w:top w:val="nil"/>
              <w:left w:val="nil"/>
              <w:bottom w:val="single" w:sz="8" w:space="0" w:color="auto"/>
              <w:right w:val="nil"/>
            </w:tcBorders>
            <w:shd w:val="clear" w:color="auto" w:fill="auto"/>
            <w:vAlign w:val="center"/>
          </w:tcPr>
          <w:p w:rsidR="001878AC" w:rsidRPr="00030554" w:rsidRDefault="001878AC" w:rsidP="007B6068">
            <w:pPr>
              <w:spacing w:after="0" w:line="240" w:lineRule="auto"/>
              <w:jc w:val="center"/>
              <w:rPr>
                <w:rFonts w:ascii="Calibri" w:eastAsia="Times New Roman" w:hAnsi="Calibri" w:cs="Times New Roman"/>
                <w:color w:val="000000"/>
              </w:rPr>
            </w:pPr>
            <w:proofErr w:type="gramStart"/>
            <w:r w:rsidRPr="00030554">
              <w:rPr>
                <w:rFonts w:ascii="Calibri" w:eastAsia="Times New Roman" w:hAnsi="Calibri" w:cs="Times New Roman"/>
                <w:color w:val="000000"/>
              </w:rPr>
              <w:t>H,M</w:t>
            </w:r>
            <w:proofErr w:type="gramEnd"/>
          </w:p>
        </w:tc>
        <w:tc>
          <w:tcPr>
            <w:tcW w:w="309" w:type="pct"/>
            <w:tcBorders>
              <w:top w:val="nil"/>
              <w:left w:val="nil"/>
              <w:bottom w:val="single" w:sz="8" w:space="0" w:color="auto"/>
              <w:right w:val="nil"/>
            </w:tcBorders>
            <w:shd w:val="clear" w:color="auto" w:fill="auto"/>
            <w:vAlign w:val="center"/>
          </w:tcPr>
          <w:p w:rsidR="001878AC" w:rsidRPr="003E7EB4" w:rsidRDefault="001878AC" w:rsidP="007B6068">
            <w:pPr>
              <w:spacing w:after="0" w:line="240" w:lineRule="auto"/>
              <w:jc w:val="center"/>
              <w:rPr>
                <w:rFonts w:ascii="Calibri" w:eastAsia="Times New Roman" w:hAnsi="Calibri" w:cs="Times New Roman"/>
                <w:color w:val="000000"/>
              </w:rPr>
            </w:pPr>
            <w:r w:rsidRPr="003E7EB4">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596F85" w:rsidRDefault="001878AC" w:rsidP="007B6068">
            <w:pPr>
              <w:spacing w:after="0" w:line="240" w:lineRule="auto"/>
              <w:jc w:val="center"/>
              <w:rPr>
                <w:rFonts w:ascii="Calibri" w:eastAsia="Times New Roman" w:hAnsi="Calibri" w:cs="Times New Roman"/>
                <w:color w:val="000000"/>
              </w:rPr>
            </w:pPr>
            <w:r w:rsidRPr="00596F85">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596F85" w:rsidRDefault="001878AC" w:rsidP="007B6068">
            <w:pPr>
              <w:spacing w:after="0" w:line="240" w:lineRule="auto"/>
              <w:jc w:val="center"/>
              <w:rPr>
                <w:rFonts w:ascii="Calibri" w:eastAsia="Times New Roman" w:hAnsi="Calibri" w:cs="Times New Roman"/>
                <w:color w:val="000000"/>
              </w:rPr>
            </w:pPr>
            <w:r w:rsidRPr="00596F85">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596F85"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"10.1186/s12936-017-1903-z", "ISBN" : "1475-2875", "ISSN" : "14752875", "PMID" : "28606143", "abstract" : "BACKGROUND Reactive case detection could be a powerful tool in malaria elimination, as it selectively targets transmission pockets. However, field operations have yet to demonstrate under which conditions, if any, reactive case detection is best poised to push a region to elimination. This study uses mathematical modelling to assess how baseline transmission intensity and local interconnectedness affect the impact of reactive activities in the context of other possible intervention packages. METHODS Communities in Southern Province, Zambia, where elimination operations are currently underway, were used as representatives of three archetypes of malaria transmission: low-transmission, high household density; high-transmission, low household density; and high-transmission, high household density. Transmission at the spatially-connected household level was simulated with a dynamical model of malaria transmission, and local variation in vectorial capacity and intervention coverage were parameterized according to data collected from the area. Various potential intervention packages were imposed on each of the archetypical settings and the resulting likelihoods of elimination by the end of 2020 were compared. RESULTS Simulations predict that success of elimination campaigns in both low- and high-transmission areas is strongly dependent on stemming the flow of imported infections, underscoring the need for regional-scale strategies capable of reducing transmission concurrently across many connected areas. In historically low-transmission areas, treatment of clinical malaria should form the cornerstone of elimination operations, as most malaria infections in these areas are symptomatic and onward transmission would be mitigated through health system strengthening; reactive case detection has minimal impact in these settings. In historically high-transmission areas, vector control and case management are crucial for limiting outbreak size, and the asymptomatic reservoir must be addressed through reactive case detection or mass drug campaigns. CONCLUSIONS Reactive case detection is recommended only for settings where transmission has recently been reduced rather than all low-transmission settings. This is demonstrated in a modelling framework with strong out-of-sample accuracy across a range of transmission settings while including methodologies for understanding the most resource-effective allocations of health workers. This approach generalizes to providing a pl\u2026", "author" : [ { "dropping-particle" : "", "family" : "Gerardin", "given" : "Jaline", "non-dropping-particle" : "", "parse-names" : false, "suffix" : "" }, { "dropping-particle" : "", "family" : "Bever", "given" : "Caitlin A.", "non-dropping-particle" : "", "parse-names" : false, "suffix" : "" }, { "dropping-particle" : "", "family" : "Bridenbecker", "given" : "Daniel", "non-dropping-particle" : "", "parse-names" : false, "suffix" : "" }, { "dropping-particle" : "", "family" : "Hamainza", "given" : "Busiku", "non-dropping-particle" : "", "parse-names" : false, "suffix" : "" }, { "dropping-particle" : "", "family" : "Silumbe", "given" : "Kafula", "non-dropping-particle" : "", "parse-names" : false, "suffix" : "" }, { "dropping-particle" : "", "family" : "Miller", "given" : "John M.", "non-dropping-particle" : "", "parse-names" : false, "suffix" : "" }, { "dropping-particle" : "", "family" : "Eisele", "given" : "Thomas P.", "non-dropping-particle" : "", "parse-names" : false, "suffix" : "" }, { "dropping-particle" : "", "family" : "Eckhoff", "given" : "Philip A.", "non-dropping-particle" : "", "parse-names" : false, "suffix" : "" }, { "dropping-particle" : "", "family" : "Wenger", "given" : "Edward A.", "non-dropping-particle" : "", "parse-names" : false, "suffix" : "" } ], "container-title" : "Malaria Journal", "id" : "ITEM-1", "issue" : "1", "issued" : { "date-parts" : [ [ "2017" ] ] }, "page" : "1-17", "publisher" : "BioMed Central", "title" : "Effectiveness of reactive case detection for malaria elimination in three archetypical transmission settings: A modelling study", "type" : "article-journal", "volume" : "16" }, "uris" : [ "http://www.mendeley.com/documents/?uuid=19e30501-0ee2-4cc8-b6c8-d8262712d11c" ] } ], "mendeley" : { "formattedCitation" : "(21)", "plainTextFormattedCitation" : "(21)", "previouslyFormattedCitation" : "(21)"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(21)</w:t>
            </w:r>
            <w:r>
              <w:rPr>
                <w:rFonts w:ascii="Calibri" w:eastAsia="Times New Roman" w:hAnsi="Calibri" w:cs="Times New Roman"/>
                <w:color w:val="000000"/>
              </w:rPr>
              <w:fldChar w:fldCharType="end"/>
            </w:r>
          </w:p>
        </w:tc>
      </w:tr>
      <w:tr w:rsidR="001878AC" w:rsidRPr="00817FAB" w:rsidTr="001878AC">
        <w:trPr>
          <w:trHeight w:val="1215"/>
        </w:trPr>
        <w:tc>
          <w:tcPr>
            <w:tcW w:w="1021" w:type="pct"/>
            <w:gridSpan w:val="2"/>
            <w:tcBorders>
              <w:top w:val="single" w:sz="8" w:space="0" w:color="auto"/>
              <w:left w:val="nil"/>
              <w:bottom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Zhu (2015A)</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Continuous landscape, reflecting boundaries</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600 x 600m</w:t>
            </w:r>
          </w:p>
        </w:tc>
        <w:tc>
          <w:tcPr>
            <w:tcW w:w="985" w:type="pct"/>
            <w:tcBorders>
              <w:top w:val="nil"/>
              <w:left w:val="nil"/>
              <w:bottom w:val="single" w:sz="8" w:space="0" w:color="auto"/>
              <w:right w:val="nil"/>
            </w:tcBorders>
            <w:shd w:val="clear" w:color="auto" w:fill="auto"/>
            <w:vAlign w:val="center"/>
            <w:hideMark/>
          </w:tcPr>
          <w:p w:rsidR="001878AC"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w:t>
            </w:r>
            <w:r w:rsidR="001878AC" w:rsidRPr="00817FAB">
              <w:rPr>
                <w:rFonts w:ascii="Calibri" w:eastAsia="Times New Roman" w:hAnsi="Calibri" w:cs="Times New Roman"/>
                <w:color w:val="000000"/>
              </w:rPr>
              <w:t>il</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roofErr w:type="gramStart"/>
            <w:r w:rsidRPr="00817FAB">
              <w:rPr>
                <w:rFonts w:ascii="Calibri" w:eastAsia="Times New Roman" w:hAnsi="Calibri" w:cs="Times New Roman"/>
                <w:color w:val="000000"/>
              </w:rPr>
              <w:t>H,M</w:t>
            </w:r>
            <w:proofErr w:type="gramEnd"/>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3E66A4" w:rsidRDefault="001878AC"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T</w:t>
            </w:r>
          </w:p>
        </w:tc>
        <w:tc>
          <w:tcPr>
            <w:tcW w:w="308" w:type="pct"/>
            <w:tcBorders>
              <w:top w:val="nil"/>
              <w:left w:val="nil"/>
              <w:bottom w:val="single" w:sz="8" w:space="0" w:color="auto"/>
              <w:right w:val="nil"/>
            </w:tcBorders>
            <w:vAlign w:val="center"/>
          </w:tcPr>
          <w:p w:rsidR="001878AC" w:rsidRPr="003E66A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"10.1186/s12936-015-0555-0", "ISBN" : "1475-2875 (Electronic)\\r1475-2875 (Linking)", "ISSN" : "1475-2875", "PMID" : "25652678", "abstract" : "Background: Agent-based modelling (ABM) has been used to simulate mosquito life cycles and to evaluate vector control applications. However, most models lack sugar-feeding and resting behaviours or are based on mathematical equations lacking individual level randomness and spatial components of mosquito life. Here, a spatial individual-based model (IBM) incorporating sugar-feeding and resting behaviours of the malaria vector Anopheles gambiae was developed to estimate the impact of environmental sugar sources and resting sites on survival and biting behaviour. Methods: A spatial IBM containing An. gambiae mosquitoes and humans, as well as the village environment of houses, sugar sources, resting sites and larval habitat sites was developed. Anopheles gambiae behaviour rules were attributed at each step of the IBM: resting, host seeking, sugar feeding and breeding. Each step represented one second of time, and each simulation was set to run for 60 days and repeated 50 times. Scenarios of different densities and spatial distributions of sugar sources and outdoor resting sites were simulated and compared. Results: When the number of natural sugar sources was increased from 0 to 100 while the number of resting sites was held constant, mean daily survival rate increased from 2.5% to 85.1% for males and from 2.5% to 94.5% for females, mean human biting rate increased from 0 to 0.94 bites per human per day, and mean daily abundance increased from 1 to 477 for males and from 1 to 1,428 for females. When the number of outdoor resting sites was increased from 0 to 50 while the number of sugar sources was held constant, mean daily survival rate increased from 77.3% to 84.3% for males and from 86.7% to 93.9% for females, mean human biting rate increased from 0 to 0.52 bites per human per day, and mean daily abundance increased from 62 to 349 for males and from 257 to 1120 for females. All increases were significant (P &lt; 0.01). Survival was greater when sugar sources were randomly distributed in the whole village compared to clustering around outdoor resting sites or houses. Conclusions: Increases in densities of sugar sources or outdoor resting sites significantly increase the survival and human biting rates of An. gambiae mosquitoes. Survival of An. gambiae is more supported by random distribution of sugar sources than clustering of sugar sources around resting sites or houses. Density and spatial distribution of natural sugar sources and outdoor resting sites mod\u2026", "author" : [ { "dropping-particle" : "", "family" : "Zhu", "given" : "Lin", "non-dropping-particle" : "", "parse-names" : false, "suffix" : "" }, { "dropping-particle" : "", "family" : "Qualls", "given" : "Whitney A", "non-dropping-particle" : "", "parse-names" : false, "suffix" : "" }, { "dropping-particle" : "", "family" : "Marshall", "given" : "John M", "non-dropping-particle" : "", "parse-names" : false, "suffix" : "" }, { "dropping-particle" : "", "family" : "Arheart", "given" : "Kris L", "non-dropping-particle" : "", "parse-names" : false, "suffix" : "" }, { "dropping-particle" : "", "family" : "DeAngelis", "given" : "Donald L", "non-dropping-particle" : "", "parse-names" : false, "suffix" : "" }, { "dropping-particle" : "", "family" : "McManus", "given" : "John W", "non-dropping-particle" : "", "parse-names" : false, "suffix" : "" }, { "dropping-particle" : "", "family" : "Traore", "given" : "Sekou F", "non-dropping-particle" : "", "parse-names" : false, "suffix" : "" }, { "dropping-particle" : "", "family" : "Doumbia", "given" : "Seydou", "non-dropping-particle" : "", "parse-names" : false, "suffix" : "" }, { "dropping-particle" : "", "family" : "Schlein", "given" : "Yosef", "non-dropping-particle" : "", "parse-names" : false, "suffix" : "" }, { "dropping-particle" : "", "family" : "M\u00fcller", "given" : "G\u00fcnter C", "non-dropping-particle" : "", "parse-names" : false, "suffix" : "" }, { "dropping-particle" : "", "family" : "Beier", "given" : "John C", "non-dropping-particle" : "", "parse-names" : false, "suffix" : "" } ], "container-title" : "Malaria journal", "id" : "ITEM-1", "issue" : "1", "issued" : { "date-parts" : [ [ "2015" ] ] }, "page" : "59-73", "title" : "A spatial individual-based model predicting a great impact of copious sugar sources and resting sites on survival of Anopheles gambiae and malaria parasite transmission", "type" : "article-journal", "volume" : "14" }, "uris" : [ "http://www.mendeley.com/documents/?uuid=e689327b-c9f8-43dd-b0dc-80e91b14b666" ] } ], "mendeley" : { "formattedCitation" : "(22)", "plainTextFormattedCitation" : "(22)", "previouslyFormattedCitation" : "(22)"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(22)</w:t>
            </w:r>
            <w:r>
              <w:rPr>
                <w:rFonts w:ascii="Calibri" w:eastAsia="Times New Roman" w:hAnsi="Calibri" w:cs="Times New Roman"/>
                <w:color w:val="000000"/>
              </w:rPr>
              <w:fldChar w:fldCharType="end"/>
            </w:r>
          </w:p>
        </w:tc>
      </w:tr>
      <w:tr w:rsidR="001878AC" w:rsidRPr="00817FAB" w:rsidTr="001878AC">
        <w:trPr>
          <w:trHeight w:val="1215"/>
        </w:trPr>
        <w:tc>
          <w:tcPr>
            <w:tcW w:w="470" w:type="pct"/>
            <w:tcBorders>
              <w:top w:val="nil"/>
              <w:left w:val="nil"/>
              <w:bottom w:val="nil"/>
              <w:right w:val="single" w:sz="8"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nil"/>
              <w:bottom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r w:rsidRPr="00817FAB">
              <w:rPr>
                <w:rFonts w:ascii="Calibri" w:eastAsia="Times New Roman" w:hAnsi="Calibri" w:cs="Times New Roman"/>
                <w:color w:val="000000"/>
              </w:rPr>
              <w:t>Zhu (2015B)</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Continuous landscape, reflecting boundaries</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600 x 600m</w:t>
            </w:r>
          </w:p>
        </w:tc>
        <w:tc>
          <w:tcPr>
            <w:tcW w:w="985" w:type="pct"/>
            <w:tcBorders>
              <w:top w:val="nil"/>
              <w:left w:val="nil"/>
              <w:bottom w:val="single" w:sz="8" w:space="0" w:color="auto"/>
              <w:right w:val="nil"/>
            </w:tcBorders>
            <w:shd w:val="clear" w:color="auto" w:fill="auto"/>
            <w:vAlign w:val="center"/>
            <w:hideMark/>
          </w:tcPr>
          <w:p w:rsidR="001878AC"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w:t>
            </w:r>
            <w:r w:rsidR="001878AC" w:rsidRPr="00817FAB">
              <w:rPr>
                <w:rFonts w:ascii="Calibri" w:eastAsia="Times New Roman" w:hAnsi="Calibri" w:cs="Times New Roman"/>
                <w:color w:val="000000"/>
              </w:rPr>
              <w:t>il</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roofErr w:type="gramStart"/>
            <w:r w:rsidRPr="00817FAB">
              <w:rPr>
                <w:rFonts w:ascii="Calibri" w:eastAsia="Times New Roman" w:hAnsi="Calibri" w:cs="Times New Roman"/>
                <w:color w:val="000000"/>
              </w:rPr>
              <w:t>H,M</w:t>
            </w:r>
            <w:proofErr w:type="gramEnd"/>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3E66A4" w:rsidRDefault="001878AC"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T</w:t>
            </w:r>
          </w:p>
        </w:tc>
        <w:tc>
          <w:tcPr>
            <w:tcW w:w="308" w:type="pct"/>
            <w:tcBorders>
              <w:top w:val="nil"/>
              <w:left w:val="nil"/>
              <w:bottom w:val="single" w:sz="8" w:space="0" w:color="auto"/>
              <w:right w:val="nil"/>
            </w:tcBorders>
            <w:vAlign w:val="center"/>
          </w:tcPr>
          <w:p w:rsidR="001878AC" w:rsidRPr="003E66A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"10.1186/s12936-015-1012-9", "ISBN" : "1475-2875", "abstract" : "Background: The development of insecticide resistance and the increased outdoor-biting behaviour of malaria vectors reduce the efficiency of indoor vector control methods. Attractive toxic sugar baits (ATSBs), a method targeting the sugar-feeding behaviours of vectors both indoors and outdoors, is a promising supplement to indoor tools. The number and configuration of these ATSB stations needed for malaria control in a community needs to be determined. Methods: A hypothetical village, typical of those in sub-Saharan Africa, 600 \u00d7 600 m, consisting of houses, humans and essential resource requirements of Anopheles gambiae (sugar sources, outdoor resting sites, larval habitats) was simulated in a spatial individual-based model. Resource-rich and resource-poor environments were simulated separately. Eight types of configurations and different densities of ATSB stations were tested. Anopheles gambiae population size, human biting rate (HBR) and entomological inoculation rates (EIR) were compared between different ATSB configurations and densities. Each simulated scenario was run 50 times. Results: Compared to the outcomes not altered by ATSB treatment in the control scenario, in resource-rich and resource-poor environments, respectively, the optimum ATSB treatment reduced female abundance by 98.22 and 91.80 %, reduced HBR by 99.52 and 98.15 %, and reduced EIR by 99.99 and 100 %. In resource-rich environments, n \u00d7 n grid design, stations at sugar sources, resting sites, larval habitats, and random locations worked better in reducing vector population and HBRs than other configurations (P &lt; 0.0001). However, there was no significant difference of EIR reductions between all ATSB configurations (P &gt; 0.05). In resource-poor environments, there was no significant difference of female abundances, HBRs and EIRs between all ATSB configurations (P &gt; 0.05). The optimum number of ATSB stations was about 25 for resource-rich environments and nine for resource-poor environments. Conclusions: ATSB treatment reduced An. gambiae population substantially and reduced EIR to near zero regardless of environmental resource availability. In resource-rich environments, dispersive configurations worked better in reducing vector population, and stations at or around houses worked better in preventing biting and parasite transmission. In resource-poor environments, all configurations worked similarly. Optimum numbers of bait stations should be adjusted according to seasonality when r\u2026", "author" : [ { "dropping-particle" : "", "family" : "Zhu", "given" : "Lin", "non-dropping-particle" : "", "parse-names" : false, "suffix" : "" }, { "dropping-particle" : "", "family" : "Marshall", "given" : "John M", "non-dropping-particle" : "", "parse-names" : false, "suffix" : "" }, { "dropping-particle" : "", "family" : "Qualls", "given" : "Whitney A", "non-dropping-particle" : "", "parse-names" : false, "suffix" : "" }, { "dropping-particle" : "", "family" : "Schlein", "given" : "Yosef", "non-dropping-particle" : "", "parse-names" : false, "suffix" : "" }, { "dropping-particle" : "", "family" : "McManus", "given" : "John W", "non-dropping-particle" : "", "parse-names" : false, "suffix" : "" }, { "dropping-particle" : "", "family" : "Arheart", "given" : "Kris L", "non-dropping-particle" : "", "parse-names" : false, "suffix" : "" }, { "dropping-particle" : "", "family" : "Hlaing", "given" : "WayWay M", "non-dropping-particle" : "", "parse-names" : false, "suffix" : "" }, { "dropping-particle" : "", "family" : "Traore", "given" : "Sekou F", "non-dropping-particle" : "", "parse-names" : false, "suffix" : "" }, { "dropping-particle" : "", "family" : "Doumbia", "given" : "Seydou", "non-dropping-particle" : "", "parse-names" : false, "suffix" : "" }, { "dropping-particle" : "", "family" : "M\u00fcller", "given" : "G\u00fcnter C", "non-dropping-particle" : "", "parse-names" : false, "suffix" : "" }, { "dropping-particle" : "", "family" : "Beier", "given" : "John C", "non-dropping-particle" : "", "parse-names" : false, "suffix" : "" } ], "container-title" : "Malaria Journal", "id" : "ITEM-1", "issue" : "1", "issued" : { "date-parts" : [ [ "2015" ] ] }, "page" : "492-503", "title" : "Modelling optimum use of attractive toxic sugar bait stations for effective malaria vector control in Africa", "type" : "article-journal", "volume" : "14" }, "uris" : [ "http://www.mendeley.com/documents/?uuid=3f4bbcfb-2f8e-461c-95b8-3e3025021094" ] } ], "mendeley" : { "formattedCitation" : "(23)", "plainTextFormattedCitation" : "(23)", "previouslyFormattedCitation" : "(23)"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(23)</w:t>
            </w:r>
            <w:r>
              <w:rPr>
                <w:rFonts w:ascii="Calibri" w:eastAsia="Times New Roman" w:hAnsi="Calibri" w:cs="Times New Roman"/>
                <w:color w:val="000000"/>
              </w:rPr>
              <w:fldChar w:fldCharType="end"/>
            </w:r>
          </w:p>
        </w:tc>
      </w:tr>
      <w:tr w:rsidR="001878AC" w:rsidRPr="00817FAB" w:rsidTr="001878AC">
        <w:trPr>
          <w:trHeight w:val="1215"/>
        </w:trPr>
        <w:tc>
          <w:tcPr>
            <w:tcW w:w="470" w:type="pct"/>
            <w:tcBorders>
              <w:top w:val="nil"/>
              <w:left w:val="nil"/>
              <w:bottom w:val="nil"/>
              <w:right w:val="single" w:sz="8" w:space="0" w:color="auto"/>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p>
        </w:tc>
        <w:tc>
          <w:tcPr>
            <w:tcW w:w="551" w:type="pct"/>
            <w:tcBorders>
              <w:top w:val="nil"/>
              <w:left w:val="nil"/>
              <w:bottom w:val="nil"/>
              <w:right w:val="single" w:sz="12" w:space="0" w:color="auto"/>
            </w:tcBorders>
            <w:shd w:val="clear" w:color="auto" w:fill="auto"/>
            <w:vAlign w:val="center"/>
          </w:tcPr>
          <w:p w:rsidR="001878AC" w:rsidRPr="00817FAB" w:rsidRDefault="001878AC" w:rsidP="007B6068">
            <w:pPr>
              <w:spacing w:after="0" w:line="240" w:lineRule="auto"/>
              <w:jc w:val="right"/>
              <w:rPr>
                <w:rFonts w:ascii="Calibri" w:eastAsia="Times New Roman" w:hAnsi="Calibri" w:cs="Times New Roman"/>
                <w:color w:val="000000"/>
              </w:rPr>
            </w:pPr>
            <w:r>
              <w:rPr>
                <w:rFonts w:ascii="Calibri" w:eastAsia="Times New Roman" w:hAnsi="Calibri" w:cs="Times New Roman"/>
                <w:color w:val="000000"/>
              </w:rPr>
              <w:t>Zhu (2017)</w:t>
            </w:r>
          </w:p>
        </w:tc>
        <w:tc>
          <w:tcPr>
            <w:tcW w:w="977"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Continuous landscape, reflecting boundaries</w:t>
            </w:r>
          </w:p>
        </w:tc>
        <w:tc>
          <w:tcPr>
            <w:tcW w:w="472"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600 x 600m</w:t>
            </w:r>
          </w:p>
        </w:tc>
        <w:tc>
          <w:tcPr>
            <w:tcW w:w="985" w:type="pct"/>
            <w:tcBorders>
              <w:top w:val="nil"/>
              <w:left w:val="nil"/>
              <w:bottom w:val="single" w:sz="8" w:space="0" w:color="auto"/>
              <w:right w:val="nil"/>
            </w:tcBorders>
            <w:shd w:val="clear" w:color="auto" w:fill="auto"/>
            <w:vAlign w:val="center"/>
          </w:tcPr>
          <w:p w:rsidR="001878AC"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w:t>
            </w:r>
            <w:r w:rsidR="001878AC">
              <w:rPr>
                <w:rFonts w:ascii="Calibri" w:eastAsia="Times New Roman" w:hAnsi="Calibri" w:cs="Times New Roman"/>
                <w:color w:val="000000"/>
              </w:rPr>
              <w:t>il</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proofErr w:type="gramStart"/>
            <w:r>
              <w:rPr>
                <w:rFonts w:ascii="Calibri" w:eastAsia="Times New Roman" w:hAnsi="Calibri" w:cs="Times New Roman"/>
                <w:color w:val="000000"/>
              </w:rPr>
              <w:t>H,M</w:t>
            </w:r>
            <w:proofErr w:type="gramEnd"/>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3E66A4" w:rsidRDefault="001878AC"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T</w:t>
            </w:r>
          </w:p>
        </w:tc>
        <w:tc>
          <w:tcPr>
            <w:tcW w:w="308" w:type="pct"/>
            <w:tcBorders>
              <w:top w:val="nil"/>
              <w:left w:val="nil"/>
              <w:bottom w:val="single" w:sz="8" w:space="0" w:color="auto"/>
              <w:right w:val="nil"/>
            </w:tcBorders>
            <w:vAlign w:val="center"/>
          </w:tcPr>
          <w:p w:rsidR="001878AC" w:rsidRPr="003E66A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"10.1186/s12936-017-1920-y", "ISSN" : "14752875", "PMID" : "28673298", "abstract" : "BACKGROUND Residual malaria transmission has been reported in many areas even with adequate indoor vector control coverage, such as long-lasting insecticidal nets (LLINs). The increased insecticide resistance in Anopheles mosquitoes has resulted in reduced efficacy of the widely used indoor tools and has been linked with an increase in outdoor malaria transmission. There are considerations of incorporating outdoor interventions into integrated vector management (IVM) to achieve malaria elimination; however, more information on the combination of tools for effective control is needed to determine their utilization. METHODS A spatial individual-based model was modified to simulate the environment and malaria transmission activities in a hypothetical, isolated African village setting. LLINs and outdoor attractive toxic sugar bait (ATSB) stations were used as examples of indoor and outdoor interventions, respectively. Different interventions and lengths of efficacy periods were tested. Simulations continued for 420 days, and each simulation scenario was repeated 50 times. Mosquito populations, entomologic inoculation rates (EIRs), probabilities of local mosquito extinction, and proportion of time when the annual EIR was reduced below one were compared between different intervention types and efficacy periods. RESULTS In the village setting with clustered houses, the combinational intervention of 50% LLINs plus outdoor ATSBs significantly reduced mosquito population and EIR in short term, increased the probability of local mosquito extinction, and increased the time when annual EIR is less than one per person compared to 50% LLINs alone; outdoor ATSBs alone significantly reduced mosquito population in short term, increased the probability of mosquito extinction, and increased the time when annual EIR is less than one compared to 50% LLINs alone, but there was no significant difference in EIR in short term between 50% LLINs and outdoor ATSBs. In the village setting with dispersed houses, the combinational intervention of 50% LLINs plus outdoor ATSBs significantly reduced mosquito population in short term, increased the probability of mosquito extinction, and increased the time when annual EIR is less than one per person compared to 50% LLINs alone; outdoor ATSBs alone significantly reduced mosquito population in short term, but there were no significant difference in the probability of mosquito extinction and the time when annual EIR is less than one between \u2026", "author" : [ { "dropping-particle" : "", "family" : "Zhu", "given" : "Lin", "non-dropping-particle" : "", "parse-names" : false, "suffix" : "" }, { "dropping-particle" : "", "family" : "M\u00fcller", "given" : "G\u00fcnter C.", "non-dropping-particle" : "", "parse-names" : false, "suffix" : "" }, { "dropping-particle" : "", "family" : "Marshall", "given" : "John M.", "non-dropping-particle" : "", "parse-names" : false, "suffix" : "" }, { "dropping-particle" : "", "family" : "Arheart", "given" : "Kristopher L.", "non-dropping-particle" : "", "parse-names" : false, "suffix" : "" }, { "dropping-particle" : "", "family" : "Qualls", "given" : "Whitney A.", "non-dropping-particle" : "", "parse-names" : false, "suffix" : "" }, { "dropping-particle" : "", "family" : "Hlaing", "given" : "WayWay M.", "non-dropping-particle" : "", "parse-names" : false, "suffix" : "" }, { "dropping-particle" : "", "family" : "Schlein", "given" : "Yosef", "non-dropping-particle" : "", "parse-names" : false, "suffix" : "" }, { "dropping-particle" : "", "family" : "Traore", "given" : "Sekou F.", "non-dropping-particle" : "", "parse-names" : false, "suffix" : "" }, { "dropping-particle" : "", "family" : "Doumbia", "given" : "Seydou", "non-dropping-particle" : "", "parse-names" : false, "suffix" : "" }, { "dropping-particle" : "", "family" : "Beier", "given" : "John C.", "non-dropping-particle" : "", "parse-names" : false, "suffix" : "" } ], "container-title" : "Malaria Journal", "id" : "ITEM-1", "issue" : "1", "issued" : { "date-parts" : [ [ "2017", "12", "3" ] ] }, "page" : "266", "publisher" : "BioMed Central", "title" : "Is outdoor vector control needed for malaria elimination? An individual-based modelling study", "type" : "article-journal", "volume" : "16" }, "uris" : [ "http://www.mendeley.com/documents/?uuid=2fb7aeb2-5c01-3da4-b14d-8c28c8eaee4a" ] } ], "mendeley" : { "formattedCitation" : "(24)", "plainTextFormattedCitation" : "(24)", "previouslyFormattedCitation" : "(24)"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(24)</w:t>
            </w:r>
            <w:r>
              <w:rPr>
                <w:rFonts w:ascii="Calibri" w:eastAsia="Times New Roman" w:hAnsi="Calibri" w:cs="Times New Roman"/>
                <w:color w:val="000000"/>
              </w:rPr>
              <w:fldChar w:fldCharType="end"/>
            </w:r>
          </w:p>
        </w:tc>
      </w:tr>
      <w:tr w:rsidR="001878AC" w:rsidRPr="00817FAB" w:rsidTr="001878AC">
        <w:trPr>
          <w:trHeight w:val="315"/>
        </w:trPr>
        <w:tc>
          <w:tcPr>
            <w:tcW w:w="1021" w:type="pct"/>
            <w:gridSpan w:val="2"/>
            <w:tcBorders>
              <w:top w:val="single" w:sz="8" w:space="0" w:color="auto"/>
              <w:left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Silal</w:t>
            </w:r>
            <w:proofErr w:type="spellEnd"/>
            <w:r w:rsidRPr="00817FAB">
              <w:rPr>
                <w:rFonts w:ascii="Calibri" w:eastAsia="Times New Roman" w:hAnsi="Calibri" w:cs="Times New Roman"/>
                <w:color w:val="000000"/>
              </w:rPr>
              <w:t xml:space="preserve"> (2015A)</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vAlign w:val="center"/>
          </w:tcPr>
          <w:p w:rsidR="001878AC" w:rsidRPr="009F6527" w:rsidRDefault="001878AC" w:rsidP="007B6068">
            <w:pPr>
              <w:spacing w:after="0" w:line="240" w:lineRule="auto"/>
              <w:jc w:val="center"/>
              <w:rPr>
                <w:rFonts w:ascii="Calibri" w:eastAsia="Times New Roman" w:hAnsi="Calibri" w:cs="Times New Roman"/>
                <w:color w:val="000000"/>
              </w:rPr>
            </w:pPr>
          </w:p>
        </w:tc>
        <w:tc>
          <w:tcPr>
            <w:tcW w:w="308" w:type="pct"/>
            <w:tcBorders>
              <w:top w:val="nil"/>
              <w:left w:val="nil"/>
              <w:bottom w:val="single" w:sz="8" w:space="0" w:color="auto"/>
              <w:right w:val="nil"/>
            </w:tcBorders>
            <w:vAlign w:val="center"/>
          </w:tcPr>
          <w:p w:rsidR="001878AC" w:rsidRPr="009F6527" w:rsidRDefault="001878AC" w:rsidP="001878AC">
            <w:pPr>
              <w:spacing w:after="0" w:line="240" w:lineRule="auto"/>
              <w:jc w:val="center"/>
              <w:rPr>
                <w:rFonts w:ascii="Calibri" w:eastAsia="Times New Roman" w:hAnsi="Calibri" w:cs="Times New Roman"/>
                <w:color w:val="000000"/>
              </w:rPr>
            </w:pPr>
          </w:p>
        </w:tc>
      </w:tr>
      <w:tr w:rsidR="001878AC" w:rsidRPr="00817FAB" w:rsidTr="001878AC">
        <w:trPr>
          <w:trHeight w:val="915"/>
        </w:trPr>
        <w:tc>
          <w:tcPr>
            <w:tcW w:w="470" w:type="pct"/>
            <w:tcBorders>
              <w:top w:val="nil"/>
              <w:left w:val="nil"/>
              <w:bottom w:val="single" w:sz="8" w:space="0" w:color="auto"/>
              <w:right w:val="single" w:sz="4" w:space="0" w:color="auto"/>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single" w:sz="4" w:space="0" w:color="auto"/>
              <w:bottom w:val="single" w:sz="8" w:space="0" w:color="auto"/>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817FAB">
              <w:rPr>
                <w:rFonts w:ascii="Calibri" w:eastAsia="Times New Roman" w:hAnsi="Calibri" w:cs="Times New Roman"/>
                <w:color w:val="000000"/>
              </w:rPr>
              <w:t>Silal</w:t>
            </w:r>
            <w:proofErr w:type="spellEnd"/>
            <w:r w:rsidRPr="00817FAB">
              <w:rPr>
                <w:rFonts w:ascii="Calibri" w:eastAsia="Times New Roman" w:hAnsi="Calibri" w:cs="Times New Roman"/>
                <w:color w:val="000000"/>
              </w:rPr>
              <w:t xml:space="preserve"> (2015)</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Patch-based (deterministic component)</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27850 sq. km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1745-10250 sq.km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H</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single" w:sz="8" w:space="0" w:color="auto"/>
              <w:right w:val="nil"/>
            </w:tcBorders>
            <w:vAlign w:val="center"/>
          </w:tcPr>
          <w:p w:rsidR="001878AC" w:rsidRPr="009F6527" w:rsidRDefault="001878AC" w:rsidP="007B6068">
            <w:pPr>
              <w:spacing w:after="0" w:line="240" w:lineRule="auto"/>
              <w:jc w:val="center"/>
              <w:rPr>
                <w:rFonts w:ascii="Calibri" w:eastAsia="Times New Roman" w:hAnsi="Calibri" w:cs="Times New Roman"/>
                <w:color w:val="000000"/>
              </w:rPr>
            </w:pPr>
            <w:r w:rsidRPr="009F6527">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9F6527"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"10.1186/s12936-015-0776-2", "ISBN" : "1475-2875", "ISSN" : "1475-2875", "PMID" : "26164675", "abstract" : "BACKGROUND: South Africa is one of many countries committed to malaria elimination with a target of 2018 and all malaria-endemic provinces, including Mpumalanga, are increasing efforts towards this ambitious goal. The reduction of imported infections is a vital element of an elimination strategy, particularly if a country is already experiencing high levels of imported infections. Border control of malaria is one tool that may be considered.\\n\\nMETHODS: A metapopulation, non-linear stochastic ordinary differential equation model is used to simulate malaria transmission in Mpumalanga and Maputo province, Mozambique (the source of the majority of imported infections) to predict the impact of a focal screen and treat campaign at the Mpumalanga-Maputo border. This campaign is simulated by nesting an individual-based model for the focal screen and treat campaign within the metapopulation transmission model.\\n\\nRESULTS: The model predicts that such a campaign, simulated for different levels of resources, coverage and take-up rates with a variety of screening tools, will not eliminate malaria on its own, but will reduce transmission substantially. Making the campaign mandatory decreases transmission further though sub-patent infections are likely to remain undetected if the diagnostic tool is not adequately sensitive. Replacing screening and treating with mass drug administration results in substantially larger decreases as all (including sub-patent) infections are treated before movement into Mpumalanga.\\n\\nCONCLUSIONS: The reduction of imported cases will be vital to any future malaria control or elimination strategy. This simulation predicts that FSAT at the Mpumalanga-Maputo border will be unable to eliminate local malaria on its own, but may still play a key role in detecting and treating imported infections before they enter the country. Thus FSAT may form part of an integrated elimination strategy where a variety of interventions are employed together to achieve malaria elimination.", "author" : [ { "dropping-particle" : "", "family" : "Silal", "given" : "Sheetal P", "non-dropping-particle" : "", "parse-names" : false, "suffix" : "" }, { "dropping-particle" : "", "family" : "Little", "given" : "Francesca", "non-dropping-particle" : "", "parse-names" : false, "suffix" : "" }, { "dropping-particle" : "", "family" : "Barnes", "given" : "Karen I", "non-dropping-particle" : "", "parse-names" : false, "suffix" : "" }, { "dropping-particle" : "", "family" : "White", "given" : "Lisa J", "non-dropping-particle" : "", "parse-names" : false, "suffix" : "" } ], "container-title" : "Malaria Journal", "id" : "ITEM-1", "issue" : "1", "issued" : { "date-parts" : [ [ "2015", "12", "12" ] ] }, "page" : "268", "publisher" : "BioMed Central", "title" : "Predicting the impact of border control on malaria transmission: a simulated focal screen and treat campaign", "type" : "article-journal", "volume" : "14" }, "uris" : [ "http://www.mendeley.com/documents/?uuid=85abc92f-842d-4770-ba68-2063a6347c6c" ] } ], "mendeley" : { "formattedCitation" : "(25)", "plainTextFormattedCitation" : "(25)", "previouslyFormattedCitation" : "(25)"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(25)</w:t>
            </w:r>
            <w:r>
              <w:rPr>
                <w:rFonts w:ascii="Calibri" w:eastAsia="Times New Roman" w:hAnsi="Calibri" w:cs="Times New Roman"/>
                <w:color w:val="000000"/>
              </w:rPr>
              <w:fldChar w:fldCharType="end"/>
            </w:r>
          </w:p>
        </w:tc>
      </w:tr>
      <w:tr w:rsidR="001878AC" w:rsidRPr="00817FAB" w:rsidTr="001878AC">
        <w:trPr>
          <w:trHeight w:val="615"/>
        </w:trPr>
        <w:tc>
          <w:tcPr>
            <w:tcW w:w="1021" w:type="pct"/>
            <w:gridSpan w:val="2"/>
            <w:tcBorders>
              <w:top w:val="nil"/>
              <w:left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proofErr w:type="spellStart"/>
            <w:r w:rsidRPr="00817FAB">
              <w:rPr>
                <w:rFonts w:ascii="Calibri" w:eastAsia="Times New Roman" w:hAnsi="Calibri" w:cs="Times New Roman"/>
                <w:color w:val="000000"/>
              </w:rPr>
              <w:t>Pizzitutti</w:t>
            </w:r>
            <w:proofErr w:type="spellEnd"/>
            <w:r w:rsidRPr="00817FAB">
              <w:rPr>
                <w:rFonts w:ascii="Calibri" w:eastAsia="Times New Roman" w:hAnsi="Calibri" w:cs="Times New Roman"/>
                <w:color w:val="000000"/>
              </w:rPr>
              <w:t xml:space="preserve"> (2015)</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Grid-based</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2350 x 2520</w:t>
            </w:r>
            <w:r>
              <w:rPr>
                <w:rFonts w:ascii="Calibri" w:eastAsia="Times New Roman" w:hAnsi="Calibri" w:cs="Times New Roman"/>
                <w:color w:val="000000"/>
              </w:rPr>
              <w:t>m</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Geographical: 10</w:t>
            </w:r>
            <w:r w:rsidRPr="00817FAB">
              <w:rPr>
                <w:rFonts w:ascii="Calibri" w:eastAsia="Times New Roman" w:hAnsi="Calibri" w:cs="Times New Roman"/>
                <w:color w:val="000000"/>
              </w:rPr>
              <w:br/>
              <w:t>Mosquito: 30</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M</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1878AC" w:rsidRPr="003E66A4" w:rsidRDefault="001878AC"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R</w:t>
            </w:r>
          </w:p>
        </w:tc>
        <w:tc>
          <w:tcPr>
            <w:tcW w:w="308" w:type="pct"/>
            <w:tcBorders>
              <w:top w:val="nil"/>
              <w:left w:val="nil"/>
              <w:bottom w:val="single" w:sz="8" w:space="0" w:color="auto"/>
              <w:right w:val="nil"/>
            </w:tcBorders>
            <w:vAlign w:val="center"/>
          </w:tcPr>
          <w:p w:rsidR="001878AC" w:rsidRPr="003E66A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"10.1186/s12936-015-1030-7", "ISBN" : "1475-2875 (Electronic)\\r1475-2875 (Linking)", "ISSN" : "1475-2875", "PMID" : "26696294", "abstract" : "BACKGROUND: The Amazon environment has been exposed in the last decades to radical changes that have been accompanied by a remarkable rise of both Plasmodium falciparum and Plasmodium vivax malaria. The malaria transmission process is highly influenced by factors such as spatial and temporal heterogeneities of the environment and individual-based characteristics of mosquitoes and humans populations. All these determinant factors can be simulated effectively trough agent-based models. METHODS: This paper presents a validated agent-based model of local-scale malaria transmission. The model reproduces the environment of a typical riverine village in the northern Peruvian Amazon, where the malaria transmission is highly seasonal and apparently associated with flooding of large areas caused by the neighbouring river. Agents representing humans, mosquitoes and the two species of Plasmodium (P. falciparum and P. vivax) are simulated in a spatially explicit representation of the environment around the village. The model environment includes: climate, people houses positions and elevation. A representation of changes in the mosquito breeding areas extension caused by the river flooding is also included in the simulation environment. RESULTS: A calibration process was carried out to reproduce the variations of the malaria monthly incidence over a period of 3 years. The calibrated model is also able to reproduce the spatial heterogeneities of local scale malaria transmission. A \"what if\" eradication strategy scenario is proposed: if the mosquito breeding sites are eliminated through mosquito larva habitat management in a buffer area extended at least 200 m around the village, the malaria transmission is eradicated from the village. CONCLUSIONS: The use of agent-based models can reproduce effectively the spatiotemporal variations of the malaria transmission in a low endemicity environment dominated by river floodings like in the Amazon.", "author" : [ { "dropping-particle" : "", "family" : "Pizzitutti", "given" : "Francesco", "non-dropping-particle" : "", "parse-names" : false, "suffix" : "" }, { "dropping-particle" : "", "family" : "Pan", "given" : "William", "non-dropping-particle" : "", "parse-names" : false, "suffix" : "" }, { "dropping-particle" : "", "family" : "Barbieri", "given" : "Alisson", "non-dropping-particle" : "", "parse-names" : false, "suffix" : "" }, { "dropping-particle" : "", "family" : "Miranda", "given" : "J Jaime", "non-dropping-particle" : "", "parse-names" : false, "suffix" : "" }, { "dropping-particle" : "", "family" : "Feingold", "given" : "Beth", "non-dropping-particle" : "", "parse-names" : false, "suffix" : "" }, { "dropping-particle" : "", "family" : "Guedes", "given" : "Gilvan R", "non-dropping-particle" : "", "parse-names" : false, "suffix" : "" }, { "dropping-particle" : "", "family" : "Alarcon-Valenzuela", "given" : "Javiera", "non-dropping-particle" : "", "parse-names" : false, "suffix" : "" }, { "dropping-particle" : "", "family" : "Mena", "given" : "Carlos F", "non-dropping-particle" : "", "parse-names" : false, "suffix" : "" } ], "container-title" : "Malaria Journal", "id" : "ITEM-1", "issue" : "1", "issued" : { "date-parts" : [ [ "2015" ] ] }, "page" : "514-532", "publisher" : "BioMed Central", "title" : "A validated agent-based model to study the spatial and temporal heterogeneities of malaria incidence in the rainforest environment.", "type" : "article-journal", "volume" : "14" }, "uris" : [ "http://www.mendeley.com/documents/?uuid=acb26ff0-ac60-471e-a537-7fbc34488971" ] } ], "mendeley" : { "formattedCitation" : "(26)", "plainTextFormattedCitation" : "(26)", "previouslyFormattedCitation" : "(26)"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(26)</w:t>
            </w:r>
            <w:r>
              <w:rPr>
                <w:rFonts w:ascii="Calibri" w:eastAsia="Times New Roman" w:hAnsi="Calibri" w:cs="Times New Roman"/>
                <w:color w:val="000000"/>
              </w:rPr>
              <w:fldChar w:fldCharType="end"/>
            </w:r>
          </w:p>
        </w:tc>
      </w:tr>
      <w:tr w:rsidR="007B34F7" w:rsidRPr="00817FAB" w:rsidTr="00AF7279">
        <w:trPr>
          <w:trHeight w:val="615"/>
        </w:trPr>
        <w:tc>
          <w:tcPr>
            <w:tcW w:w="470" w:type="pct"/>
            <w:tcBorders>
              <w:top w:val="nil"/>
              <w:left w:val="nil"/>
              <w:bottom w:val="nil"/>
              <w:right w:val="single" w:sz="4" w:space="0" w:color="auto"/>
            </w:tcBorders>
            <w:shd w:val="clear" w:color="auto" w:fill="auto"/>
            <w:vAlign w:val="center"/>
          </w:tcPr>
          <w:p w:rsidR="007B34F7" w:rsidRPr="00817FAB" w:rsidRDefault="007B34F7" w:rsidP="007B6068">
            <w:pPr>
              <w:spacing w:after="0" w:line="240" w:lineRule="auto"/>
              <w:rPr>
                <w:rFonts w:ascii="Calibri" w:eastAsia="Times New Roman" w:hAnsi="Calibri" w:cs="Times New Roman"/>
                <w:color w:val="000000"/>
              </w:rPr>
            </w:pPr>
          </w:p>
        </w:tc>
        <w:tc>
          <w:tcPr>
            <w:tcW w:w="551" w:type="pct"/>
            <w:vMerge w:val="restart"/>
            <w:tcBorders>
              <w:top w:val="nil"/>
              <w:left w:val="single" w:sz="4" w:space="0" w:color="auto"/>
              <w:right w:val="single" w:sz="12" w:space="0" w:color="000000"/>
            </w:tcBorders>
            <w:shd w:val="clear" w:color="auto" w:fill="auto"/>
            <w:vAlign w:val="center"/>
          </w:tcPr>
          <w:p w:rsidR="007B34F7" w:rsidRPr="009F6527" w:rsidRDefault="007B34F7" w:rsidP="007B6068">
            <w:pPr>
              <w:spacing w:after="0" w:line="240" w:lineRule="auto"/>
              <w:jc w:val="right"/>
              <w:rPr>
                <w:rFonts w:ascii="Calibri" w:eastAsia="Times New Roman" w:hAnsi="Calibri" w:cs="Times New Roman"/>
                <w:color w:val="000000"/>
              </w:rPr>
            </w:pPr>
            <w:proofErr w:type="spellStart"/>
            <w:r w:rsidRPr="009F6527">
              <w:rPr>
                <w:rFonts w:ascii="Calibri" w:eastAsia="Times New Roman" w:hAnsi="Calibri" w:cs="Times New Roman"/>
                <w:color w:val="000000"/>
              </w:rPr>
              <w:t>Pizzitutti</w:t>
            </w:r>
            <w:proofErr w:type="spellEnd"/>
            <w:r w:rsidRPr="009F6527">
              <w:rPr>
                <w:rFonts w:ascii="Calibri" w:eastAsia="Times New Roman" w:hAnsi="Calibri" w:cs="Times New Roman"/>
                <w:color w:val="000000"/>
              </w:rPr>
              <w:t xml:space="preserve"> (2018)</w:t>
            </w:r>
          </w:p>
        </w:tc>
        <w:tc>
          <w:tcPr>
            <w:tcW w:w="977"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Padre </w:t>
            </w:r>
            <w:proofErr w:type="spellStart"/>
            <w:r>
              <w:rPr>
                <w:rFonts w:ascii="Calibri" w:eastAsia="Times New Roman" w:hAnsi="Calibri" w:cs="Times New Roman"/>
                <w:color w:val="000000"/>
              </w:rPr>
              <w:t>Cocha</w:t>
            </w:r>
            <w:proofErr w:type="spellEnd"/>
            <w:r>
              <w:rPr>
                <w:rFonts w:ascii="Calibri" w:eastAsia="Times New Roman" w:hAnsi="Calibri" w:cs="Times New Roman"/>
                <w:color w:val="000000"/>
              </w:rPr>
              <w:t>: Grid-based</w:t>
            </w:r>
          </w:p>
        </w:tc>
        <w:tc>
          <w:tcPr>
            <w:tcW w:w="472"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2350 x 2520</w:t>
            </w:r>
            <w:r>
              <w:rPr>
                <w:rFonts w:ascii="Calibri" w:eastAsia="Times New Roman" w:hAnsi="Calibri" w:cs="Times New Roman"/>
                <w:color w:val="000000"/>
              </w:rPr>
              <w:t>m</w:t>
            </w:r>
          </w:p>
        </w:tc>
        <w:tc>
          <w:tcPr>
            <w:tcW w:w="985"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Geographical: 10</w:t>
            </w:r>
            <w:r w:rsidRPr="00817FAB">
              <w:rPr>
                <w:rFonts w:ascii="Calibri" w:eastAsia="Times New Roman" w:hAnsi="Calibri" w:cs="Times New Roman"/>
                <w:color w:val="000000"/>
              </w:rPr>
              <w:br/>
              <w:t>Mosquito: 30</w:t>
            </w:r>
          </w:p>
        </w:tc>
        <w:tc>
          <w:tcPr>
            <w:tcW w:w="309"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proofErr w:type="gramStart"/>
            <w:r>
              <w:rPr>
                <w:rFonts w:ascii="Calibri" w:eastAsia="Times New Roman" w:hAnsi="Calibri" w:cs="Times New Roman"/>
                <w:color w:val="000000"/>
              </w:rPr>
              <w:t>H,M</w:t>
            </w:r>
            <w:proofErr w:type="gramEnd"/>
          </w:p>
        </w:tc>
        <w:tc>
          <w:tcPr>
            <w:tcW w:w="309"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7B34F7" w:rsidRPr="003E66A4" w:rsidRDefault="007B34F7"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R</w:t>
            </w:r>
          </w:p>
        </w:tc>
        <w:tc>
          <w:tcPr>
            <w:tcW w:w="308" w:type="pct"/>
            <w:vMerge w:val="restart"/>
            <w:tcBorders>
              <w:top w:val="nil"/>
              <w:left w:val="nil"/>
              <w:right w:val="nil"/>
            </w:tcBorders>
            <w:vAlign w:val="center"/>
          </w:tcPr>
          <w:p w:rsidR="007B34F7" w:rsidRPr="003E66A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"10.1371/journal.pone.0193493", "ISBN" : "1111111111", "ISSN" : "19326203", "abstract" : "Though malaria control initiatives have markedly reduced malaria prevalence in recent decades, global eradication is far from actuality. Recent studies show that environmental and social heterogeneities in low-transmission settings have an increased weight in shaping malaria micro-epidemiology. New integrated and more localized control strategies should be developed and tested. Here we present a set of agent-based models designed to study the influence of local scale human movements on local scale malaria transmission in a typical Amazon environment, where malaria is transmission is low and strongly connected with seasonal riverine flooding. The agent-based simulations show that the overall malaria incidence is essentially not influenced by local scale human movements. In contrast, the locations of malaria high risk spatial hotspots heavily depend on human movements because simulated malaria hotspots are mainly centered on farms, were laborers work during the day. The agent-based models are then used to test the effectiveness of two different malaria control strategies both designed to reduce local scale malaria incidence by targeting hotspots. The first control scenario consists in treat against mosquito bites people that, during the simulation, enter at least once inside hotspots revealed considering the actual sites where human individuals were infected. The second scenario involves the treatment of people entering in hotspots calculated assuming that the infection sites of every infected individual is located in the household where the individual lives. Simulations show that both considered scenarios perform better in controlling malaria than a randomized treatment, although targeting household hotspots shows slightly better performance.", "author" : [ { "dropping-particle" : "", "family" : "Pizzitutti", "given" : "Francesco", "non-dropping-particle" : "", "parse-names" : false, "suffix" : "" }, { "dropping-particle" : "", "family" : "Pan", "given" : "William", "non-dropping-particle" : "", "parse-names" : false, "suffix" : "" }, { "dropping-particle" : "", "family" : "Feingold", "given" : "Beth", "non-dropping-particle" : "", "parse-names" : false, "suffix" : "" }, { "dropping-particle" : "", "family" : "Zaitchik", "given" : "Ben", "non-dropping-particle" : "", "parse-names" : false, "suffix" : "" }, { "dropping-particle" : "", "family" : "\u00c1lvarez", "given" : "Carlos A.", "non-dropping-particle" : "", "parse-names" : false, "suffix" : "" }, { "dropping-particle" : "", "family" : "Mena", "given" : "Carlos F.", "non-dropping-particle" : "", "parse-names" : false, "suffix" : "" } ], "container-title" : "PLoS ONE", "id" : "ITEM-1", "issue" : "3", "issued" : { "date-parts" : [ [ "2018" ] ] }, "title" : "Out of the net: An agent-based model to study human movements influence on local-scale malaria transmission", "type" : "article-journal", "volume" : "13" }, "uris" : [ "http://www.mendeley.com/documents/?uuid=2ba1d6ed-d22b-40a3-90d5-e26d884014d9" ] } ], "mendeley" : { "formattedCitation" : "(27)", "plainTextFormattedCitation" : "(27)", "previouslyFormattedCitation" : "(27)"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(27)</w:t>
            </w:r>
            <w:r>
              <w:rPr>
                <w:rFonts w:ascii="Calibri" w:eastAsia="Times New Roman" w:hAnsi="Calibri" w:cs="Times New Roman"/>
                <w:color w:val="000000"/>
              </w:rPr>
              <w:fldChar w:fldCharType="end"/>
            </w:r>
          </w:p>
        </w:tc>
      </w:tr>
      <w:tr w:rsidR="007B34F7" w:rsidRPr="00817FAB" w:rsidTr="00AF7279">
        <w:trPr>
          <w:trHeight w:val="615"/>
        </w:trPr>
        <w:tc>
          <w:tcPr>
            <w:tcW w:w="470" w:type="pct"/>
            <w:tcBorders>
              <w:top w:val="nil"/>
              <w:left w:val="nil"/>
              <w:bottom w:val="nil"/>
              <w:right w:val="single" w:sz="4" w:space="0" w:color="auto"/>
            </w:tcBorders>
            <w:shd w:val="clear" w:color="auto" w:fill="auto"/>
            <w:vAlign w:val="center"/>
          </w:tcPr>
          <w:p w:rsidR="007B34F7" w:rsidRPr="00817FAB" w:rsidRDefault="007B34F7" w:rsidP="007B6068">
            <w:pPr>
              <w:spacing w:after="0" w:line="240" w:lineRule="auto"/>
              <w:rPr>
                <w:rFonts w:ascii="Calibri" w:eastAsia="Times New Roman" w:hAnsi="Calibri" w:cs="Times New Roman"/>
                <w:color w:val="000000"/>
              </w:rPr>
            </w:pPr>
          </w:p>
        </w:tc>
        <w:tc>
          <w:tcPr>
            <w:tcW w:w="551" w:type="pct"/>
            <w:vMerge/>
            <w:tcBorders>
              <w:left w:val="single" w:sz="4" w:space="0" w:color="auto"/>
              <w:bottom w:val="nil"/>
              <w:right w:val="single" w:sz="12" w:space="0" w:color="000000"/>
            </w:tcBorders>
            <w:shd w:val="clear" w:color="auto" w:fill="auto"/>
            <w:vAlign w:val="center"/>
          </w:tcPr>
          <w:p w:rsidR="007B34F7" w:rsidRPr="00817FAB" w:rsidRDefault="007B34F7" w:rsidP="007B6068">
            <w:pPr>
              <w:spacing w:after="0" w:line="240" w:lineRule="auto"/>
              <w:jc w:val="right"/>
              <w:rPr>
                <w:rFonts w:ascii="Calibri" w:eastAsia="Times New Roman" w:hAnsi="Calibri" w:cs="Times New Roman"/>
                <w:color w:val="000000"/>
              </w:rPr>
            </w:pPr>
          </w:p>
        </w:tc>
        <w:tc>
          <w:tcPr>
            <w:tcW w:w="977" w:type="pct"/>
            <w:tcBorders>
              <w:top w:val="nil"/>
              <w:left w:val="nil"/>
              <w:bottom w:val="single" w:sz="8" w:space="0" w:color="auto"/>
              <w:right w:val="nil"/>
            </w:tcBorders>
            <w:shd w:val="clear" w:color="auto" w:fill="auto"/>
            <w:vAlign w:val="center"/>
          </w:tcPr>
          <w:p w:rsidR="007B34F7" w:rsidRPr="00C45088" w:rsidRDefault="007B34F7" w:rsidP="007B6068">
            <w:pPr>
              <w:spacing w:after="0" w:line="240" w:lineRule="auto"/>
              <w:rPr>
                <w:rFonts w:ascii="Calibri" w:eastAsia="Times New Roman" w:hAnsi="Calibri" w:cs="Times New Roman"/>
                <w:color w:val="000000"/>
                <w:lang w:val="es-MX"/>
              </w:rPr>
            </w:pPr>
            <w:r w:rsidRPr="00C45088">
              <w:rPr>
                <w:rFonts w:ascii="Calibri" w:eastAsia="Times New Roman" w:hAnsi="Calibri" w:cs="Times New Roman"/>
                <w:color w:val="000000"/>
                <w:lang w:val="es-MX"/>
              </w:rPr>
              <w:t xml:space="preserve">San Luis de </w:t>
            </w:r>
            <w:proofErr w:type="spellStart"/>
            <w:r w:rsidRPr="00C45088">
              <w:rPr>
                <w:rFonts w:ascii="Calibri" w:eastAsia="Times New Roman" w:hAnsi="Calibri" w:cs="Times New Roman"/>
                <w:color w:val="000000"/>
                <w:lang w:val="es-MX"/>
              </w:rPr>
              <w:t>Tacsha</w:t>
            </w:r>
            <w:proofErr w:type="spellEnd"/>
            <w:r w:rsidRPr="00C45088">
              <w:rPr>
                <w:rFonts w:ascii="Calibri" w:eastAsia="Times New Roman" w:hAnsi="Calibri" w:cs="Times New Roman"/>
                <w:color w:val="000000"/>
                <w:lang w:val="es-MX"/>
              </w:rPr>
              <w:t xml:space="preserve"> </w:t>
            </w:r>
            <w:proofErr w:type="spellStart"/>
            <w:r w:rsidRPr="00C45088">
              <w:rPr>
                <w:rFonts w:ascii="Calibri" w:eastAsia="Times New Roman" w:hAnsi="Calibri" w:cs="Times New Roman"/>
                <w:color w:val="000000"/>
                <w:lang w:val="es-MX"/>
              </w:rPr>
              <w:t>Curaray</w:t>
            </w:r>
            <w:proofErr w:type="spellEnd"/>
            <w:r w:rsidRPr="00C45088">
              <w:rPr>
                <w:rFonts w:ascii="Calibri" w:eastAsia="Times New Roman" w:hAnsi="Calibri" w:cs="Times New Roman"/>
                <w:color w:val="000000"/>
                <w:lang w:val="es-MX"/>
              </w:rPr>
              <w:t xml:space="preserve">: </w:t>
            </w:r>
            <w:proofErr w:type="spellStart"/>
            <w:r w:rsidRPr="00C45088">
              <w:rPr>
                <w:rFonts w:ascii="Calibri" w:eastAsia="Times New Roman" w:hAnsi="Calibri" w:cs="Times New Roman"/>
                <w:color w:val="000000"/>
                <w:lang w:val="es-MX"/>
              </w:rPr>
              <w:t>Grid-based</w:t>
            </w:r>
            <w:proofErr w:type="spellEnd"/>
          </w:p>
        </w:tc>
        <w:tc>
          <w:tcPr>
            <w:tcW w:w="472"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10252 x 4200m</w:t>
            </w:r>
          </w:p>
        </w:tc>
        <w:tc>
          <w:tcPr>
            <w:tcW w:w="985"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Geographical: 10</w:t>
            </w:r>
            <w:r w:rsidRPr="00817FAB">
              <w:rPr>
                <w:rFonts w:ascii="Calibri" w:eastAsia="Times New Roman" w:hAnsi="Calibri" w:cs="Times New Roman"/>
                <w:color w:val="000000"/>
              </w:rPr>
              <w:br/>
              <w:t>Mosquito: 30</w:t>
            </w:r>
          </w:p>
        </w:tc>
        <w:tc>
          <w:tcPr>
            <w:tcW w:w="309"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proofErr w:type="gramStart"/>
            <w:r>
              <w:rPr>
                <w:rFonts w:ascii="Calibri" w:eastAsia="Times New Roman" w:hAnsi="Calibri" w:cs="Times New Roman"/>
                <w:color w:val="000000"/>
              </w:rPr>
              <w:t>H,M</w:t>
            </w:r>
            <w:proofErr w:type="gramEnd"/>
          </w:p>
        </w:tc>
        <w:tc>
          <w:tcPr>
            <w:tcW w:w="309"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shd w:val="clear" w:color="auto" w:fill="auto"/>
            <w:vAlign w:val="center"/>
          </w:tcPr>
          <w:p w:rsidR="007B34F7" w:rsidRPr="00817FAB" w:rsidRDefault="007B34F7"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nil"/>
              <w:left w:val="nil"/>
              <w:bottom w:val="single" w:sz="8" w:space="0" w:color="auto"/>
              <w:right w:val="nil"/>
            </w:tcBorders>
            <w:vAlign w:val="center"/>
          </w:tcPr>
          <w:p w:rsidR="007B34F7" w:rsidRPr="003E66A4" w:rsidRDefault="007B34F7"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R</w:t>
            </w:r>
          </w:p>
        </w:tc>
        <w:tc>
          <w:tcPr>
            <w:tcW w:w="308" w:type="pct"/>
            <w:vMerge/>
            <w:tcBorders>
              <w:left w:val="nil"/>
              <w:bottom w:val="single" w:sz="8" w:space="0" w:color="auto"/>
              <w:right w:val="nil"/>
            </w:tcBorders>
            <w:vAlign w:val="center"/>
          </w:tcPr>
          <w:p w:rsidR="007B34F7" w:rsidRPr="003E66A4" w:rsidRDefault="007B34F7" w:rsidP="001878AC">
            <w:pPr>
              <w:spacing w:after="0" w:line="240" w:lineRule="auto"/>
              <w:jc w:val="center"/>
              <w:rPr>
                <w:rFonts w:ascii="Calibri" w:eastAsia="Times New Roman" w:hAnsi="Calibri" w:cs="Times New Roman"/>
                <w:color w:val="000000"/>
              </w:rPr>
            </w:pPr>
          </w:p>
        </w:tc>
      </w:tr>
      <w:tr w:rsidR="001878AC" w:rsidRPr="00817FAB" w:rsidTr="001878AC">
        <w:trPr>
          <w:trHeight w:val="315"/>
        </w:trPr>
        <w:tc>
          <w:tcPr>
            <w:tcW w:w="1021" w:type="pct"/>
            <w:gridSpan w:val="2"/>
            <w:tcBorders>
              <w:top w:val="single" w:sz="8" w:space="0" w:color="auto"/>
              <w:left w:val="nil"/>
              <w:bottom w:val="nil"/>
              <w:right w:val="single" w:sz="12" w:space="0" w:color="000000"/>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Macdonald (1952)</w:t>
            </w:r>
          </w:p>
        </w:tc>
        <w:tc>
          <w:tcPr>
            <w:tcW w:w="977"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472"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985"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 </w:t>
            </w:r>
          </w:p>
        </w:tc>
        <w:tc>
          <w:tcPr>
            <w:tcW w:w="309" w:type="pct"/>
            <w:tcBorders>
              <w:top w:val="nil"/>
              <w:left w:val="nil"/>
              <w:bottom w:val="single" w:sz="8" w:space="0" w:color="auto"/>
              <w:right w:val="nil"/>
            </w:tcBorders>
            <w:vAlign w:val="center"/>
          </w:tcPr>
          <w:p w:rsidR="001878AC" w:rsidRPr="003E66A4" w:rsidRDefault="001878AC" w:rsidP="007B6068">
            <w:pPr>
              <w:spacing w:after="0" w:line="240" w:lineRule="auto"/>
              <w:jc w:val="center"/>
              <w:rPr>
                <w:rFonts w:ascii="Calibri" w:eastAsia="Times New Roman" w:hAnsi="Calibri" w:cs="Times New Roman"/>
                <w:color w:val="000000"/>
              </w:rPr>
            </w:pPr>
          </w:p>
        </w:tc>
        <w:tc>
          <w:tcPr>
            <w:tcW w:w="308" w:type="pct"/>
            <w:tcBorders>
              <w:top w:val="nil"/>
              <w:left w:val="nil"/>
              <w:bottom w:val="single" w:sz="8" w:space="0" w:color="auto"/>
              <w:right w:val="nil"/>
            </w:tcBorders>
            <w:vAlign w:val="center"/>
          </w:tcPr>
          <w:p w:rsidR="001878AC" w:rsidRPr="003E66A4" w:rsidRDefault="001878AC" w:rsidP="001878AC">
            <w:pPr>
              <w:spacing w:after="0" w:line="240" w:lineRule="auto"/>
              <w:jc w:val="center"/>
              <w:rPr>
                <w:rFonts w:ascii="Calibri" w:eastAsia="Times New Roman" w:hAnsi="Calibri" w:cs="Times New Roman"/>
                <w:color w:val="000000"/>
              </w:rPr>
            </w:pPr>
          </w:p>
        </w:tc>
      </w:tr>
      <w:tr w:rsidR="001878AC" w:rsidRPr="00817FAB" w:rsidTr="001878AC">
        <w:trPr>
          <w:trHeight w:val="1215"/>
        </w:trPr>
        <w:tc>
          <w:tcPr>
            <w:tcW w:w="470" w:type="pct"/>
            <w:tcBorders>
              <w:top w:val="nil"/>
              <w:left w:val="nil"/>
              <w:bottom w:val="nil"/>
              <w:right w:val="nil"/>
            </w:tcBorders>
            <w:shd w:val="clear" w:color="auto" w:fill="auto"/>
            <w:noWrap/>
            <w:vAlign w:val="bottom"/>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 </w:t>
            </w:r>
          </w:p>
        </w:tc>
        <w:tc>
          <w:tcPr>
            <w:tcW w:w="551" w:type="pct"/>
            <w:tcBorders>
              <w:top w:val="nil"/>
              <w:left w:val="single" w:sz="8" w:space="0" w:color="auto"/>
              <w:bottom w:val="nil"/>
              <w:right w:val="single" w:sz="12" w:space="0" w:color="auto"/>
            </w:tcBorders>
            <w:shd w:val="clear" w:color="auto" w:fill="auto"/>
            <w:vAlign w:val="center"/>
            <w:hideMark/>
          </w:tcPr>
          <w:p w:rsidR="001878AC" w:rsidRPr="00817FAB" w:rsidRDefault="001878AC" w:rsidP="007B6068">
            <w:pPr>
              <w:spacing w:after="0" w:line="240" w:lineRule="auto"/>
              <w:jc w:val="right"/>
              <w:rPr>
                <w:rFonts w:ascii="Calibri" w:eastAsia="Times New Roman" w:hAnsi="Calibri" w:cs="Times New Roman"/>
                <w:color w:val="000000"/>
              </w:rPr>
            </w:pPr>
            <w:r w:rsidRPr="00817FAB">
              <w:rPr>
                <w:rFonts w:ascii="Calibri" w:eastAsia="Times New Roman" w:hAnsi="Calibri" w:cs="Times New Roman"/>
                <w:color w:val="000000"/>
              </w:rPr>
              <w:t>Karl (2016)</w:t>
            </w:r>
          </w:p>
        </w:tc>
        <w:tc>
          <w:tcPr>
            <w:tcW w:w="977" w:type="pct"/>
            <w:tcBorders>
              <w:top w:val="nil"/>
              <w:left w:val="nil"/>
              <w:bottom w:val="nil"/>
              <w:right w:val="nil"/>
            </w:tcBorders>
            <w:shd w:val="clear" w:color="auto" w:fill="auto"/>
            <w:vAlign w:val="center"/>
            <w:hideMark/>
          </w:tcPr>
          <w:p w:rsidR="001878AC" w:rsidRPr="00817FAB" w:rsidRDefault="001878AC" w:rsidP="007B6068">
            <w:pPr>
              <w:spacing w:after="0" w:line="240" w:lineRule="auto"/>
              <w:rPr>
                <w:rFonts w:ascii="Calibri" w:eastAsia="Times New Roman" w:hAnsi="Calibri" w:cs="Times New Roman"/>
                <w:color w:val="000000"/>
              </w:rPr>
            </w:pPr>
            <w:r w:rsidRPr="00817FAB">
              <w:rPr>
                <w:rFonts w:ascii="Calibri" w:eastAsia="Times New Roman" w:hAnsi="Calibri" w:cs="Times New Roman"/>
                <w:color w:val="000000"/>
              </w:rPr>
              <w:t>Distance-dependant transmission probabilities</w:t>
            </w:r>
          </w:p>
        </w:tc>
        <w:tc>
          <w:tcPr>
            <w:tcW w:w="472" w:type="pct"/>
            <w:tcBorders>
              <w:top w:val="nil"/>
              <w:left w:val="nil"/>
              <w:bottom w:val="nil"/>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~35 km</w:t>
            </w:r>
            <w:r w:rsidRPr="00C45088">
              <w:rPr>
                <w:rFonts w:ascii="Calibri" w:eastAsia="Times New Roman" w:hAnsi="Calibri" w:cs="Times New Roman"/>
                <w:color w:val="000000"/>
                <w:vertAlign w:val="superscript"/>
              </w:rPr>
              <w:t>2</w:t>
            </w:r>
          </w:p>
        </w:tc>
        <w:tc>
          <w:tcPr>
            <w:tcW w:w="985" w:type="pct"/>
            <w:tcBorders>
              <w:top w:val="nil"/>
              <w:left w:val="nil"/>
              <w:bottom w:val="nil"/>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N/A</w:t>
            </w:r>
          </w:p>
        </w:tc>
        <w:tc>
          <w:tcPr>
            <w:tcW w:w="309" w:type="pct"/>
            <w:tcBorders>
              <w:top w:val="nil"/>
              <w:left w:val="nil"/>
              <w:bottom w:val="nil"/>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proofErr w:type="gramStart"/>
            <w:r w:rsidRPr="00817FAB">
              <w:rPr>
                <w:rFonts w:ascii="Calibri" w:eastAsia="Times New Roman" w:hAnsi="Calibri" w:cs="Times New Roman"/>
                <w:color w:val="000000"/>
              </w:rPr>
              <w:t>H,M</w:t>
            </w:r>
            <w:proofErr w:type="gramEnd"/>
          </w:p>
        </w:tc>
        <w:tc>
          <w:tcPr>
            <w:tcW w:w="309" w:type="pct"/>
            <w:tcBorders>
              <w:top w:val="nil"/>
              <w:left w:val="nil"/>
              <w:bottom w:val="nil"/>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nil"/>
              <w:right w:val="nil"/>
            </w:tcBorders>
            <w:shd w:val="clear" w:color="auto" w:fill="auto"/>
            <w:vAlign w:val="center"/>
            <w:hideMark/>
          </w:tcPr>
          <w:p w:rsidR="001878AC" w:rsidRPr="00817FAB" w:rsidRDefault="001878AC" w:rsidP="007B6068">
            <w:pPr>
              <w:spacing w:after="0" w:line="240" w:lineRule="auto"/>
              <w:jc w:val="center"/>
              <w:rPr>
                <w:rFonts w:ascii="Calibri" w:eastAsia="Times New Roman" w:hAnsi="Calibri" w:cs="Times New Roman"/>
                <w:color w:val="000000"/>
              </w:rPr>
            </w:pPr>
            <w:r w:rsidRPr="00817FAB">
              <w:rPr>
                <w:rFonts w:ascii="Calibri" w:eastAsia="Times New Roman" w:hAnsi="Calibri" w:cs="Times New Roman"/>
                <w:color w:val="000000"/>
              </w:rPr>
              <w:t>N</w:t>
            </w:r>
          </w:p>
        </w:tc>
        <w:tc>
          <w:tcPr>
            <w:tcW w:w="309" w:type="pct"/>
            <w:tcBorders>
              <w:top w:val="nil"/>
              <w:left w:val="nil"/>
              <w:bottom w:val="nil"/>
              <w:right w:val="nil"/>
            </w:tcBorders>
            <w:vAlign w:val="center"/>
          </w:tcPr>
          <w:p w:rsidR="001878AC" w:rsidRPr="003E66A4" w:rsidRDefault="001878AC" w:rsidP="007B6068">
            <w:pPr>
              <w:spacing w:after="0" w:line="240" w:lineRule="auto"/>
              <w:jc w:val="center"/>
              <w:rPr>
                <w:rFonts w:ascii="Calibri" w:eastAsia="Times New Roman" w:hAnsi="Calibri" w:cs="Times New Roman"/>
                <w:color w:val="000000"/>
              </w:rPr>
            </w:pPr>
            <w:r w:rsidRPr="003E66A4">
              <w:rPr>
                <w:rFonts w:ascii="Calibri" w:eastAsia="Times New Roman" w:hAnsi="Calibri" w:cs="Times New Roman"/>
                <w:color w:val="000000"/>
              </w:rPr>
              <w:t>R</w:t>
            </w:r>
          </w:p>
        </w:tc>
        <w:tc>
          <w:tcPr>
            <w:tcW w:w="308" w:type="pct"/>
            <w:tcBorders>
              <w:top w:val="nil"/>
              <w:left w:val="nil"/>
              <w:bottom w:val="nil"/>
              <w:right w:val="nil"/>
            </w:tcBorders>
            <w:vAlign w:val="center"/>
          </w:tcPr>
          <w:p w:rsidR="001878AC" w:rsidRPr="003E66A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"10.1371/journal.pone.0164054", "ISSN" : "19326203", "PMID" : "27711149", "abstract" : "As malaria is being pushed back on many frontiers and global case numbers are declining, accurate measurement and prediction of transmission becomes increasingly difficult. Low transmission settings are characterised by high levels of spatial heterogeneity, which stands in stark contrast to the widely used assumption of spatially homogeneous transmission used in mathematical transmission models for malaria. In the present study an individual-based mathematical malaria transmission model that incorporates multiple parasite clones, variable human exposure and duration of infection, limited mosquito flight distance and most importantly geographically heterogeneous human and mosquito population densities was used to illustrate the differences between homogeneous and heterogeneous transmission assumptions when aiming to predict surrogate indicators of transmission intensity such as population parasite prevalence or multiplicity of infection (MOI). In traditionally highly malaria endemic regions where most of the population harbours malaria parasites, humans are often infected with multiple parasite clones. However, studies have shown also in areas with low overall parasite prevalence, infection with multiple parasite clones is a common occurrence. Mathematical models assuming homogeneous transmission between humans and mosquitoes cannot explain these observations. Heterogeneity of transmission can arise from many factors including acquired immunity, body size and occupational exposure. In this study, we show that spatial heterogeneity has a profound effect on predictions of MOI and parasite prevalence. We illustrate, that models assuming homogeneous transmission underestimate average MOI in low transmission settings when compared to field data and that spatially heterogeneous models predict stable transmission at much lower overall parasite prevalence. Therefore it is very important that models used to guide malaria surveillance and control strategies in low transmission and elimination settings take into account the spatial features of the specific target area, including human and mosquito vector distribution.", "author" : [ { "dropping-particle" : "", "family" : "Karl", "given" : "Stephan", "non-dropping-particle" : "", "parse-names" : false, "suffix" : "" }, { "dropping-particle" : "", "family" : "White", "given" : "Michael T", "non-dropping-particle" : "", "parse-names" : false, "suffix" : "" }, { "dropping-particle" : "", "family" : "Milne", "given" : "George J", "non-dropping-particle" : "", "parse-names" : false, "suffix" : "" }, { "dropping-particle" : "", "family" : "Gurarie", "given" : "David", "non-dropping-particle" : "", "parse-names" : false, "suffix" : "" }, { "dropping-particle" : "", "family" : "Hay", "given" : "Simon I", "non-dropping-particle" : "", "parse-names" : false, "suffix" : "" }, { "dropping-particle" : "", "family" : "Barry", "given" : "Alyssa E", "non-dropping-particle" : "", "parse-names" : false, "suffix" : "" }, { "dropping-particle" : "", "family" : "Felger", "given" : "Ingrid", "non-dropping-particle" : "", "parse-names" : false, "suffix" : "" }, { "dropping-particle" : "", "family" : "Mueller", "given" : "Ivo", "non-dropping-particle" : "", "parse-names" : false, "suffix" : "" } ], "container-title" : "PLoS ONE", "id" : "ITEM-1", "issue" : "10", "issued" : { "date-parts" : [ [ "2016" ] ] }, "page" : "e0164054", "title" : "Spatial effects on the multiplicity of Plasmodium falciparum infections", "type" : "article-journal", "volume" : "11" }, "uris" : [ "http://www.mendeley.com/documents/?uuid=88d0f209-6ef5-4186-b782-44b56b776fe2" ] } ], "mendeley" : { "formattedCitation" : "(28)", "plainTextFormattedCitation" : "(28)", "previouslyFormattedCitation" : "(28)"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(28)</w:t>
            </w:r>
            <w:r>
              <w:rPr>
                <w:rFonts w:ascii="Calibri" w:eastAsia="Times New Roman" w:hAnsi="Calibri" w:cs="Times New Roman"/>
                <w:color w:val="000000"/>
              </w:rPr>
              <w:fldChar w:fldCharType="end"/>
            </w:r>
          </w:p>
        </w:tc>
      </w:tr>
      <w:tr w:rsidR="001878AC" w:rsidRPr="00817FAB" w:rsidTr="001878AC">
        <w:trPr>
          <w:trHeight w:val="1215"/>
        </w:trPr>
        <w:tc>
          <w:tcPr>
            <w:tcW w:w="1021" w:type="pct"/>
            <w:gridSpan w:val="2"/>
            <w:tcBorders>
              <w:top w:val="single" w:sz="4" w:space="0" w:color="auto"/>
              <w:left w:val="nil"/>
              <w:right w:val="single" w:sz="12" w:space="0" w:color="auto"/>
            </w:tcBorders>
            <w:shd w:val="clear" w:color="auto" w:fill="auto"/>
            <w:noWrap/>
            <w:vAlign w:val="center"/>
          </w:tcPr>
          <w:p w:rsidR="001878AC" w:rsidRPr="00817FAB" w:rsidRDefault="001878AC" w:rsidP="007B6068">
            <w:pPr>
              <w:spacing w:after="0" w:line="240" w:lineRule="auto"/>
              <w:rPr>
                <w:rFonts w:ascii="Calibri" w:eastAsia="Times New Roman" w:hAnsi="Calibri" w:cs="Times New Roman"/>
                <w:color w:val="000000"/>
              </w:rPr>
            </w:pPr>
            <w:proofErr w:type="spellStart"/>
            <w:r w:rsidRPr="00705A99">
              <w:rPr>
                <w:rFonts w:ascii="Calibri" w:hAnsi="Calibri" w:cs="Calibri"/>
                <w:color w:val="000000"/>
              </w:rPr>
              <w:t>Shcherbacheva</w:t>
            </w:r>
            <w:proofErr w:type="spellEnd"/>
            <w:r>
              <w:rPr>
                <w:rFonts w:ascii="Calibri" w:hAnsi="Calibri" w:cs="Calibri"/>
                <w:color w:val="000000"/>
              </w:rPr>
              <w:t xml:space="preserve"> (2017A)</w:t>
            </w:r>
          </w:p>
        </w:tc>
        <w:tc>
          <w:tcPr>
            <w:tcW w:w="977" w:type="pct"/>
            <w:tcBorders>
              <w:top w:val="single" w:sz="4" w:space="0" w:color="auto"/>
              <w:left w:val="nil"/>
              <w:bottom w:val="single" w:sz="4"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Patch-based</w:t>
            </w:r>
          </w:p>
        </w:tc>
        <w:tc>
          <w:tcPr>
            <w:tcW w:w="472" w:type="pct"/>
            <w:tcBorders>
              <w:top w:val="single" w:sz="4" w:space="0" w:color="auto"/>
              <w:left w:val="nil"/>
              <w:bottom w:val="single" w:sz="4"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N/A</w:t>
            </w:r>
          </w:p>
        </w:tc>
        <w:tc>
          <w:tcPr>
            <w:tcW w:w="985" w:type="pct"/>
            <w:tcBorders>
              <w:top w:val="single" w:sz="4" w:space="0" w:color="auto"/>
              <w:left w:val="nil"/>
              <w:bottom w:val="single" w:sz="4"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N/A</w:t>
            </w:r>
          </w:p>
        </w:tc>
        <w:tc>
          <w:tcPr>
            <w:tcW w:w="309" w:type="pct"/>
            <w:tcBorders>
              <w:top w:val="single" w:sz="4" w:space="0" w:color="auto"/>
              <w:left w:val="nil"/>
              <w:bottom w:val="single" w:sz="4"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M</w:t>
            </w:r>
          </w:p>
        </w:tc>
        <w:tc>
          <w:tcPr>
            <w:tcW w:w="309" w:type="pct"/>
            <w:tcBorders>
              <w:top w:val="single" w:sz="4" w:space="0" w:color="auto"/>
              <w:left w:val="nil"/>
              <w:bottom w:val="single" w:sz="4"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Y</w:t>
            </w:r>
          </w:p>
        </w:tc>
        <w:tc>
          <w:tcPr>
            <w:tcW w:w="309" w:type="pct"/>
            <w:tcBorders>
              <w:top w:val="single" w:sz="4" w:space="0" w:color="auto"/>
              <w:left w:val="nil"/>
              <w:bottom w:val="single" w:sz="4"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w:t>
            </w:r>
          </w:p>
        </w:tc>
        <w:tc>
          <w:tcPr>
            <w:tcW w:w="309" w:type="pct"/>
            <w:tcBorders>
              <w:top w:val="single" w:sz="4" w:space="0" w:color="auto"/>
              <w:left w:val="nil"/>
              <w:bottom w:val="single" w:sz="4" w:space="0" w:color="auto"/>
              <w:right w:val="nil"/>
            </w:tcBorders>
            <w:vAlign w:val="center"/>
          </w:tcPr>
          <w:p w:rsidR="001878AC" w:rsidRPr="00187934" w:rsidRDefault="001878AC" w:rsidP="007B6068">
            <w:pPr>
              <w:spacing w:after="0" w:line="240" w:lineRule="auto"/>
              <w:jc w:val="center"/>
              <w:rPr>
                <w:rFonts w:ascii="Calibri" w:eastAsia="Times New Roman" w:hAnsi="Calibri" w:cs="Times New Roman"/>
                <w:color w:val="000000"/>
              </w:rPr>
            </w:pPr>
            <w:r w:rsidRPr="00187934">
              <w:rPr>
                <w:rFonts w:ascii="Calibri" w:eastAsia="Times New Roman" w:hAnsi="Calibri" w:cs="Times New Roman"/>
                <w:color w:val="000000"/>
              </w:rPr>
              <w:t>H</w:t>
            </w:r>
          </w:p>
        </w:tc>
        <w:tc>
          <w:tcPr>
            <w:tcW w:w="308" w:type="pct"/>
            <w:tcBorders>
              <w:top w:val="single" w:sz="4" w:space="0" w:color="auto"/>
              <w:left w:val="nil"/>
              <w:bottom w:val="single" w:sz="4" w:space="0" w:color="auto"/>
              <w:right w:val="nil"/>
            </w:tcBorders>
            <w:vAlign w:val="center"/>
          </w:tcPr>
          <w:p w:rsidR="001878AC" w:rsidRPr="00187934"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Pr>
                <w:rFonts w:ascii="Calibri" w:eastAsia="Times New Roman" w:hAnsi="Calibri" w:cs="Times New Roman"/>
                <w:color w:val="000000"/>
              </w:rPr>
              <w:instrText>ADDIN CSL_CITATION { "citationItems" : [ { "id" : "ITEM-1", "itemData" : { "DOI" : "10.1016/j.mbs.2017.10.005", "ISSN" : "18793134", "PMID" : "29031707", "abstract" : "The efficiency of spatial repellents and long-lasting insecticide-treated nets (LLINs) is a key research topic in malaria control. Insecticidal nets reduce the mosquito-human contact rate and simultaneously decrease mosquito populations. However, LLINs demonstrate dissimilar efficiency against different species of malaria mosquitoes. Various factors have been proposed as an explanation, including differences in insecticide-induced mortality, flight characteristics, or persistence of attack. Here we present a discrete agent-based approach that enables the efficiency of LLINs, baited traps and Insecticide Residual Sprays (IRS) to be examined. The model is calibrated with hut-level experimental data to compare the efficiency of protection against two mosquito species: Anopheles gambiae and Anopheles arabiensis. We show that while such data does not allow an unambiguous identification of the details of how LLINs alter the vector behavior, the model calibrations quantify the overall impact of LLINs for the two different mosquito species. The simulations are generalized to community-scale scenarios that systematically demonstrate the lower efficiency of the LLINs in control of An. arabiensis compared to An. gambiae.", "author" : [ { "dropping-particle" : "", "family" : "Shcherbacheva", "given" : "Anna", "non-dropping-particle" : "", "parse-names" : false, "suffix" : "" }, { "dropping-particle" : "", "family" : "Haario", "given" : "Heikki", "non-dropping-particle" : "", "parse-names" : false, "suffix" : "" }, { "dropping-particle" : "", "family" : "Killeen", "given" : "Gerry F.", "non-dropping-particle" : "", "parse-names" : false, "suffix" : "" } ], "container-title" : "Mathematical Biosciences", "id" : "ITEM-1", "issued" : { "date-parts" : [ [ "2018", "1", "1" ] ] }, "page" : "36-47", "publisher" : "Elsevier", "title" : "Modeling host-seeking behavior of African malaria vector mosquitoes in the presence of long-lasting insecticidal nets", "type" : "article-journal", "volume" : "295" }, "uris" : [ "http://www.mendeley.com/documents/?uuid=e9af8f00-fc17-39a6-bef6-eedddff0a893" ] } ], "mendeley" : { "formattedCitation" : "(29)", "plainTextFormattedCitation" : "(29)", "previouslyFormattedCitation" : "(29)"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(29)</w:t>
            </w:r>
            <w:r>
              <w:rPr>
                <w:rFonts w:ascii="Calibri" w:eastAsia="Times New Roman" w:hAnsi="Calibri" w:cs="Times New Roman"/>
                <w:color w:val="000000"/>
              </w:rPr>
              <w:fldChar w:fldCharType="end"/>
            </w:r>
          </w:p>
        </w:tc>
      </w:tr>
      <w:tr w:rsidR="001878AC" w:rsidRPr="00817FAB" w:rsidTr="001878AC">
        <w:trPr>
          <w:trHeight w:val="1215"/>
        </w:trPr>
        <w:tc>
          <w:tcPr>
            <w:tcW w:w="470" w:type="pct"/>
            <w:tcBorders>
              <w:left w:val="nil"/>
              <w:bottom w:val="single" w:sz="8" w:space="0" w:color="auto"/>
              <w:right w:val="nil"/>
            </w:tcBorders>
            <w:shd w:val="clear" w:color="auto" w:fill="auto"/>
            <w:noWrap/>
            <w:vAlign w:val="bottom"/>
          </w:tcPr>
          <w:p w:rsidR="001878AC" w:rsidRPr="00817FAB" w:rsidRDefault="001878AC" w:rsidP="007B6068">
            <w:pPr>
              <w:spacing w:after="0" w:line="240" w:lineRule="auto"/>
              <w:rPr>
                <w:rFonts w:ascii="Calibri" w:eastAsia="Times New Roman" w:hAnsi="Calibri" w:cs="Times New Roman"/>
                <w:color w:val="000000"/>
              </w:rPr>
            </w:pPr>
          </w:p>
        </w:tc>
        <w:tc>
          <w:tcPr>
            <w:tcW w:w="551" w:type="pct"/>
            <w:tcBorders>
              <w:left w:val="single" w:sz="8" w:space="0" w:color="auto"/>
              <w:bottom w:val="single" w:sz="8" w:space="0" w:color="auto"/>
              <w:right w:val="single" w:sz="12" w:space="0" w:color="auto"/>
            </w:tcBorders>
            <w:shd w:val="clear" w:color="auto" w:fill="auto"/>
            <w:vAlign w:val="center"/>
          </w:tcPr>
          <w:p w:rsidR="001878AC" w:rsidRPr="00817FAB" w:rsidRDefault="001878AC" w:rsidP="007B6068">
            <w:pPr>
              <w:spacing w:after="0" w:line="240" w:lineRule="auto"/>
              <w:jc w:val="right"/>
              <w:rPr>
                <w:rFonts w:ascii="Calibri" w:eastAsia="Times New Roman" w:hAnsi="Calibri" w:cs="Times New Roman"/>
                <w:color w:val="000000"/>
              </w:rPr>
            </w:pPr>
            <w:proofErr w:type="spellStart"/>
            <w:r w:rsidRPr="00187934">
              <w:rPr>
                <w:rFonts w:ascii="Calibri" w:eastAsia="Times New Roman" w:hAnsi="Calibri" w:cs="Times New Roman"/>
                <w:color w:val="000000"/>
              </w:rPr>
              <w:t>S’cheva</w:t>
            </w:r>
            <w:proofErr w:type="spellEnd"/>
            <w:r w:rsidRPr="00C45088">
              <w:rPr>
                <w:rFonts w:ascii="Calibri" w:eastAsia="Times New Roman" w:hAnsi="Calibri" w:cs="Times New Roman"/>
                <w:color w:val="000000"/>
              </w:rPr>
              <w:t xml:space="preserve"> (2017B</w:t>
            </w:r>
            <w:r w:rsidRPr="00187934">
              <w:rPr>
                <w:rFonts w:ascii="Calibri" w:eastAsia="Times New Roman" w:hAnsi="Calibri" w:cs="Times New Roman"/>
                <w:color w:val="000000"/>
              </w:rPr>
              <w:t>)</w:t>
            </w:r>
          </w:p>
        </w:tc>
        <w:tc>
          <w:tcPr>
            <w:tcW w:w="977" w:type="pct"/>
            <w:tcBorders>
              <w:top w:val="single" w:sz="4" w:space="0" w:color="auto"/>
              <w:left w:val="nil"/>
              <w:bottom w:val="single" w:sz="8" w:space="0" w:color="auto"/>
              <w:right w:val="nil"/>
            </w:tcBorders>
            <w:shd w:val="clear" w:color="auto" w:fill="auto"/>
            <w:vAlign w:val="center"/>
          </w:tcPr>
          <w:p w:rsidR="001878AC" w:rsidRPr="00817FAB" w:rsidRDefault="001878AC" w:rsidP="007B6068">
            <w:pPr>
              <w:spacing w:after="0" w:line="240" w:lineRule="auto"/>
              <w:rPr>
                <w:rFonts w:ascii="Calibri" w:eastAsia="Times New Roman" w:hAnsi="Calibri" w:cs="Times New Roman"/>
                <w:color w:val="000000"/>
              </w:rPr>
            </w:pPr>
            <w:r>
              <w:rPr>
                <w:rFonts w:ascii="Calibri" w:eastAsia="Times New Roman" w:hAnsi="Calibri" w:cs="Times New Roman"/>
                <w:color w:val="000000"/>
              </w:rPr>
              <w:t>N/A</w:t>
            </w:r>
          </w:p>
        </w:tc>
        <w:tc>
          <w:tcPr>
            <w:tcW w:w="472" w:type="pct"/>
            <w:tcBorders>
              <w:top w:val="single" w:sz="4" w:space="0" w:color="auto"/>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500 x 500m</w:t>
            </w:r>
          </w:p>
        </w:tc>
        <w:tc>
          <w:tcPr>
            <w:tcW w:w="985" w:type="pct"/>
            <w:tcBorders>
              <w:top w:val="single" w:sz="4" w:space="0" w:color="auto"/>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N/A</w:t>
            </w:r>
          </w:p>
        </w:tc>
        <w:tc>
          <w:tcPr>
            <w:tcW w:w="309" w:type="pct"/>
            <w:tcBorders>
              <w:top w:val="single" w:sz="4" w:space="0" w:color="auto"/>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M</w:t>
            </w:r>
          </w:p>
        </w:tc>
        <w:tc>
          <w:tcPr>
            <w:tcW w:w="309" w:type="pct"/>
            <w:tcBorders>
              <w:top w:val="single" w:sz="4" w:space="0" w:color="auto"/>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w:t>
            </w:r>
          </w:p>
        </w:tc>
        <w:tc>
          <w:tcPr>
            <w:tcW w:w="309" w:type="pct"/>
            <w:tcBorders>
              <w:top w:val="single" w:sz="4" w:space="0" w:color="auto"/>
              <w:left w:val="nil"/>
              <w:bottom w:val="single" w:sz="8" w:space="0" w:color="auto"/>
              <w:right w:val="nil"/>
            </w:tcBorders>
            <w:shd w:val="clear" w:color="auto" w:fill="auto"/>
            <w:vAlign w:val="center"/>
          </w:tcPr>
          <w:p w:rsidR="001878AC" w:rsidRPr="00817FAB" w:rsidRDefault="001878AC" w:rsidP="007B606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w:t>
            </w:r>
          </w:p>
        </w:tc>
        <w:tc>
          <w:tcPr>
            <w:tcW w:w="309" w:type="pct"/>
            <w:tcBorders>
              <w:top w:val="single" w:sz="4" w:space="0" w:color="auto"/>
              <w:left w:val="nil"/>
              <w:bottom w:val="single" w:sz="8" w:space="0" w:color="auto"/>
              <w:right w:val="nil"/>
            </w:tcBorders>
            <w:vAlign w:val="center"/>
          </w:tcPr>
          <w:p w:rsidR="001878AC" w:rsidRPr="00187934" w:rsidRDefault="001878AC" w:rsidP="007B6068">
            <w:pPr>
              <w:spacing w:after="0" w:line="240" w:lineRule="auto"/>
              <w:jc w:val="center"/>
              <w:rPr>
                <w:rFonts w:ascii="Calibri" w:eastAsia="Times New Roman" w:hAnsi="Calibri" w:cs="Times New Roman"/>
                <w:color w:val="000000"/>
              </w:rPr>
            </w:pPr>
            <w:r w:rsidRPr="00C45088">
              <w:rPr>
                <w:rFonts w:ascii="Calibri" w:eastAsia="Times New Roman" w:hAnsi="Calibri" w:cs="Times New Roman"/>
                <w:color w:val="000000"/>
              </w:rPr>
              <w:t>H</w:t>
            </w:r>
          </w:p>
        </w:tc>
        <w:tc>
          <w:tcPr>
            <w:tcW w:w="308" w:type="pct"/>
            <w:tcBorders>
              <w:top w:val="single" w:sz="4" w:space="0" w:color="auto"/>
              <w:left w:val="nil"/>
              <w:bottom w:val="single" w:sz="8" w:space="0" w:color="auto"/>
              <w:right w:val="nil"/>
            </w:tcBorders>
            <w:vAlign w:val="center"/>
          </w:tcPr>
          <w:p w:rsidR="001878AC" w:rsidRPr="00C45088" w:rsidRDefault="007B34F7" w:rsidP="001878A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fldChar w:fldCharType="begin" w:fldLock="1"/>
            </w:r>
            <w:r w:rsidR="00776304">
              <w:rPr>
                <w:rFonts w:ascii="Calibri" w:eastAsia="Times New Roman" w:hAnsi="Calibri" w:cs="Times New Roman"/>
                <w:color w:val="000000"/>
              </w:rPr>
              <w:instrText>ADDIN CSL_CITATION { "citationItems" : [ { "id" : "ITEM-1", "itemData" : { "abstract" : "In the present study the impact of household size together with behav- ioral alterations caused by parasite on malaria transmission is inves- tigated using a discrete agent-based model of mosquito host-seeking behavior earlier calibrated against experimental data. The rate of trans- mission was shown to decrease with the typical size of household. Depending on the assumptions, one can observe different thresholds for a significant decrease of the disease reproduction number.", "author" : [ { "dropping-particle" : "", "family" : "Shcherbacheva", "given" : "Anna", "non-dropping-particle" : "", "parse-names" : false, "suffix" : "" }, { "dropping-particle" : "", "family" : "Haario", "given" : "Heikki", "non-dropping-particle" : "", "parse-names" : false, "suffix" : "" } ], "container-title" : "Journal of Multi-Valued Logic and Soft Computing", "id" : "ITEM-1", "issued" : { "date-parts" : [ [ "2017" ] ] }, "page" : "455-468", "title" : "The Impact of Household Size on Malaria Reduction in Relation with Alterations in Mosquito Behavior by Malaria Parasite", "type" : "article-journal", "volume" : "29" }, "uris" : [ "http://www.mendeley.com/documents/?uuid=22dbffc0-951c-4e63-a942-486b0a419b47" ] } ], "mendeley" : { "formattedCitation" : "(30)", "plainTextFormattedCitation" : "(30)", "previouslyFormattedCitation" : "(30)" }, "properties" : { "noteIndex" : 0 }, "schema" : "https://github.com/citation-style-language/schema/raw/master/csl-citation.json" }</w:instrText>
            </w:r>
            <w:r>
              <w:rPr>
                <w:rFonts w:ascii="Calibri" w:eastAsia="Times New Roman" w:hAnsi="Calibri" w:cs="Times New Roman"/>
                <w:color w:val="000000"/>
              </w:rPr>
              <w:fldChar w:fldCharType="separate"/>
            </w:r>
            <w:r w:rsidRPr="007B34F7">
              <w:rPr>
                <w:rFonts w:ascii="Calibri" w:eastAsia="Times New Roman" w:hAnsi="Calibri" w:cs="Times New Roman"/>
                <w:noProof/>
                <w:color w:val="000000"/>
              </w:rPr>
              <w:t>(30)</w:t>
            </w:r>
            <w:r>
              <w:rPr>
                <w:rFonts w:ascii="Calibri" w:eastAsia="Times New Roman" w:hAnsi="Calibri" w:cs="Times New Roman"/>
                <w:color w:val="000000"/>
              </w:rPr>
              <w:fldChar w:fldCharType="end"/>
            </w:r>
          </w:p>
        </w:tc>
      </w:tr>
    </w:tbl>
    <w:p w:rsidR="00F15747" w:rsidRDefault="00776304"/>
    <w:p w:rsidR="00776304" w:rsidRDefault="00776304" w:rsidP="00776304">
      <w:pPr>
        <w:pStyle w:val="Heading2"/>
      </w:pPr>
      <w:r>
        <w:lastRenderedPageBreak/>
        <w:t>References</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Pr="00776304">
        <w:rPr>
          <w:rFonts w:ascii="Calibri" w:hAnsi="Calibri" w:cs="Calibri"/>
          <w:noProof/>
          <w:szCs w:val="24"/>
        </w:rPr>
        <w:t xml:space="preserve">1. </w:t>
      </w:r>
      <w:r w:rsidRPr="00776304">
        <w:rPr>
          <w:rFonts w:ascii="Calibri" w:hAnsi="Calibri" w:cs="Calibri"/>
          <w:noProof/>
          <w:szCs w:val="24"/>
        </w:rPr>
        <w:tab/>
        <w:t xml:space="preserve">Gu W, Novak RJ. Agent-based modelling of mosquito foraging behaviour for malaria control. Trans R Soc Trop Med Hygeine. 2009;103(11):1105–18.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 </w:t>
      </w:r>
      <w:r w:rsidRPr="00776304">
        <w:rPr>
          <w:rFonts w:ascii="Calibri" w:hAnsi="Calibri" w:cs="Calibri"/>
          <w:noProof/>
          <w:szCs w:val="24"/>
        </w:rPr>
        <w:tab/>
        <w:t xml:space="preserve">Gu W, Novak RJ. Predicting the impact of insecticide-treated bed nets on malaria transmission: the devil is in the detail. Malar J. 2009;8(1):256–65.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3. </w:t>
      </w:r>
      <w:r w:rsidRPr="00776304">
        <w:rPr>
          <w:rFonts w:ascii="Calibri" w:hAnsi="Calibri" w:cs="Calibri"/>
          <w:noProof/>
          <w:szCs w:val="24"/>
        </w:rPr>
        <w:tab/>
        <w:t xml:space="preserve">Depinay J-MO, Mbogo CM, Killeen G, Knols B, Beier J, Carlson J, et al. A simulation model of African Anopheles ecology and population dynamics for the analysis of malaria transmission. Malar J. 2004;3(1):29–49.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4. </w:t>
      </w:r>
      <w:r w:rsidRPr="00776304">
        <w:rPr>
          <w:rFonts w:ascii="Calibri" w:hAnsi="Calibri" w:cs="Calibri"/>
          <w:noProof/>
          <w:szCs w:val="24"/>
        </w:rPr>
        <w:tab/>
        <w:t xml:space="preserve">Rateb F, Pavard B, Bellamine-BenSaoud N, Merelo JJ, Arenas MG. Modeling Malaria with Multi-Agent Systems. Int J Intell Inf Technol. 2005;1(June):17–27.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5. </w:t>
      </w:r>
      <w:r w:rsidRPr="00776304">
        <w:rPr>
          <w:rFonts w:ascii="Calibri" w:hAnsi="Calibri" w:cs="Calibri"/>
          <w:noProof/>
          <w:szCs w:val="24"/>
        </w:rPr>
        <w:tab/>
        <w:t xml:space="preserve">Linard C, Ponçon N, Fontenille D, Lambin EF. A multi-agent simulation to assess the risk of malaria re-emergence in southern France. Ecol Modell. 2009;220(2):160–74.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6. </w:t>
      </w:r>
      <w:r w:rsidRPr="00776304">
        <w:rPr>
          <w:rFonts w:ascii="Calibri" w:hAnsi="Calibri" w:cs="Calibri"/>
          <w:noProof/>
          <w:szCs w:val="24"/>
        </w:rPr>
        <w:tab/>
        <w:t xml:space="preserve">Bomblies A, Duchemin JB, Eltahir EAB. Hydrology of malaria: Model development and application to a Sahelian village. Water Resour Res. 2008;44(12):1–26.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7. </w:t>
      </w:r>
      <w:r w:rsidRPr="00776304">
        <w:rPr>
          <w:rFonts w:ascii="Calibri" w:hAnsi="Calibri" w:cs="Calibri"/>
          <w:noProof/>
          <w:szCs w:val="24"/>
        </w:rPr>
        <w:tab/>
        <w:t xml:space="preserve">Bomblies A, Duchemin J-B, Eltahir EAB. A mechanistic approach for accurate simulation of village scale malaria transmission. Malar J. 2009;8(1):223–34.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8. </w:t>
      </w:r>
      <w:r w:rsidRPr="00776304">
        <w:rPr>
          <w:rFonts w:ascii="Calibri" w:hAnsi="Calibri" w:cs="Calibri"/>
          <w:noProof/>
          <w:szCs w:val="24"/>
        </w:rPr>
        <w:tab/>
        <w:t xml:space="preserve">Bomblies A, Eltahir EAB. Assessment of the impact of climate shifts on malaria transmission in the Sahel. Ecohealth. 2009;6(3):426–37.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9. </w:t>
      </w:r>
      <w:r w:rsidRPr="00776304">
        <w:rPr>
          <w:rFonts w:ascii="Calibri" w:hAnsi="Calibri" w:cs="Calibri"/>
          <w:noProof/>
          <w:szCs w:val="24"/>
        </w:rPr>
        <w:tab/>
        <w:t xml:space="preserve">Stryker JJ, Bomblies A. The impacts of land use change on malaria vector abundance in a water-limited, highland region of Ethiopia. Ecohealth. 2012;9(4):455–70.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10. </w:t>
      </w:r>
      <w:r w:rsidRPr="00776304">
        <w:rPr>
          <w:rFonts w:ascii="Calibri" w:hAnsi="Calibri" w:cs="Calibri"/>
          <w:noProof/>
          <w:szCs w:val="24"/>
        </w:rPr>
        <w:tab/>
        <w:t>Yamana TK, Bomblies A, Laminou IM, Duchemin J-B, Eltahir EAB. Linking environmental variability to village-scale malaria transmission using a simple immunity model. Parasit Vectors [Internet]. 2013;6(1):226–39. Available from: http://dx.doi.org/10.1186/1756-3305-6-226</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11. </w:t>
      </w:r>
      <w:r w:rsidRPr="00776304">
        <w:rPr>
          <w:rFonts w:ascii="Calibri" w:hAnsi="Calibri" w:cs="Calibri"/>
          <w:noProof/>
          <w:szCs w:val="24"/>
        </w:rPr>
        <w:tab/>
        <w:t xml:space="preserve">Bomblies A. Agent-based modeling of malaria vectors: the importance of spatial simulation. Parasit Vectors. 2014;7(1):308–17.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12. </w:t>
      </w:r>
      <w:r w:rsidRPr="00776304">
        <w:rPr>
          <w:rFonts w:ascii="Calibri" w:hAnsi="Calibri" w:cs="Calibri"/>
          <w:noProof/>
          <w:szCs w:val="24"/>
        </w:rPr>
        <w:tab/>
        <w:t>Yamana TK, Qiu X, Eltahir EAB. Hysteresis in simulations of malaria transmission. Adv Water Resour [Internet]. 2017;108:416–22. Available from: http://dx.doi.org/10.1016/j.advwatres.2016.10.003</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13. </w:t>
      </w:r>
      <w:r w:rsidRPr="00776304">
        <w:rPr>
          <w:rFonts w:ascii="Calibri" w:hAnsi="Calibri" w:cs="Calibri"/>
          <w:noProof/>
          <w:szCs w:val="24"/>
        </w:rPr>
        <w:tab/>
        <w:t xml:space="preserve">Endo N, Eltahir EAB. Environmental determinants of malaria transmission in African villages. Malar J. 2016;15(1):1–11.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14. </w:t>
      </w:r>
      <w:r w:rsidRPr="00776304">
        <w:rPr>
          <w:rFonts w:ascii="Calibri" w:hAnsi="Calibri" w:cs="Calibri"/>
          <w:noProof/>
          <w:szCs w:val="24"/>
        </w:rPr>
        <w:tab/>
        <w:t>Endo N, Eltahir EAB. Environmental Determinants of Malaria Transmission Around the Koka Reservoir in Ethiopia. GeoHealth [Internet]. 2018;2(3):104–15. Available from: http://doi.wiley.com/10.1002/2017GH000108</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15. </w:t>
      </w:r>
      <w:r w:rsidRPr="00776304">
        <w:rPr>
          <w:rFonts w:ascii="Calibri" w:hAnsi="Calibri" w:cs="Calibri"/>
          <w:noProof/>
          <w:szCs w:val="24"/>
        </w:rPr>
        <w:tab/>
        <w:t>Arifin SMN, Davis GJ, Zhou Y. A Spatial Agent-Based Model of Malaria. Int J Agent Technol Syst [Internet]. 2011;3(3):17–34. Available from: http://services.igi-global.com/resolvedoi/resolve.aspx?doi=10.4018/jats.2011070102</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16. </w:t>
      </w:r>
      <w:r w:rsidRPr="00776304">
        <w:rPr>
          <w:rFonts w:ascii="Calibri" w:hAnsi="Calibri" w:cs="Calibri"/>
          <w:noProof/>
          <w:szCs w:val="24"/>
        </w:rPr>
        <w:tab/>
        <w:t xml:space="preserve">Arifin SMN, Madey GR, Collins FH. Examining the impact of larval source management and insecticide-treated nets using a spatial agent-based model of Anopheles gambiae and a landscape generator tool. Malar J. 2013;12(1):290–313.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17. </w:t>
      </w:r>
      <w:r w:rsidRPr="00776304">
        <w:rPr>
          <w:rFonts w:ascii="Calibri" w:hAnsi="Calibri" w:cs="Calibri"/>
          <w:noProof/>
          <w:szCs w:val="24"/>
        </w:rPr>
        <w:tab/>
        <w:t>Arifin S, Arifin R, Pitts D, Rahman M, Nowreen S, Madey G, et al. Landscape Epidemiology Modeling Using an Agent-Based Model and a Geographic Information System. Land [Internet]. 2015 [cited 2018 Jun 4];4(2):378–412. Available from: http://www.mdpi.com/2073-445X/4/2/378/</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18. </w:t>
      </w:r>
      <w:r w:rsidRPr="00776304">
        <w:rPr>
          <w:rFonts w:ascii="Calibri" w:hAnsi="Calibri" w:cs="Calibri"/>
          <w:noProof/>
          <w:szCs w:val="24"/>
        </w:rPr>
        <w:tab/>
        <w:t>Alam MSMZ, Niaz Arifin SM, Al-Amin HM, Alam MSMZ, Rahman MS. A spatial agent-based model of Anopheles vagus for malaria epidemiology: Examining the impact of vector control interventions. Malar J [Internet]. 2017 Dec 27 [cited 2018 May 23];16(1):1–20. Available from: http://malariajournal.biomedcentral.com/articles/10.1186/s12936-017-2075-6</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19. </w:t>
      </w:r>
      <w:r w:rsidRPr="00776304">
        <w:rPr>
          <w:rFonts w:ascii="Calibri" w:hAnsi="Calibri" w:cs="Calibri"/>
          <w:noProof/>
          <w:szCs w:val="24"/>
        </w:rPr>
        <w:tab/>
        <w:t xml:space="preserve">Gerardin J, Bever CA, Hamainza B, Miller JM, Eckhoff PA, Wenger EA. Optimal Population-Level Infection Detection Strategies for Malaria Control and Elimination in a Spatial Model of Malaria Transmission. PLOS Comput Biol. 2016 Jan 14;12(1):e1004707.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20. </w:t>
      </w:r>
      <w:r w:rsidRPr="00776304">
        <w:rPr>
          <w:rFonts w:ascii="Calibri" w:hAnsi="Calibri" w:cs="Calibri"/>
          <w:noProof/>
          <w:szCs w:val="24"/>
        </w:rPr>
        <w:tab/>
        <w:t xml:space="preserve">Eckhoff PA, Wenger EA, Godfray HCJ, Burt A. Impact of mosquito gene drive on malaria elimination in a computational model with explicit spatial and temporal dynamics. Proc Natl Acad Sci U S A. 2016;114(2):E255–64.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21. </w:t>
      </w:r>
      <w:r w:rsidRPr="00776304">
        <w:rPr>
          <w:rFonts w:ascii="Calibri" w:hAnsi="Calibri" w:cs="Calibri"/>
          <w:noProof/>
          <w:szCs w:val="24"/>
        </w:rPr>
        <w:tab/>
        <w:t xml:space="preserve">Gerardin J, Bever CA, Bridenbecker D, Hamainza B, Silumbe K, Miller JM, et al. Effectiveness of reactive case detection for malaria elimination in three archetypical transmission settings: A modelling study. Malar J. 2017;16(1):1–17.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22. </w:t>
      </w:r>
      <w:r w:rsidRPr="00776304">
        <w:rPr>
          <w:rFonts w:ascii="Calibri" w:hAnsi="Calibri" w:cs="Calibri"/>
          <w:noProof/>
          <w:szCs w:val="24"/>
        </w:rPr>
        <w:tab/>
        <w:t xml:space="preserve">Zhu L, Qualls WA, Marshall JM, Arheart KL, DeAngelis DL, McManus JW, et al. A spatial individual-based model predicting a great impact of copious sugar sources and resting sites on survival of Anopheles gambiae and malaria parasite transmission. Malar J. 2015;14(1):59–73.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23. </w:t>
      </w:r>
      <w:r w:rsidRPr="00776304">
        <w:rPr>
          <w:rFonts w:ascii="Calibri" w:hAnsi="Calibri" w:cs="Calibri"/>
          <w:noProof/>
          <w:szCs w:val="24"/>
        </w:rPr>
        <w:tab/>
        <w:t xml:space="preserve">Zhu L, Marshall JM, Qualls WA, Schlein Y, McManus JW, Arheart KL, et al. Modelling optimum use of attractive toxic sugar bait stations for effective malaria vector control in Africa. Malar J. 2015;14(1):492–503.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24. </w:t>
      </w:r>
      <w:r w:rsidRPr="00776304">
        <w:rPr>
          <w:rFonts w:ascii="Calibri" w:hAnsi="Calibri" w:cs="Calibri"/>
          <w:noProof/>
          <w:szCs w:val="24"/>
        </w:rPr>
        <w:tab/>
        <w:t>Zhu L, Müller GC, Marshall JM, Arheart KL, Qualls WA, Hlaing WM, et al. Is outdoor vector control needed for malaria elimination? An individual-based modelling study. Malar J [Internet]. 2017 Dec 3 [cited 2018 May 24];16(1):266. Available from: http://malariajournal.biomedcentral.com/articles/10.1186/s12936-017-1920-y</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25. </w:t>
      </w:r>
      <w:r w:rsidRPr="00776304">
        <w:rPr>
          <w:rFonts w:ascii="Calibri" w:hAnsi="Calibri" w:cs="Calibri"/>
          <w:noProof/>
          <w:szCs w:val="24"/>
        </w:rPr>
        <w:tab/>
        <w:t>Silal SP, Little F, Barnes KI, White LJ. Predicting the impact of border control on malaria transmission: a simulated focal screen and treat campaign. Malar J [Internet]. 2015 Dec 12;14(1):268. Available from: http://www.malariajournal.com/content/14/1/268</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26. </w:t>
      </w:r>
      <w:r w:rsidRPr="00776304">
        <w:rPr>
          <w:rFonts w:ascii="Calibri" w:hAnsi="Calibri" w:cs="Calibri"/>
          <w:noProof/>
          <w:szCs w:val="24"/>
        </w:rPr>
        <w:tab/>
        <w:t xml:space="preserve">Pizzitutti F, Pan W, Barbieri A, Miranda JJ, Feingold B, Guedes GR, et al. A validated agent-based model to study the spatial and temporal heterogeneities of malaria incidence in the rainforest environment. Malar J. 2015;14(1):514–32.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27. </w:t>
      </w:r>
      <w:r w:rsidRPr="00776304">
        <w:rPr>
          <w:rFonts w:ascii="Calibri" w:hAnsi="Calibri" w:cs="Calibri"/>
          <w:noProof/>
          <w:szCs w:val="24"/>
        </w:rPr>
        <w:tab/>
        <w:t xml:space="preserve">Pizzitutti F, Pan W, Feingold B, Zaitchik B, Álvarez CA, Mena CF. Out of the net: An agent-based model to study human movements influence on local-scale malaria transmission. PLoS One. 2018;13(3).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28. </w:t>
      </w:r>
      <w:r w:rsidRPr="00776304">
        <w:rPr>
          <w:rFonts w:ascii="Calibri" w:hAnsi="Calibri" w:cs="Calibri"/>
          <w:noProof/>
          <w:szCs w:val="24"/>
        </w:rPr>
        <w:tab/>
        <w:t xml:space="preserve">Karl S, White MT, Milne GJ, Gurarie D, Hay SI, Barry AE, et al. Spatial effects on the multiplicity of Plasmodium falciparum infections. PLoS One. 2016;11(10):e0164054. </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szCs w:val="24"/>
        </w:rPr>
      </w:pPr>
      <w:r w:rsidRPr="00776304">
        <w:rPr>
          <w:rFonts w:ascii="Calibri" w:hAnsi="Calibri" w:cs="Calibri"/>
          <w:noProof/>
          <w:szCs w:val="24"/>
        </w:rPr>
        <w:t xml:space="preserve">29. </w:t>
      </w:r>
      <w:r w:rsidRPr="00776304">
        <w:rPr>
          <w:rFonts w:ascii="Calibri" w:hAnsi="Calibri" w:cs="Calibri"/>
          <w:noProof/>
          <w:szCs w:val="24"/>
        </w:rPr>
        <w:tab/>
        <w:t>Shcherbacheva A, Haario H, Killeen GF. Modeling host-seeking behavior of African malaria vector mosquitoes in the presence of long-lasting insecticidal nets. Math Biosci [Internet]. 2018 Jan 1 [cited 2018 May 23];295:36–47. Available from: https://www.sciencedirect.com/science/article/pii/S0025556417305473?via%3Dihub</w:t>
      </w:r>
    </w:p>
    <w:p w:rsidR="00776304" w:rsidRPr="00776304" w:rsidRDefault="00776304" w:rsidP="00776304">
      <w:pPr>
        <w:widowControl w:val="0"/>
        <w:autoSpaceDE w:val="0"/>
        <w:autoSpaceDN w:val="0"/>
        <w:adjustRightInd w:val="0"/>
        <w:spacing w:line="240" w:lineRule="auto"/>
        <w:ind w:left="640" w:hanging="640"/>
        <w:rPr>
          <w:rFonts w:ascii="Calibri" w:hAnsi="Calibri" w:cs="Calibri"/>
          <w:noProof/>
        </w:rPr>
      </w:pPr>
      <w:r w:rsidRPr="00776304">
        <w:rPr>
          <w:rFonts w:ascii="Calibri" w:hAnsi="Calibri" w:cs="Calibri"/>
          <w:noProof/>
          <w:szCs w:val="24"/>
        </w:rPr>
        <w:t xml:space="preserve">30. </w:t>
      </w:r>
      <w:r w:rsidRPr="00776304">
        <w:rPr>
          <w:rFonts w:ascii="Calibri" w:hAnsi="Calibri" w:cs="Calibri"/>
          <w:noProof/>
          <w:szCs w:val="24"/>
        </w:rPr>
        <w:tab/>
        <w:t xml:space="preserve">Shcherbacheva A, Haario H. The Impact of Household Size on Malaria Reduction in Relation with Alterations in Mosquito Behavior by Malaria Parasite. J Multi-Valued Log Soft Comput. 2017;29:455–68. </w:t>
      </w:r>
    </w:p>
    <w:p w:rsidR="00776304" w:rsidRPr="00776304" w:rsidRDefault="00776304" w:rsidP="00776304">
      <w:r>
        <w:fldChar w:fldCharType="end"/>
      </w:r>
      <w:bookmarkStart w:id="0" w:name="_GoBack"/>
      <w:bookmarkEnd w:id="0"/>
    </w:p>
    <w:sectPr w:rsidR="00776304" w:rsidRPr="007763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752"/>
    <w:rsid w:val="001878AC"/>
    <w:rsid w:val="00205D32"/>
    <w:rsid w:val="00382127"/>
    <w:rsid w:val="004776D4"/>
    <w:rsid w:val="00491C6A"/>
    <w:rsid w:val="00776304"/>
    <w:rsid w:val="007B34F7"/>
    <w:rsid w:val="00862D83"/>
    <w:rsid w:val="00876A72"/>
    <w:rsid w:val="009617B6"/>
    <w:rsid w:val="00AA159E"/>
    <w:rsid w:val="00B11C1A"/>
    <w:rsid w:val="00B20752"/>
    <w:rsid w:val="00CF7F57"/>
    <w:rsid w:val="00E012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B9C0"/>
  <w15:chartTrackingRefBased/>
  <w15:docId w15:val="{2952D230-9126-43DC-BB9B-69FC94C4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0752"/>
    <w:rPr>
      <w:rFonts w:eastAsiaTheme="minorEastAsia"/>
      <w:lang w:eastAsia="zh-CN"/>
    </w:rPr>
  </w:style>
  <w:style w:type="paragraph" w:styleId="Heading1">
    <w:name w:val="heading 1"/>
    <w:basedOn w:val="Normal"/>
    <w:next w:val="Normal"/>
    <w:link w:val="Heading1Char"/>
    <w:uiPriority w:val="9"/>
    <w:qFormat/>
    <w:rsid w:val="00B207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07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207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0752"/>
    <w:rPr>
      <w:rFonts w:asciiTheme="majorHAnsi" w:eastAsiaTheme="majorEastAsia" w:hAnsiTheme="majorHAnsi" w:cstheme="majorBidi"/>
      <w:color w:val="2F5496" w:themeColor="accent1" w:themeShade="BF"/>
      <w:sz w:val="26"/>
      <w:szCs w:val="26"/>
      <w:lang w:eastAsia="zh-CN"/>
    </w:rPr>
  </w:style>
  <w:style w:type="character" w:customStyle="1" w:styleId="Heading3Char">
    <w:name w:val="Heading 3 Char"/>
    <w:basedOn w:val="DefaultParagraphFont"/>
    <w:link w:val="Heading3"/>
    <w:uiPriority w:val="9"/>
    <w:rsid w:val="00B20752"/>
    <w:rPr>
      <w:rFonts w:asciiTheme="majorHAnsi" w:eastAsiaTheme="majorEastAsia" w:hAnsiTheme="majorHAnsi" w:cstheme="majorBidi"/>
      <w:color w:val="1F3763" w:themeColor="accent1" w:themeShade="7F"/>
      <w:sz w:val="24"/>
      <w:szCs w:val="24"/>
      <w:lang w:eastAsia="zh-CN"/>
    </w:rPr>
  </w:style>
  <w:style w:type="character" w:customStyle="1" w:styleId="Heading1Char">
    <w:name w:val="Heading 1 Char"/>
    <w:basedOn w:val="DefaultParagraphFont"/>
    <w:link w:val="Heading1"/>
    <w:uiPriority w:val="9"/>
    <w:rsid w:val="00B20752"/>
    <w:rPr>
      <w:rFonts w:asciiTheme="majorHAnsi" w:eastAsiaTheme="majorEastAsia" w:hAnsiTheme="majorHAnsi" w:cstheme="majorBidi"/>
      <w:color w:val="2F5496" w:themeColor="accent1" w:themeShade="BF"/>
      <w:sz w:val="32"/>
      <w:szCs w:val="32"/>
      <w:lang w:eastAsia="zh-CN"/>
    </w:rPr>
  </w:style>
  <w:style w:type="paragraph" w:styleId="Subtitle">
    <w:name w:val="Subtitle"/>
    <w:basedOn w:val="Normal"/>
    <w:next w:val="Normal"/>
    <w:link w:val="SubtitleChar"/>
    <w:uiPriority w:val="11"/>
    <w:qFormat/>
    <w:rsid w:val="00B20752"/>
    <w:pPr>
      <w:numPr>
        <w:ilvl w:val="1"/>
      </w:numPr>
    </w:pPr>
    <w:rPr>
      <w:color w:val="5A5A5A" w:themeColor="text1" w:themeTint="A5"/>
      <w:spacing w:val="15"/>
      <w:lang w:eastAsia="en-US"/>
    </w:rPr>
  </w:style>
  <w:style w:type="character" w:customStyle="1" w:styleId="SubtitleChar">
    <w:name w:val="Subtitle Char"/>
    <w:basedOn w:val="DefaultParagraphFont"/>
    <w:link w:val="Subtitle"/>
    <w:uiPriority w:val="11"/>
    <w:rsid w:val="00B2075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16403</Words>
  <Characters>93502</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Smith</dc:creator>
  <cp:keywords/>
  <dc:description/>
  <cp:lastModifiedBy>Neal Smith</cp:lastModifiedBy>
  <cp:revision>3</cp:revision>
  <dcterms:created xsi:type="dcterms:W3CDTF">2018-07-30T06:13:00Z</dcterms:created>
  <dcterms:modified xsi:type="dcterms:W3CDTF">2018-07-30T07:17:00Z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http://csl.mendeley.com/styles/495390601/vancouver-NS-PRSB</vt:lpwstr>
  </property>
  <property fmtid="{D5CDD505-2E9C-101B-9397-08002B2CF9AE}" pid="21" name="Mendeley Recent Style Name 9_1">
    <vt:lpwstr>Vancouver - Neal Smith</vt:lpwstr>
  </property>
  <property fmtid="{D5CDD505-2E9C-101B-9397-08002B2CF9AE}" pid="22" name="Mendeley Document_1">
    <vt:lpwstr>True</vt:lpwstr>
  </property>
  <property fmtid="{D5CDD505-2E9C-101B-9397-08002B2CF9AE}" pid="23" name="Mendeley Unique User Id_1">
    <vt:lpwstr>0b756574-276f-30ba-beb9-aba1ad9e596b</vt:lpwstr>
  </property>
  <property fmtid="{D5CDD505-2E9C-101B-9397-08002B2CF9AE}" pid="24" name="Mendeley Citation Style_1">
    <vt:lpwstr>http://www.zotero.org/styles/vancouver</vt:lpwstr>
  </property>
</Properties>
</file>