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7F75" w:rsidRPr="00912383" w:rsidRDefault="00E07F75" w:rsidP="00E07F75">
      <w:pPr>
        <w:pStyle w:val="Heading1"/>
      </w:pPr>
      <w:r>
        <w:rPr>
          <w:lang w:val="en"/>
        </w:rPr>
        <w:t xml:space="preserve">Additional Information - </w:t>
      </w:r>
      <w:r w:rsidRPr="00912383">
        <w:t>Agent-Based Models of Malaria Transmission: A Systematic Review</w:t>
      </w:r>
    </w:p>
    <w:p w:rsidR="00E07F75" w:rsidRPr="00912383" w:rsidRDefault="00E07F75" w:rsidP="00E07F75">
      <w:pPr>
        <w:pStyle w:val="Subtitle"/>
        <w:rPr>
          <w:rFonts w:eastAsia="Times New Roman"/>
        </w:rPr>
      </w:pPr>
      <w:r w:rsidRPr="00912383">
        <w:rPr>
          <w:rFonts w:eastAsia="Times New Roman"/>
        </w:rPr>
        <w:t>Smith, Neal R.</w:t>
      </w:r>
      <w:r>
        <w:rPr>
          <w:rFonts w:eastAsia="Times New Roman"/>
        </w:rPr>
        <w:t>;</w:t>
      </w:r>
      <w:r w:rsidRPr="00912383">
        <w:rPr>
          <w:rFonts w:eastAsia="Times New Roman"/>
        </w:rPr>
        <w:t xml:space="preserve"> </w:t>
      </w:r>
      <w:proofErr w:type="spellStart"/>
      <w:r w:rsidRPr="00912383">
        <w:rPr>
          <w:rFonts w:eastAsia="Times New Roman"/>
        </w:rPr>
        <w:t>Trauer</w:t>
      </w:r>
      <w:proofErr w:type="spellEnd"/>
      <w:r w:rsidRPr="00912383">
        <w:rPr>
          <w:rFonts w:eastAsia="Times New Roman"/>
        </w:rPr>
        <w:t>, James M.;</w:t>
      </w:r>
      <w:r>
        <w:rPr>
          <w:rFonts w:eastAsia="Times New Roman"/>
        </w:rPr>
        <w:t xml:space="preserve"> </w:t>
      </w:r>
      <w:r w:rsidRPr="00912383">
        <w:rPr>
          <w:rFonts w:eastAsia="Times New Roman"/>
        </w:rPr>
        <w:t xml:space="preserve">Gambhir, </w:t>
      </w:r>
      <w:proofErr w:type="spellStart"/>
      <w:r w:rsidRPr="00912383">
        <w:rPr>
          <w:rFonts w:eastAsia="Times New Roman"/>
        </w:rPr>
        <w:t>Manoj</w:t>
      </w:r>
      <w:proofErr w:type="spellEnd"/>
      <w:r w:rsidRPr="00912383">
        <w:rPr>
          <w:rFonts w:eastAsia="Times New Roman"/>
        </w:rPr>
        <w:t xml:space="preserve">; Richards, </w:t>
      </w:r>
      <w:r>
        <w:rPr>
          <w:rFonts w:eastAsia="Times New Roman"/>
        </w:rPr>
        <w:t xml:space="preserve">Jack </w:t>
      </w:r>
      <w:r w:rsidRPr="00912383">
        <w:rPr>
          <w:rFonts w:eastAsia="Times New Roman"/>
        </w:rPr>
        <w:t xml:space="preserve">S.; Maude, Richard J.; Keith, Jonathan M.; </w:t>
      </w:r>
      <w:proofErr w:type="spellStart"/>
      <w:r w:rsidRPr="00912383">
        <w:rPr>
          <w:rFonts w:eastAsia="Times New Roman"/>
        </w:rPr>
        <w:t>Flegg</w:t>
      </w:r>
      <w:proofErr w:type="spellEnd"/>
      <w:r w:rsidRPr="00912383">
        <w:rPr>
          <w:rFonts w:eastAsia="Times New Roman"/>
        </w:rPr>
        <w:t>, Jennifer A</w:t>
      </w:r>
      <w:r>
        <w:rPr>
          <w:rFonts w:eastAsia="Times New Roman"/>
        </w:rPr>
        <w:t>.</w:t>
      </w:r>
    </w:p>
    <w:p w:rsidR="00E07F75" w:rsidRDefault="00E07F75" w:rsidP="00E07F75">
      <w:pPr>
        <w:pStyle w:val="Heading2"/>
        <w:spacing w:after="240"/>
      </w:pPr>
      <w:r>
        <w:t>Additional File 5</w:t>
      </w:r>
      <w:r>
        <w:t>: Overview of ensemble and comparative models.</w:t>
      </w:r>
    </w:p>
    <w:tbl>
      <w:tblPr>
        <w:tblStyle w:val="TableGrid"/>
        <w:tblW w:w="5000" w:type="pct"/>
        <w:tblLook w:val="04A0" w:firstRow="1" w:lastRow="0" w:firstColumn="1" w:lastColumn="0" w:noHBand="0" w:noVBand="1"/>
      </w:tblPr>
      <w:tblGrid>
        <w:gridCol w:w="2326"/>
        <w:gridCol w:w="2403"/>
        <w:gridCol w:w="1944"/>
        <w:gridCol w:w="950"/>
        <w:gridCol w:w="1403"/>
      </w:tblGrid>
      <w:tr w:rsidR="00E07F75" w:rsidRPr="00804C6F" w:rsidTr="007B6068">
        <w:trPr>
          <w:trHeight w:val="300"/>
        </w:trPr>
        <w:tc>
          <w:tcPr>
            <w:tcW w:w="1288" w:type="pct"/>
            <w:tcBorders>
              <w:top w:val="nil"/>
              <w:left w:val="nil"/>
              <w:bottom w:val="single" w:sz="12" w:space="0" w:color="auto"/>
              <w:right w:val="single" w:sz="12" w:space="0" w:color="auto"/>
            </w:tcBorders>
            <w:noWrap/>
            <w:vAlign w:val="bottom"/>
          </w:tcPr>
          <w:p w:rsidR="00E07F75" w:rsidRPr="00804C6F" w:rsidRDefault="00E07F75" w:rsidP="007B6068">
            <w:pPr>
              <w:rPr>
                <w:b/>
                <w:bCs/>
              </w:rPr>
            </w:pPr>
            <w:r w:rsidRPr="00804C6F">
              <w:rPr>
                <w:b/>
                <w:bCs/>
              </w:rPr>
              <w:t>Paper</w:t>
            </w:r>
          </w:p>
        </w:tc>
        <w:tc>
          <w:tcPr>
            <w:tcW w:w="1331" w:type="pct"/>
            <w:tcBorders>
              <w:top w:val="nil"/>
              <w:left w:val="single" w:sz="12" w:space="0" w:color="auto"/>
              <w:bottom w:val="single" w:sz="12" w:space="0" w:color="auto"/>
              <w:right w:val="nil"/>
            </w:tcBorders>
            <w:noWrap/>
            <w:vAlign w:val="bottom"/>
          </w:tcPr>
          <w:p w:rsidR="00E07F75" w:rsidRPr="00187934" w:rsidRDefault="00E07F75" w:rsidP="007B6068">
            <w:pPr>
              <w:rPr>
                <w:b/>
                <w:bCs/>
              </w:rPr>
            </w:pPr>
            <w:r w:rsidRPr="00187934">
              <w:rPr>
                <w:b/>
                <w:bCs/>
              </w:rPr>
              <w:t>Investigation</w:t>
            </w:r>
          </w:p>
        </w:tc>
        <w:tc>
          <w:tcPr>
            <w:tcW w:w="1077" w:type="pct"/>
            <w:tcBorders>
              <w:top w:val="nil"/>
              <w:left w:val="nil"/>
              <w:bottom w:val="single" w:sz="12" w:space="0" w:color="auto"/>
              <w:right w:val="nil"/>
            </w:tcBorders>
            <w:noWrap/>
            <w:vAlign w:val="bottom"/>
          </w:tcPr>
          <w:p w:rsidR="00E07F75" w:rsidRPr="0068576A" w:rsidRDefault="00E07F75" w:rsidP="007B6068">
            <w:pPr>
              <w:rPr>
                <w:b/>
                <w:bCs/>
              </w:rPr>
            </w:pPr>
            <w:r w:rsidRPr="0068576A">
              <w:rPr>
                <w:b/>
                <w:bCs/>
              </w:rPr>
              <w:t>ABMs compared</w:t>
            </w:r>
          </w:p>
        </w:tc>
        <w:tc>
          <w:tcPr>
            <w:tcW w:w="526" w:type="pct"/>
            <w:tcBorders>
              <w:top w:val="nil"/>
              <w:left w:val="nil"/>
              <w:bottom w:val="single" w:sz="12" w:space="0" w:color="auto"/>
              <w:right w:val="nil"/>
            </w:tcBorders>
            <w:vAlign w:val="bottom"/>
          </w:tcPr>
          <w:p w:rsidR="00E07F75" w:rsidRPr="004B06A4" w:rsidRDefault="00E07F75" w:rsidP="007B6068">
            <w:pPr>
              <w:rPr>
                <w:b/>
                <w:bCs/>
              </w:rPr>
            </w:pPr>
            <w:r w:rsidRPr="004B06A4">
              <w:rPr>
                <w:b/>
                <w:bCs/>
              </w:rPr>
              <w:t># models</w:t>
            </w:r>
          </w:p>
        </w:tc>
        <w:tc>
          <w:tcPr>
            <w:tcW w:w="777" w:type="pct"/>
            <w:tcBorders>
              <w:top w:val="nil"/>
              <w:left w:val="nil"/>
              <w:bottom w:val="single" w:sz="12" w:space="0" w:color="auto"/>
              <w:right w:val="nil"/>
            </w:tcBorders>
            <w:vAlign w:val="bottom"/>
          </w:tcPr>
          <w:p w:rsidR="00E07F75" w:rsidRPr="00853407" w:rsidRDefault="00E07F75" w:rsidP="007B6068">
            <w:pPr>
              <w:rPr>
                <w:b/>
                <w:bCs/>
              </w:rPr>
            </w:pPr>
            <w:r w:rsidRPr="00853407">
              <w:rPr>
                <w:b/>
                <w:bCs/>
              </w:rPr>
              <w:t>Ref.</w:t>
            </w:r>
          </w:p>
        </w:tc>
      </w:tr>
      <w:tr w:rsidR="00E07F75" w:rsidRPr="00804C6F" w:rsidTr="007B6068">
        <w:trPr>
          <w:trHeight w:val="300"/>
        </w:trPr>
        <w:tc>
          <w:tcPr>
            <w:tcW w:w="1288" w:type="pct"/>
            <w:tcBorders>
              <w:top w:val="single" w:sz="12" w:space="0" w:color="auto"/>
              <w:left w:val="nil"/>
              <w:right w:val="single" w:sz="12" w:space="0" w:color="auto"/>
            </w:tcBorders>
            <w:noWrap/>
            <w:vAlign w:val="center"/>
          </w:tcPr>
          <w:p w:rsidR="00E07F75" w:rsidRPr="00804C6F" w:rsidRDefault="00E07F75" w:rsidP="007B6068">
            <w:pPr>
              <w:rPr>
                <w:b/>
                <w:bCs/>
              </w:rPr>
            </w:pPr>
            <w:proofErr w:type="spellStart"/>
            <w:r w:rsidRPr="00804C6F">
              <w:t>Briet</w:t>
            </w:r>
            <w:proofErr w:type="spellEnd"/>
            <w:r w:rsidRPr="00804C6F">
              <w:t xml:space="preserve"> (2012)</w:t>
            </w:r>
          </w:p>
        </w:tc>
        <w:tc>
          <w:tcPr>
            <w:tcW w:w="1331" w:type="pct"/>
            <w:tcBorders>
              <w:top w:val="single" w:sz="12" w:space="0" w:color="auto"/>
              <w:left w:val="single" w:sz="12" w:space="0" w:color="auto"/>
              <w:right w:val="nil"/>
            </w:tcBorders>
            <w:noWrap/>
            <w:vAlign w:val="center"/>
          </w:tcPr>
          <w:p w:rsidR="00E07F75" w:rsidRPr="00804C6F" w:rsidRDefault="00E07F75" w:rsidP="007B6068">
            <w:pPr>
              <w:rPr>
                <w:b/>
                <w:bCs/>
              </w:rPr>
            </w:pPr>
            <w:r w:rsidRPr="00804C6F">
              <w:t>Ensemble modelling</w:t>
            </w:r>
          </w:p>
        </w:tc>
        <w:tc>
          <w:tcPr>
            <w:tcW w:w="1077" w:type="pct"/>
            <w:tcBorders>
              <w:top w:val="single" w:sz="12" w:space="0" w:color="auto"/>
              <w:left w:val="nil"/>
              <w:right w:val="nil"/>
            </w:tcBorders>
            <w:noWrap/>
            <w:vAlign w:val="center"/>
          </w:tcPr>
          <w:p w:rsidR="00E07F75" w:rsidRPr="00804C6F" w:rsidRDefault="00E07F75" w:rsidP="007B6068">
            <w:pPr>
              <w:rPr>
                <w:b/>
                <w:bCs/>
              </w:rPr>
            </w:pPr>
            <w:proofErr w:type="spellStart"/>
            <w:r w:rsidRPr="00804C6F">
              <w:t>OpenMalaria</w:t>
            </w:r>
            <w:proofErr w:type="spellEnd"/>
          </w:p>
        </w:tc>
        <w:tc>
          <w:tcPr>
            <w:tcW w:w="526" w:type="pct"/>
            <w:tcBorders>
              <w:top w:val="single" w:sz="12" w:space="0" w:color="auto"/>
              <w:left w:val="nil"/>
              <w:right w:val="nil"/>
            </w:tcBorders>
            <w:vAlign w:val="center"/>
          </w:tcPr>
          <w:p w:rsidR="00E07F75" w:rsidRPr="00804C6F" w:rsidRDefault="00E07F75" w:rsidP="007B6068">
            <w:pPr>
              <w:jc w:val="center"/>
              <w:rPr>
                <w:b/>
                <w:bCs/>
              </w:rPr>
            </w:pPr>
            <w:r w:rsidRPr="00804C6F">
              <w:t>14</w:t>
            </w:r>
          </w:p>
        </w:tc>
        <w:tc>
          <w:tcPr>
            <w:tcW w:w="777" w:type="pct"/>
            <w:tcBorders>
              <w:top w:val="single" w:sz="12" w:space="0" w:color="auto"/>
              <w:left w:val="nil"/>
              <w:right w:val="nil"/>
            </w:tcBorders>
            <w:vAlign w:val="center"/>
          </w:tcPr>
          <w:p w:rsidR="00E07F75" w:rsidRPr="00804C6F" w:rsidRDefault="00E07F75" w:rsidP="007B6068">
            <w:pPr>
              <w:jc w:val="center"/>
              <w:rPr>
                <w:b/>
                <w:bCs/>
              </w:rPr>
            </w:pPr>
            <w:r w:rsidRPr="00804C6F">
              <w:fldChar w:fldCharType="begin" w:fldLock="1"/>
            </w:r>
            <w:r w:rsidR="000E2723">
              <w:instrText>ADDIN CSL_CITATION { "citationItems" : [ { "id" : "ITEM-1", "itemData" : { "DOI" : "10.1186/1475-2875-11-20", "ISBN" : "1475-2875", "abstract" : "Background: Long-lasting insecticidal nets (LLINs) reduce malaria transmission by protecting individuals from infectious bites, and by reducing mosquito survival. In recent years, millions of LLINs have been distributed across sub-Saharan Africa (SSA). Over time, LLINs decay physically and chemically and are destroyed, making repeated interventions necessary to prevent a resurgence of malaria. Because its effects on transmission are important (more so than the effects of individual protection), estimates of the lifetime of mass distribution rounds should be based on the effective length of epidemiological protection. Methods: Simulation models, parameterised using available field data, were used to analyse how the distribution\u2019s effective lifetime depends on the transmission setting and on LLIN characteristics. Factors considered were the pre- intervention transmission level, initial coverage, net attrition, and both physical and chemical decay. An ensemble of 14 stochastic individual-based model variants for malaria in humans was used, combined with a deterministic model for malaria in mosquitoes. Results: The effective lifetime was most sensitive to the pre-intervention transmission level, with a lifetime of almost 10 years at an entomological inoculation rate of two infectious bites per adult per annum (ibpapa), but of little more than 2 years at 256 ibpapa. The LLIN attrition rate and the insecticide decay rate were the next most important parameters. The lifetime was surprisingly insensitive to physical decay parameters, but this could change as physical integrity gains importance with the emergence and spread of pyrethroid resistance. Conclusions: The strong dependency of the effective lifetime on the pre-intervention transmission level indicated that the required distribution frequency may vary more with the local entomological situation than with LLIN quality or the characteristics of the distribution system. This highlights the need for malaria monitoring both before and during intervention programmes, particularly since there are likely to be strong variations between years and over short distances. The majority of SSA\u2019s population falls into exposure categories where the lifetime is relatively long, but because exposure estimates are highly uncertain, it is necessary to consider subsequent interventions before the end of the expected effective lifetime based on an imprecise transmission measure.", "author" : [ { "dropping-particle" : "", "family" : "Bri\u00ebt", "given" : "Olivier J T", "non-dropping-particle" : "", "parse-names" : false, "suffix" : "" }, { "dropping-particle" : "", "family" : "Hardy", "given" : "Diggory", "non-dropping-particle" : "", "parse-names" : false, "suffix" : "" }, { "dropping-particle" : "", "family" : "Smith", "given" : "Thomas A", "non-dropping-particle" : "", "parse-names" : false, "suffix" : "" } ], "container-title" : "Malaria Journal", "id" : "ITEM-1", "issue" : "1", "issued" : { "date-parts" : [ [ "2012" ] ] }, "page" : "20", "title" : "Importance of factors determining the effective lifetime of a mass, long-lasting, insecticidal net distribution: a sensitivity analysis", "type" : "article-journal", "volume" : "11" }, "uris" : [ "http://www.mendeley.com/documents/?uuid=5a29783a-9b55-44be-aa97-329a76b7d6c4" ] } ], "mendeley" : { "formattedCitation" : "[1]", "plainTextFormattedCitation" : "[1]", "previouslyFormattedCitation" : "[98]" }, "properties" : { "noteIndex" : 0 }, "schema" : "https://github.com/citation-style-language/schema/raw/master/csl-citation.json" }</w:instrText>
            </w:r>
            <w:r w:rsidRPr="00804C6F">
              <w:fldChar w:fldCharType="separate"/>
            </w:r>
            <w:r w:rsidR="000E2723" w:rsidRPr="000E2723">
              <w:rPr>
                <w:noProof/>
              </w:rPr>
              <w:t>[1]</w:t>
            </w:r>
            <w:r w:rsidRPr="00804C6F">
              <w:fldChar w:fldCharType="end"/>
            </w:r>
          </w:p>
        </w:tc>
      </w:tr>
      <w:tr w:rsidR="00E07F75" w:rsidRPr="00804C6F" w:rsidTr="007B6068">
        <w:trPr>
          <w:trHeight w:val="300"/>
        </w:trPr>
        <w:tc>
          <w:tcPr>
            <w:tcW w:w="1288" w:type="pct"/>
            <w:tcBorders>
              <w:left w:val="nil"/>
              <w:right w:val="single" w:sz="12" w:space="0" w:color="auto"/>
            </w:tcBorders>
            <w:noWrap/>
            <w:vAlign w:val="center"/>
          </w:tcPr>
          <w:p w:rsidR="00E07F75" w:rsidRPr="00804C6F" w:rsidRDefault="00E07F75" w:rsidP="007B6068">
            <w:r w:rsidRPr="00804C6F">
              <w:t>Smith(2012)</w:t>
            </w:r>
          </w:p>
        </w:tc>
        <w:tc>
          <w:tcPr>
            <w:tcW w:w="1331" w:type="pct"/>
            <w:tcBorders>
              <w:left w:val="single" w:sz="12" w:space="0" w:color="auto"/>
              <w:right w:val="nil"/>
            </w:tcBorders>
            <w:noWrap/>
            <w:vAlign w:val="center"/>
          </w:tcPr>
          <w:p w:rsidR="00E07F75" w:rsidRPr="00804C6F" w:rsidRDefault="00E07F75" w:rsidP="007B6068">
            <w:r w:rsidRPr="00804C6F">
              <w:t>Ensemble modelling</w:t>
            </w:r>
          </w:p>
        </w:tc>
        <w:tc>
          <w:tcPr>
            <w:tcW w:w="1077" w:type="pct"/>
            <w:tcBorders>
              <w:left w:val="nil"/>
              <w:right w:val="nil"/>
            </w:tcBorders>
            <w:noWrap/>
            <w:vAlign w:val="center"/>
          </w:tcPr>
          <w:p w:rsidR="00E07F75" w:rsidRPr="00804C6F" w:rsidRDefault="00E07F75" w:rsidP="007B6068">
            <w:proofErr w:type="spellStart"/>
            <w:r w:rsidRPr="00804C6F">
              <w:t>OpenMalaria</w:t>
            </w:r>
            <w:proofErr w:type="spellEnd"/>
          </w:p>
        </w:tc>
        <w:tc>
          <w:tcPr>
            <w:tcW w:w="526" w:type="pct"/>
            <w:tcBorders>
              <w:left w:val="nil"/>
              <w:right w:val="nil"/>
            </w:tcBorders>
            <w:vAlign w:val="center"/>
          </w:tcPr>
          <w:p w:rsidR="00E07F75" w:rsidRPr="00804C6F" w:rsidRDefault="00E07F75" w:rsidP="007B6068">
            <w:pPr>
              <w:jc w:val="center"/>
            </w:pPr>
            <w:r w:rsidRPr="00804C6F">
              <w:t>14</w:t>
            </w:r>
          </w:p>
        </w:tc>
        <w:tc>
          <w:tcPr>
            <w:tcW w:w="777" w:type="pct"/>
            <w:tcBorders>
              <w:left w:val="nil"/>
              <w:right w:val="nil"/>
            </w:tcBorders>
            <w:vAlign w:val="center"/>
          </w:tcPr>
          <w:p w:rsidR="00E07F75" w:rsidRPr="00804C6F" w:rsidRDefault="00E07F75" w:rsidP="007B6068">
            <w:pPr>
              <w:jc w:val="center"/>
            </w:pPr>
            <w:r w:rsidRPr="00804C6F">
              <w:fldChar w:fldCharType="begin" w:fldLock="1"/>
            </w:r>
            <w:r w:rsidR="000E2723">
              <w:instrText>ADDIN CSL_CITATION { "citationItems" : [ { "id" : "ITEM-1", "itemData" : { "ISBN" : "1549-1676", "abstract" : "Background: The RTS,S malaria vaccine may soon be licensed. Models of impact of such vaccines have mainly considered deployment via the World Health Organization\u2019s Expanded Programme on Immunization (EPI) in areas of stable endemic transmission of Plasmodium falciparum, and have been calibrated for such settings. Their applicability to low transmission settings is unclear. Evaluations of the efficiency of different deployment strategies in diverse settings should consider uncertainties in model structure. Methods and Findings: An ensemble of 14 individual-based stochastic simulation models of P. falciparum dynamics, with differing assumptions about immune decay, transmission heterogeneity, and treatment access, was constructed. After fitting to an extensive library of field data, each model was used to predict the likely health benefits of RTS,S deployment, via EPI (with or without catch-up vaccinations), supplementary vaccination of school-age children, or mass vaccination every 5 y. Settings with seasonally varying transmission, with overall pre-intervention entomological inoculation rates (EIRs) of two, 11, and 20 infectious bites per person per annum, were considered. Predicted benefits of EPI vaccination programs over the simulated 14-y time horizon were dependent on duration of protection. Nevertheless, EPI strategies (with an initial catch-up phase) averted the most deaths per dose at the higher EIRs, although model uncertainty increased with EIR. At two infectious bites per person per annum, mass vaccination strategies substantially reduced transmission, leading to much greater health effects per dose, even at modest coverage. Conclusions: In higher transmission settings, EPI strategies will be most efficient, but vaccination additional to the EPI in targeted lowtransmission settings, even atmodest coverage,might bemore efficient than national-level vaccination of infants. The feasibility and economics of mass vaccination, and the circumstances under which vaccination will avert epidemics, remain unclear. The approach of using an ensemble of models provides more secure conclusions than a single-model approach, and suggests greater confidence in predictions of health effects for lower transmission settings than for higher ones.", "author" : [ { "dropping-particle" : "", "family" : "Smith", "given" : "Thomas", "non-dropping-particle" : "", "parse-names" : false, "suffix" : "" }, { "dropping-particle" : "", "family" : "Ross", "given" : "Amanda", "non-dropping-particle" : "", "parse-names" : false, "suffix" : "" }, { "dropping-particle" : "", "family" : "Maire", "given" : "Nicolas", "non-dropping-particle" : "", "parse-names" : false, "suffix" : "" }, { "dropping-particle" : "", "family" : "Chitnis", "given" : "Nakul", "non-dropping-particle" : "", "parse-names" : false, "suffix" : "" }, { "dropping-particle" : "", "family" : "Studer", "given" : "Alain", "non-dropping-particle" : "", "parse-names" : false, "suffix" : "" }, { "dropping-particle" : "", "family" : "Hardy", "given" : "Diggory", "non-dropping-particle" : "", "parse-names" : false, "suffix" : "" }, { "dropping-particle" : "", "family" : "Brooks", "given" : "Alan", "non-dropping-particle" : "", "parse-names" : false, "suffix" : "" }, { "dropping-particle" : "", "family" : "Penny", "given" : "Melissa", "non-dropping-particle" : "", "parse-names" : false, "suffix" : "" }, { "dropping-particle" : "", "family" : "Tanner", "given" : "Marcel", "non-dropping-particle" : "", "parse-names" : false, "suffix" : "" } ], "container-title" : "PLoS Medicine", "id" : "ITEM-1", "issue" : "1", "issued" : { "date-parts" : [ [ "2012" ] ] }, "page" : "e1001157", "title" : "Ensemble modeling of the likely public health impact of a pre-erythrocytic malaria vaccine", "type" : "article-journal", "volume" : "9" }, "uris" : [ "http://www.mendeley.com/documents/?uuid=5db8b1ad-b5fd-48d4-a75f-6ee750fdc74d" ] } ], "mendeley" : { "formattedCitation" : "[2]", "plainTextFormattedCitation" : "[2]", "previouslyFormattedCitation" : "[99]" }, "properties" : { "noteIndex" : 0 }, "schema" : "https://github.com/citation-style-language/schema/raw/master/csl-citation.json" }</w:instrText>
            </w:r>
            <w:r w:rsidRPr="00804C6F">
              <w:fldChar w:fldCharType="separate"/>
            </w:r>
            <w:r w:rsidR="000E2723" w:rsidRPr="000E2723">
              <w:rPr>
                <w:noProof/>
              </w:rPr>
              <w:t>[2]</w:t>
            </w:r>
            <w:r w:rsidRPr="00804C6F">
              <w:fldChar w:fldCharType="end"/>
            </w:r>
          </w:p>
        </w:tc>
      </w:tr>
      <w:tr w:rsidR="00E07F75" w:rsidRPr="00804C6F" w:rsidTr="007B6068">
        <w:trPr>
          <w:trHeight w:val="300"/>
        </w:trPr>
        <w:tc>
          <w:tcPr>
            <w:tcW w:w="1288" w:type="pct"/>
            <w:tcBorders>
              <w:left w:val="nil"/>
              <w:right w:val="single" w:sz="12" w:space="0" w:color="auto"/>
            </w:tcBorders>
            <w:noWrap/>
            <w:vAlign w:val="center"/>
          </w:tcPr>
          <w:p w:rsidR="00E07F75" w:rsidRPr="00804C6F" w:rsidRDefault="00E07F75" w:rsidP="007B6068">
            <w:r w:rsidRPr="00804C6F">
              <w:t>Stuckey (2012)</w:t>
            </w:r>
          </w:p>
        </w:tc>
        <w:tc>
          <w:tcPr>
            <w:tcW w:w="1331" w:type="pct"/>
            <w:tcBorders>
              <w:left w:val="single" w:sz="12" w:space="0" w:color="auto"/>
              <w:right w:val="nil"/>
            </w:tcBorders>
            <w:noWrap/>
            <w:vAlign w:val="center"/>
          </w:tcPr>
          <w:p w:rsidR="00E07F75" w:rsidRPr="00804C6F" w:rsidRDefault="00E07F75" w:rsidP="007B6068">
            <w:r w:rsidRPr="00804C6F">
              <w:t>Ensemble modelling</w:t>
            </w:r>
          </w:p>
        </w:tc>
        <w:tc>
          <w:tcPr>
            <w:tcW w:w="1077" w:type="pct"/>
            <w:tcBorders>
              <w:left w:val="nil"/>
              <w:right w:val="nil"/>
            </w:tcBorders>
            <w:noWrap/>
            <w:vAlign w:val="center"/>
          </w:tcPr>
          <w:p w:rsidR="00E07F75" w:rsidRPr="00804C6F" w:rsidRDefault="00E07F75" w:rsidP="007B6068">
            <w:proofErr w:type="spellStart"/>
            <w:r w:rsidRPr="00804C6F">
              <w:t>OpenMalaria</w:t>
            </w:r>
            <w:proofErr w:type="spellEnd"/>
          </w:p>
        </w:tc>
        <w:tc>
          <w:tcPr>
            <w:tcW w:w="526" w:type="pct"/>
            <w:tcBorders>
              <w:left w:val="nil"/>
              <w:right w:val="nil"/>
            </w:tcBorders>
            <w:vAlign w:val="center"/>
          </w:tcPr>
          <w:p w:rsidR="00E07F75" w:rsidRPr="00804C6F" w:rsidRDefault="00E07F75" w:rsidP="007B6068">
            <w:pPr>
              <w:jc w:val="center"/>
            </w:pPr>
            <w:r w:rsidRPr="00804C6F">
              <w:t>14</w:t>
            </w:r>
          </w:p>
        </w:tc>
        <w:tc>
          <w:tcPr>
            <w:tcW w:w="777" w:type="pct"/>
            <w:tcBorders>
              <w:left w:val="nil"/>
              <w:right w:val="nil"/>
            </w:tcBorders>
            <w:vAlign w:val="center"/>
          </w:tcPr>
          <w:p w:rsidR="00E07F75" w:rsidRPr="00804C6F" w:rsidRDefault="00E07F75" w:rsidP="007B6068">
            <w:pPr>
              <w:jc w:val="center"/>
            </w:pPr>
            <w:r w:rsidRPr="00804C6F">
              <w:fldChar w:fldCharType="begin" w:fldLock="1"/>
            </w:r>
            <w:r w:rsidR="000E2723">
              <w:instrText>ADDIN CSL_CITATION { "citationItems" : [ { "id" : "ITEM-1", "itemData" : { "DOI" : "10.1186/1475-2875-11-357", "ISBN" : "1475-2875", "abstract" : "Background: Models of Plasmodium falciparum malaria epidemiology that provide realistic quantitative predictions of likely epidemiological outcomes of existing vector control strategies have the potential to assist in planning for the control and elimination of malaria. This work investigates the applicability of mathematical modelling of malaria transmission dynamics in Rachuonyo South, a district with low, unstable transmission in the highlands of western Kenya. Methods: Individual-based stochastic simulation models of malaria in humans and a deterministic model of malaria in mosquitoes as part of the OpenMalaria platform were parameterized to create a scenario for the study area based on data from ongoing field studies and available literature. The scenario was simulated for a period of two years with a population of 10,000 individuals and validated against malaria survey data from Rachuonyo South. Simulations were repeated with multiple random seeds and an ensemble of 14 model variants to address stochasticity and model uncertainty. A one-dimensional sensitivity analysis was conducted to address parameter uncertainty. Results: The scenario was able to reproduce the seasonal pattern of the entomological inoculation rate (EIR) and patent infections observed in an all-age cohort of individuals sampled monthly for one year. Using an EIR estimated from serology to parameterize the scenario resulted in a closer fit to parasite prevalence than an EIR estimated using entomological methods. The scenario parameterization was most sensitive to changes in the timing and effectiveness of indoor residual spraying (IRS) and the method used to detect P. falciparum in humans. It was less sensitive than expected to changes in vector biting behaviour and climatic patterns. Conclusions: The OpenMalaria model of P. falciparum transmission can be used to simulate the impact of different combinations of current and potential control interventions to help plan malaria control in this low transmission setting. In this setting and for these scenarios, results were highly sensitive to transmission, vector exophagy, exophily and susceptibility to IRS, and the detection method used for surveillance. The level of accuracy of the results will thus depend upon the precision of estimates for each. New methods for analysing and evaluating uncertainty in simulation results will enhance the usefulness of simulations for malaria control decision-making. Improved measurement tools and i\u2026", "author" : [ { "dropping-particle" : "", "family" : "Stuckey", "given" : "Erin M", "non-dropping-particle" : "", "parse-names" : false, "suffix" : "" }, { "dropping-particle" : "", "family" : "Stevenson", "given" : "Jennifer C", "non-dropping-particle" : "", "parse-names" : false, "suffix" : "" }, { "dropping-particle" : "", "family" : "Cooke", "given" : "Mary K", "non-dropping-particle" : "", "parse-names" : false, "suffix" : "" }, { "dropping-particle" : "", "family" : "Owaga", "given" : "Chrispin", "non-dropping-particle" : "", "parse-names" : false, "suffix" : "" }, { "dropping-particle" : "", "family" : "Marube", "given" : "Elizabeth", "non-dropping-particle" : "", "parse-names" : false, "suffix" : "" }, { "dropping-particle" : "", "family" : "Oando", "given" : "George", "non-dropping-particle" : "", "parse-names" : false, "suffix" : "" }, { "dropping-particle" : "", "family" : "Hardy", "given" : "Diggory", "non-dropping-particle" : "", "parse-names" : false, "suffix" : "" }, { "dropping-particle" : "", "family" : "Drakeley", "given" : "Chris", "non-dropping-particle" : "", "parse-names" : false, "suffix" : "" }, { "dropping-particle" : "", "family" : "Smith", "given" : "Thomas A", "non-dropping-particle" : "", "parse-names" : false, "suffix" : "" }, { "dropping-particle" : "", "family" : "Cox", "given" : "Jonathan", "non-dropping-particle" : "", "parse-names" : false, "suffix" : "" }, { "dropping-particle" : "", "family" : "Chitnis", "given" : "Nakul", "non-dropping-particle" : "", "parse-names" : false, "suffix" : "" } ], "container-title" : "Malaria Journal", "id" : "ITEM-1", "issue" : "1", "issued" : { "date-parts" : [ [ "2012" ] ] }, "page" : "357-370", "title" : "Simulation of malaria epidemiology and control in the highlands of western Kenya", "type" : "article-journal", "volume" : "11" }, "uris" : [ "http://www.mendeley.com/documents/?uuid=90127113-7afb-4329-8821-7c42061338b2" ] } ], "mendeley" : { "formattedCitation" : "[3]", "plainTextFormattedCitation" : "[3]", "previouslyFormattedCitation" : "[100]" }, "properties" : { "noteIndex" : 0 }, "schema" : "https://github.com/citation-style-language/schema/raw/master/csl-citation.json" }</w:instrText>
            </w:r>
            <w:r w:rsidRPr="00804C6F">
              <w:fldChar w:fldCharType="separate"/>
            </w:r>
            <w:r w:rsidR="000E2723" w:rsidRPr="000E2723">
              <w:rPr>
                <w:noProof/>
              </w:rPr>
              <w:t>[3]</w:t>
            </w:r>
            <w:r w:rsidRPr="00804C6F">
              <w:fldChar w:fldCharType="end"/>
            </w:r>
          </w:p>
        </w:tc>
      </w:tr>
      <w:tr w:rsidR="00E07F75" w:rsidRPr="00804C6F" w:rsidTr="007B6068">
        <w:trPr>
          <w:trHeight w:val="300"/>
        </w:trPr>
        <w:tc>
          <w:tcPr>
            <w:tcW w:w="1288" w:type="pct"/>
            <w:tcBorders>
              <w:left w:val="nil"/>
              <w:right w:val="single" w:sz="12" w:space="0" w:color="auto"/>
            </w:tcBorders>
            <w:noWrap/>
            <w:vAlign w:val="center"/>
          </w:tcPr>
          <w:p w:rsidR="00E07F75" w:rsidRPr="00C45088" w:rsidRDefault="00E07F75" w:rsidP="007B6068">
            <w:proofErr w:type="spellStart"/>
            <w:r w:rsidRPr="00C45088">
              <w:t>Briet</w:t>
            </w:r>
            <w:proofErr w:type="spellEnd"/>
            <w:r w:rsidRPr="00C45088">
              <w:t xml:space="preserve"> (2013A)</w:t>
            </w:r>
          </w:p>
        </w:tc>
        <w:tc>
          <w:tcPr>
            <w:tcW w:w="1331" w:type="pct"/>
            <w:tcBorders>
              <w:left w:val="single" w:sz="12" w:space="0" w:color="auto"/>
              <w:right w:val="nil"/>
            </w:tcBorders>
            <w:noWrap/>
            <w:vAlign w:val="center"/>
          </w:tcPr>
          <w:p w:rsidR="00E07F75" w:rsidRPr="00804C6F" w:rsidRDefault="00E07F75" w:rsidP="007B6068">
            <w:r w:rsidRPr="00804C6F">
              <w:t>Ensemble modelling</w:t>
            </w:r>
          </w:p>
        </w:tc>
        <w:tc>
          <w:tcPr>
            <w:tcW w:w="1077" w:type="pct"/>
            <w:tcBorders>
              <w:left w:val="nil"/>
              <w:right w:val="nil"/>
            </w:tcBorders>
            <w:noWrap/>
            <w:vAlign w:val="center"/>
          </w:tcPr>
          <w:p w:rsidR="00E07F75" w:rsidRPr="00187934" w:rsidRDefault="00E07F75" w:rsidP="007B6068">
            <w:proofErr w:type="spellStart"/>
            <w:r w:rsidRPr="00187934">
              <w:t>OpenMalaria</w:t>
            </w:r>
            <w:proofErr w:type="spellEnd"/>
          </w:p>
        </w:tc>
        <w:tc>
          <w:tcPr>
            <w:tcW w:w="526" w:type="pct"/>
            <w:tcBorders>
              <w:left w:val="nil"/>
              <w:right w:val="nil"/>
            </w:tcBorders>
            <w:vAlign w:val="center"/>
          </w:tcPr>
          <w:p w:rsidR="00E07F75" w:rsidRPr="0068576A" w:rsidRDefault="00E07F75" w:rsidP="007B6068">
            <w:pPr>
              <w:jc w:val="center"/>
            </w:pPr>
            <w:r w:rsidRPr="0068576A">
              <w:t>14</w:t>
            </w:r>
          </w:p>
        </w:tc>
        <w:tc>
          <w:tcPr>
            <w:tcW w:w="777" w:type="pct"/>
            <w:tcBorders>
              <w:left w:val="nil"/>
              <w:right w:val="nil"/>
            </w:tcBorders>
            <w:vAlign w:val="center"/>
          </w:tcPr>
          <w:p w:rsidR="00E07F75" w:rsidRPr="00804C6F" w:rsidRDefault="00E07F75" w:rsidP="007B6068">
            <w:pPr>
              <w:jc w:val="center"/>
            </w:pPr>
            <w:r w:rsidRPr="00804C6F">
              <w:fldChar w:fldCharType="begin" w:fldLock="1"/>
            </w:r>
            <w:r w:rsidR="000E2723">
              <w:instrText>ADDIN CSL_CITATION { "citationItems" : [ { "id" : "ITEM-1", "itemData" : { "author" : [ { "dropping-particle" : "", "family" : "Bri\u00ebt", "given" : "Olivier J T", "non-dropping-particle" : "", "parse-names" : false, "suffix" : "" }, { "dropping-particle" : "", "family" : "Penny", "given" : "Melissa A", "non-dropping-particle" : "", "parse-names" : false, "suffix" : "" }, { "dropping-particle" : "", "family" : "Hardy", "given" : "Diggory", "non-dropping-particle" : "", "parse-names" : false, "suffix" : "" }, { "dropping-particle" : "", "family" : "Awolola", "given" : "Taiwo S", "non-dropping-particle" : "", "parse-names" : false, "suffix" : "" }, { "dropping-particle" : "Van", "family" : "Bortel", "given" : "Wim", "non-dropping-particle" : "", "parse-names" : false, "suffix" : "" }, { "dropping-particle" : "", "family" : "Corbel", "given" : "Vincent", "non-dropping-particle" : "", "parse-names" : false, "suffix" : "" }, { "dropping-particle" : "", "family" : "Dabir\u00e9", "given" : "Roch K", "non-dropping-particle" : "", "parse-names" : false, "suffix" : "" }, { "dropping-particle" : "", "family" : "Etang", "given" : "Josiane", "non-dropping-particle" : "", "parse-names" : false, "suffix" : "" }, { "dropping-particle" : "", "family" : "Koudou", "given" : "Benjamin G", "non-dropping-particle" : "", "parse-names" : false, "suffix" : "" }, { "dropping-particle" : "", "family" : "Tungu", "given" : "Patrick K", "non-dropping-particle" : "", "parse-names" : false, "suffix" : "" }, { "dropping-particle" : "", "family" : "Chitnis", "given" : "Nakul", "non-dropping-particle" : "", "parse-names" : false, "suffix" : "" } ], "id" : "ITEM-1", "issued" : { "date-parts" : [ [ "2013" ] ] }, "page" : "1-12", "title" : "Effects of pyrethroid resistance on the cost effectiveness of a mass distribution of long- lasting insecticidal nets : a modelling study", "type" : "article-journal" }, "uris" : [ "http://www.mendeley.com/documents/?uuid=a8fc3282-ab12-44ee-acfb-fb1ba5893045" ] } ], "mendeley" : { "formattedCitation" : "[4]", "plainTextFormattedCitation" : "[4]", "previouslyFormattedCitation" : "[101]" }, "properties" : { "noteIndex" : 0 }, "schema" : "https://github.com/citation-style-language/schema/raw/master/csl-citation.json" }</w:instrText>
            </w:r>
            <w:r w:rsidRPr="00804C6F">
              <w:fldChar w:fldCharType="separate"/>
            </w:r>
            <w:r w:rsidR="000E2723" w:rsidRPr="000E2723">
              <w:rPr>
                <w:noProof/>
              </w:rPr>
              <w:t>[4]</w:t>
            </w:r>
            <w:r w:rsidRPr="00804C6F">
              <w:fldChar w:fldCharType="end"/>
            </w:r>
          </w:p>
        </w:tc>
      </w:tr>
      <w:tr w:rsidR="00E07F75" w:rsidRPr="00804C6F" w:rsidTr="007B6068">
        <w:trPr>
          <w:trHeight w:val="300"/>
        </w:trPr>
        <w:tc>
          <w:tcPr>
            <w:tcW w:w="1288" w:type="pct"/>
            <w:tcBorders>
              <w:left w:val="nil"/>
              <w:right w:val="single" w:sz="12" w:space="0" w:color="auto"/>
            </w:tcBorders>
            <w:noWrap/>
            <w:vAlign w:val="center"/>
          </w:tcPr>
          <w:p w:rsidR="00E07F75" w:rsidRPr="00C45088" w:rsidRDefault="00E07F75" w:rsidP="007B6068">
            <w:proofErr w:type="spellStart"/>
            <w:r w:rsidRPr="00C45088">
              <w:t>Briet</w:t>
            </w:r>
            <w:proofErr w:type="spellEnd"/>
            <w:r w:rsidRPr="00C45088">
              <w:t xml:space="preserve"> (2013B)</w:t>
            </w:r>
          </w:p>
        </w:tc>
        <w:tc>
          <w:tcPr>
            <w:tcW w:w="1331" w:type="pct"/>
            <w:tcBorders>
              <w:left w:val="single" w:sz="12" w:space="0" w:color="auto"/>
              <w:right w:val="nil"/>
            </w:tcBorders>
            <w:noWrap/>
            <w:vAlign w:val="center"/>
          </w:tcPr>
          <w:p w:rsidR="00E07F75" w:rsidRPr="00804C6F" w:rsidRDefault="00E07F75" w:rsidP="007B6068">
            <w:r w:rsidRPr="00804C6F">
              <w:t>Ensemble modelling</w:t>
            </w:r>
          </w:p>
        </w:tc>
        <w:tc>
          <w:tcPr>
            <w:tcW w:w="1077" w:type="pct"/>
            <w:tcBorders>
              <w:left w:val="nil"/>
              <w:right w:val="nil"/>
            </w:tcBorders>
            <w:noWrap/>
            <w:vAlign w:val="center"/>
          </w:tcPr>
          <w:p w:rsidR="00E07F75" w:rsidRPr="00187934" w:rsidRDefault="00E07F75" w:rsidP="007B6068">
            <w:proofErr w:type="spellStart"/>
            <w:r w:rsidRPr="00187934">
              <w:t>OpenMalaria</w:t>
            </w:r>
            <w:proofErr w:type="spellEnd"/>
          </w:p>
        </w:tc>
        <w:tc>
          <w:tcPr>
            <w:tcW w:w="526" w:type="pct"/>
            <w:tcBorders>
              <w:left w:val="nil"/>
              <w:right w:val="nil"/>
            </w:tcBorders>
            <w:vAlign w:val="center"/>
          </w:tcPr>
          <w:p w:rsidR="00E07F75" w:rsidRPr="0068576A" w:rsidRDefault="00E07F75" w:rsidP="007B6068">
            <w:pPr>
              <w:jc w:val="center"/>
            </w:pPr>
            <w:r w:rsidRPr="0068576A">
              <w:t>14</w:t>
            </w:r>
          </w:p>
        </w:tc>
        <w:tc>
          <w:tcPr>
            <w:tcW w:w="777" w:type="pct"/>
            <w:tcBorders>
              <w:left w:val="nil"/>
              <w:right w:val="nil"/>
            </w:tcBorders>
            <w:vAlign w:val="center"/>
          </w:tcPr>
          <w:p w:rsidR="00E07F75" w:rsidRPr="00804C6F" w:rsidRDefault="00E07F75" w:rsidP="007B6068">
            <w:pPr>
              <w:jc w:val="center"/>
            </w:pPr>
            <w:r w:rsidRPr="00804C6F">
              <w:fldChar w:fldCharType="begin" w:fldLock="1"/>
            </w:r>
            <w:r w:rsidR="000E2723">
              <w:instrText>ADDIN CSL_CITATION { "citationItems" : [ { "id" : "ITEM-1", "itemData" : { "author" : [ { "dropping-particle" : "", "family" : "Bri\u00ebt", "given" : "Olivier J T", "non-dropping-particle" : "", "parse-names" : false, "suffix" : "" }, { "dropping-particle" : "", "family" : "Chitnis", "given" : "Nakul", "non-dropping-particle" : "", "parse-names" : false, "suffix" : "" } ], "id" : "ITEM-1", "issued" : { "date-parts" : [ [ "2013" ] ] }, "page" : "1-11", "title" : "Effects of changing mosquito host searching behaviour on the cost effectiveness of a mass distribution of long-lasting , insecticidal nets : a modelling study", "type" : "article-journal" }, "uris" : [ "http://www.mendeley.com/documents/?uuid=8d672925-e568-4f35-937f-bae481346406" ] } ], "mendeley" : { "formattedCitation" : "[5]", "plainTextFormattedCitation" : "[5]", "previouslyFormattedCitation" : "[102]" }, "properties" : { "noteIndex" : 0 }, "schema" : "https://github.com/citation-style-language/schema/raw/master/csl-citation.json" }</w:instrText>
            </w:r>
            <w:r w:rsidRPr="00804C6F">
              <w:fldChar w:fldCharType="separate"/>
            </w:r>
            <w:r w:rsidR="000E2723" w:rsidRPr="000E2723">
              <w:rPr>
                <w:noProof/>
              </w:rPr>
              <w:t>[5]</w:t>
            </w:r>
            <w:r w:rsidRPr="00804C6F">
              <w:fldChar w:fldCharType="end"/>
            </w:r>
          </w:p>
        </w:tc>
      </w:tr>
      <w:tr w:rsidR="00E07F75" w:rsidRPr="00804C6F" w:rsidTr="007B6068">
        <w:trPr>
          <w:trHeight w:val="300"/>
        </w:trPr>
        <w:tc>
          <w:tcPr>
            <w:tcW w:w="1288" w:type="pct"/>
            <w:tcBorders>
              <w:left w:val="nil"/>
              <w:right w:val="single" w:sz="12" w:space="0" w:color="auto"/>
            </w:tcBorders>
            <w:noWrap/>
            <w:vAlign w:val="center"/>
          </w:tcPr>
          <w:p w:rsidR="00E07F75" w:rsidRPr="00804C6F" w:rsidRDefault="00E07F75" w:rsidP="007B6068">
            <w:proofErr w:type="spellStart"/>
            <w:r w:rsidRPr="00804C6F">
              <w:t>Briet</w:t>
            </w:r>
            <w:proofErr w:type="spellEnd"/>
            <w:r w:rsidRPr="00804C6F">
              <w:t xml:space="preserve"> (2013</w:t>
            </w:r>
            <w:r w:rsidRPr="00C45088">
              <w:t>C</w:t>
            </w:r>
            <w:r w:rsidRPr="00804C6F">
              <w:t>)</w:t>
            </w:r>
          </w:p>
        </w:tc>
        <w:tc>
          <w:tcPr>
            <w:tcW w:w="1331" w:type="pct"/>
            <w:tcBorders>
              <w:left w:val="single" w:sz="12" w:space="0" w:color="auto"/>
              <w:right w:val="nil"/>
            </w:tcBorders>
            <w:noWrap/>
            <w:vAlign w:val="center"/>
          </w:tcPr>
          <w:p w:rsidR="00E07F75" w:rsidRPr="00187934" w:rsidRDefault="00E07F75" w:rsidP="007B6068">
            <w:r w:rsidRPr="00187934">
              <w:t>Ensemble modelling</w:t>
            </w:r>
          </w:p>
        </w:tc>
        <w:tc>
          <w:tcPr>
            <w:tcW w:w="1077" w:type="pct"/>
            <w:tcBorders>
              <w:left w:val="nil"/>
              <w:right w:val="nil"/>
            </w:tcBorders>
            <w:noWrap/>
            <w:vAlign w:val="center"/>
          </w:tcPr>
          <w:p w:rsidR="00E07F75" w:rsidRPr="0068576A" w:rsidRDefault="00E07F75" w:rsidP="007B6068">
            <w:proofErr w:type="spellStart"/>
            <w:r w:rsidRPr="0068576A">
              <w:t>OpenMalaria</w:t>
            </w:r>
            <w:proofErr w:type="spellEnd"/>
          </w:p>
        </w:tc>
        <w:tc>
          <w:tcPr>
            <w:tcW w:w="526" w:type="pct"/>
            <w:tcBorders>
              <w:left w:val="nil"/>
              <w:right w:val="nil"/>
            </w:tcBorders>
            <w:vAlign w:val="center"/>
          </w:tcPr>
          <w:p w:rsidR="00E07F75" w:rsidRPr="004B06A4" w:rsidRDefault="00E07F75" w:rsidP="007B6068">
            <w:pPr>
              <w:jc w:val="center"/>
            </w:pPr>
            <w:r w:rsidRPr="004B06A4">
              <w:t>14</w:t>
            </w:r>
          </w:p>
        </w:tc>
        <w:tc>
          <w:tcPr>
            <w:tcW w:w="777" w:type="pct"/>
            <w:tcBorders>
              <w:left w:val="nil"/>
              <w:right w:val="nil"/>
            </w:tcBorders>
            <w:vAlign w:val="center"/>
          </w:tcPr>
          <w:p w:rsidR="00E07F75" w:rsidRPr="00804C6F" w:rsidRDefault="00E07F75" w:rsidP="007B6068">
            <w:pPr>
              <w:jc w:val="center"/>
            </w:pPr>
            <w:r w:rsidRPr="00804C6F">
              <w:fldChar w:fldCharType="begin" w:fldLock="1"/>
            </w:r>
            <w:r w:rsidR="000E2723">
              <w:instrText>ADDIN CSL_CITATION { "citationItems" : [ { "id" : "ITEM-1", "itemData" : { "DOI" : "10.1186/1475-2875-12-401", "ISBN" : "1475-2875", "abstract" : "Background: Stagnating funds for malaria control have spurred interest in the question of how to sustain the gains of recent successes with long-lasting insecticidal nets (LLINs) and improved case management (CM). This simulation study examined the malaria transmission and disease dynamics in scenarios with sustained LLINs and CM interventions and tried to determine optimal LLIN distribution rates. The effects of abruptly halting LLIN distribution were also examined. Methods: Dynamic simulations of malaria in humans and mosquitoes were run on the OpenMalaria platform, using stochastic individual-based simulation models. LLINs were distributed in a range of transmission settings, with varying CM coverage levels. Results: In the short-term, LLINs were beneficial over the entire transmission spectrum, reducing both transmission and disease burden. In the long-term, repeated distributions sustainably reduced transmission in all settings. However, because of the resulting reduction in acquired immunity in the population, the malaria disease burden, after initially being reduced, gradually increased and eventually stabilized at a new level. This new level was higher than the pre-intervention level in previously high transmission settings, if there is a maximum disease burden in the relationship between transmission and disease burden at intermediate transmission levels. This result could lead one to conclude that sustained LLIN distribution might not be cost-effective in high transmission settings in the long term. However, improved CM rendered LLINs more cost-effective in higher transmission settings than in those without improved CM and the majority of the African population lives in areas where CM and LLINs are sustainably combined. The effects of changes in LLIN distribution rate on cost-effectiveness were relatively small compared to the effects of changes in transmission setting and CM. Abruptly halting LLIN distribution led to temporary morbidity peaks, which were particularly large in low to intermediate transmission settings. Conclusions: This study reaffirms the importance of context specific intervention planning. Intervention planning must include combinations of malaria vector control and CM, and must consider both the pre-intervention transmission level and the intervention history to account for the loss of immunity and the potential for rebounds in disease burden.", "author" : [ { "dropping-particle" : "", "family" : "Bri\u00ebt", "given" : "Olivier J T", "non-dropping-particle" : "", "parse-names" : false, "suffix" : "" }, { "dropping-particle" : "", "family" : "Penny", "given" : "Melissa A", "non-dropping-particle" : "", "parse-names" : false, "suffix" : "" } ], "container-title" : "Malaria Journal", "id" : "ITEM-1", "issue" : "1", "issued" : { "date-parts" : [ [ "2013" ] ] }, "page" : "401-419", "title" : "Repeated mass distributions and continuous distribution of long-lasting insecticidal nets: modelling sustainability of health benefits from mosquito nets, depending on case management", "type" : "article-journal", "volume" : "12" }, "uris" : [ "http://www.mendeley.com/documents/?uuid=fc45e608-4f9e-4066-91fb-7c04abd276df" ] } ], "mendeley" : { "formattedCitation" : "[6]", "plainTextFormattedCitation" : "[6]", "previouslyFormattedCitation" : "[103]" }, "properties" : { "noteIndex" : 0 }, "schema" : "https://github.com/citation-style-language/schema/raw/master/csl-citation.json" }</w:instrText>
            </w:r>
            <w:r w:rsidRPr="00804C6F">
              <w:fldChar w:fldCharType="separate"/>
            </w:r>
            <w:r w:rsidR="000E2723" w:rsidRPr="000E2723">
              <w:rPr>
                <w:noProof/>
              </w:rPr>
              <w:t>[6]</w:t>
            </w:r>
            <w:r w:rsidRPr="00804C6F">
              <w:fldChar w:fldCharType="end"/>
            </w:r>
          </w:p>
        </w:tc>
      </w:tr>
      <w:tr w:rsidR="00E07F75" w:rsidRPr="00804C6F" w:rsidTr="007B6068">
        <w:trPr>
          <w:trHeight w:val="300"/>
        </w:trPr>
        <w:tc>
          <w:tcPr>
            <w:tcW w:w="1288" w:type="pct"/>
            <w:tcBorders>
              <w:left w:val="nil"/>
              <w:right w:val="single" w:sz="12" w:space="0" w:color="auto"/>
            </w:tcBorders>
            <w:noWrap/>
            <w:vAlign w:val="center"/>
          </w:tcPr>
          <w:p w:rsidR="00E07F75" w:rsidRPr="00804C6F" w:rsidRDefault="00E07F75" w:rsidP="007B6068">
            <w:r w:rsidRPr="00804C6F">
              <w:rPr>
                <w:rFonts w:ascii="Calibri" w:hAnsi="Calibri"/>
                <w:color w:val="000000"/>
              </w:rPr>
              <w:t>Stuckey (2014)</w:t>
            </w:r>
          </w:p>
        </w:tc>
        <w:tc>
          <w:tcPr>
            <w:tcW w:w="1331" w:type="pct"/>
            <w:tcBorders>
              <w:left w:val="single" w:sz="12" w:space="0" w:color="auto"/>
              <w:right w:val="nil"/>
            </w:tcBorders>
            <w:noWrap/>
            <w:vAlign w:val="center"/>
          </w:tcPr>
          <w:p w:rsidR="00E07F75" w:rsidRPr="00804C6F" w:rsidRDefault="00E07F75" w:rsidP="007B6068">
            <w:r w:rsidRPr="00804C6F">
              <w:t>Ensemble modelling</w:t>
            </w:r>
          </w:p>
        </w:tc>
        <w:tc>
          <w:tcPr>
            <w:tcW w:w="1077" w:type="pct"/>
            <w:tcBorders>
              <w:left w:val="nil"/>
              <w:right w:val="nil"/>
            </w:tcBorders>
            <w:noWrap/>
            <w:vAlign w:val="center"/>
          </w:tcPr>
          <w:p w:rsidR="00E07F75" w:rsidRPr="00804C6F" w:rsidRDefault="00E07F75" w:rsidP="007B6068">
            <w:proofErr w:type="spellStart"/>
            <w:r w:rsidRPr="00804C6F">
              <w:t>OpenMalaria</w:t>
            </w:r>
            <w:proofErr w:type="spellEnd"/>
          </w:p>
        </w:tc>
        <w:tc>
          <w:tcPr>
            <w:tcW w:w="526" w:type="pct"/>
            <w:tcBorders>
              <w:left w:val="nil"/>
              <w:right w:val="nil"/>
            </w:tcBorders>
            <w:vAlign w:val="center"/>
          </w:tcPr>
          <w:p w:rsidR="00E07F75" w:rsidRPr="00804C6F" w:rsidRDefault="00E07F75" w:rsidP="007B6068">
            <w:pPr>
              <w:jc w:val="center"/>
            </w:pPr>
            <w:r w:rsidRPr="00804C6F">
              <w:t>14</w:t>
            </w:r>
          </w:p>
        </w:tc>
        <w:tc>
          <w:tcPr>
            <w:tcW w:w="777" w:type="pct"/>
            <w:tcBorders>
              <w:left w:val="nil"/>
              <w:right w:val="nil"/>
            </w:tcBorders>
            <w:vAlign w:val="center"/>
          </w:tcPr>
          <w:p w:rsidR="00E07F75" w:rsidRPr="00804C6F" w:rsidRDefault="00E07F75" w:rsidP="007B6068">
            <w:pPr>
              <w:jc w:val="center"/>
            </w:pPr>
            <w:r w:rsidRPr="00804C6F">
              <w:fldChar w:fldCharType="begin" w:fldLock="1"/>
            </w:r>
            <w:r w:rsidR="000E2723">
              <w:instrText>ADDIN CSL_CITATION { "citationItems" : [ { "id" : "ITEM-1", "itemData" : { "DOI" : "10.1371/journal.pone.0107700", "ISBN" : "1932-6203 (Electronic)\\r1932-6203 (Linking)", "ISSN" : "19326203", "PMID" : "25290939", "abstract" : "INTRODUCTION: Tools that allow for in silico optimization of available malaria control strategies can assist the decision-making process for prioritizing interventions. The OpenMalaria stochastic simulation modeling platform can be applied to simulate the impact of interventions singly and in combination as implemented in Rachuonyo South District, western Kenya, to support this goal.\\n\\nMETHODS: Combinations of malaria interventions were simulated using a previously-published, validated model of malaria epidemiology and control in the study area. An economic model of the costs of case management and malaria control interventions in Kenya was applied to simulation results and cost-effectiveness of each intervention combination compared to the corresponding simulated outputs of a scenario without interventions. Uncertainty was evaluated by varying health system and intervention delivery parameters.\\n\\nRESULTS: The intervention strategy with the greatest simulated health impact employed long lasting insecticide treated net (LLIN) use by 80% of the population, 90% of households covered by indoor residual spraying (IRS) with deployment starting in April, and intermittent screen and treat (IST) of school children using Artemether lumefantrine (AL) with 80% coverage twice per term. However, the current malaria control strategy in the study area including LLIN use of 56% and IRS coverage of 70% was the most cost effective at reducing disability-adjusted life years (DALYs) over a five year period.\\n\\nCONCLUSIONS: All the simulated intervention combinations can be considered cost effective in the context of available resources for health in Kenya. Increasing coverage of vector control interventions has a larger simulated impact compared to adding IST to the current implementation strategy, suggesting that transmission in the study area is not at a level to warrant replacing vector control to a school-based screen and treat program. These results have the potential to assist malaria control program managers in the study area in adding new or changing implementation of current interventions.", "author" : [ { "dropping-particle" : "", "family" : "Stuckey", "given" : "Erin M.", "non-dropping-particle" : "", "parse-names" : false, "suffix" : "" }, { "dropping-particle" : "", "family" : "Stevenson", "given" : "Jennifer", "non-dropping-particle" : "", "parse-names" : false, "suffix" : "" }, { "dropping-particle" : "", "family" : "Galactionova", "given" : "Katya", "non-dropping-particle" : "", "parse-names" : false, "suffix" : "" }, { "dropping-particle" : "", "family" : "Baidjoe", "given" : "Amrish Y.", "non-dropping-particle" : "", "parse-names" : false, "suffix" : "" }, { "dropping-particle" : "", "family" : "Bousema", "given" : "Teun", "non-dropping-particle" : "", "parse-names" : false, "suffix" : "" }, { "dropping-particle" : "", "family" : "Odongo", "given" : "Wycliffe", "non-dropping-particle" : "", "parse-names" : false, "suffix" : "" }, { "dropping-particle" : "", "family" : "Kariuki", "given" : "Simon", "non-dropping-particle" : "", "parse-names" : false, "suffix" : "" }, { "dropping-particle" : "", "family" : "Drakeley", "given" : "Chris", "non-dropping-particle" : "", "parse-names" : false, "suffix" : "" }, { "dropping-particle" : "", "family" : "Smith", "given" : "Thomas A.", "non-dropping-particle" : "", "parse-names" : false, "suffix" : "" }, { "dropping-particle" : "", "family" : "Cox", "given" : "Jonathan", "non-dropping-particle" : "", "parse-names" : false, "suffix" : "" }, { "dropping-particle" : "", "family" : "Chitnis", "given" : "Nakul", "non-dropping-particle" : "", "parse-names" : false, "suffix" : "" } ], "container-title" : "PLoS ONE", "id" : "ITEM-1", "issue" : "10", "issued" : { "date-parts" : [ [ "2014" ] ] }, "title" : "Modeling the cost effectiveness of malaria control interventions in the highlands of western Kenya", "type" : "article-journal", "volume" : "9" }, "uris" : [ "http://www.mendeley.com/documents/?uuid=a2a2b819-2bd7-42e0-aaf9-00fa3978397b" ] } ], "mendeley" : { "formattedCitation" : "[7]", "plainTextFormattedCitation" : "[7]", "previouslyFormattedCitation" : "[104]" }, "properties" : { "noteIndex" : 0 }, "schema" : "https://github.com/citation-style-language/schema/raw/master/csl-citation.json" }</w:instrText>
            </w:r>
            <w:r w:rsidRPr="00804C6F">
              <w:fldChar w:fldCharType="separate"/>
            </w:r>
            <w:r w:rsidR="000E2723" w:rsidRPr="000E2723">
              <w:rPr>
                <w:noProof/>
              </w:rPr>
              <w:t>[7]</w:t>
            </w:r>
            <w:r w:rsidRPr="00804C6F">
              <w:fldChar w:fldCharType="end"/>
            </w:r>
          </w:p>
        </w:tc>
      </w:tr>
      <w:tr w:rsidR="00E07F75" w:rsidRPr="00804C6F" w:rsidTr="007B6068">
        <w:trPr>
          <w:trHeight w:val="300"/>
        </w:trPr>
        <w:tc>
          <w:tcPr>
            <w:tcW w:w="1288" w:type="pct"/>
            <w:tcBorders>
              <w:left w:val="nil"/>
              <w:right w:val="single" w:sz="12" w:space="0" w:color="auto"/>
            </w:tcBorders>
            <w:noWrap/>
            <w:vAlign w:val="center"/>
          </w:tcPr>
          <w:p w:rsidR="00E07F75" w:rsidRPr="00804C6F" w:rsidRDefault="00E07F75" w:rsidP="007B6068">
            <w:r w:rsidRPr="00804C6F">
              <w:t>Pemberton-Ross (2015)</w:t>
            </w:r>
          </w:p>
        </w:tc>
        <w:tc>
          <w:tcPr>
            <w:tcW w:w="1331" w:type="pct"/>
            <w:tcBorders>
              <w:left w:val="single" w:sz="12" w:space="0" w:color="auto"/>
              <w:right w:val="nil"/>
            </w:tcBorders>
            <w:noWrap/>
            <w:vAlign w:val="center"/>
          </w:tcPr>
          <w:p w:rsidR="00E07F75" w:rsidRPr="00804C6F" w:rsidRDefault="00E07F75" w:rsidP="007B6068">
            <w:r w:rsidRPr="00804C6F">
              <w:t>Ensemble modelling</w:t>
            </w:r>
          </w:p>
        </w:tc>
        <w:tc>
          <w:tcPr>
            <w:tcW w:w="1077" w:type="pct"/>
            <w:tcBorders>
              <w:left w:val="nil"/>
              <w:right w:val="nil"/>
            </w:tcBorders>
            <w:noWrap/>
            <w:vAlign w:val="center"/>
          </w:tcPr>
          <w:p w:rsidR="00E07F75" w:rsidRPr="00804C6F" w:rsidRDefault="00E07F75" w:rsidP="007B6068">
            <w:proofErr w:type="spellStart"/>
            <w:r w:rsidRPr="00804C6F">
              <w:t>OpenMalaria</w:t>
            </w:r>
            <w:proofErr w:type="spellEnd"/>
          </w:p>
        </w:tc>
        <w:tc>
          <w:tcPr>
            <w:tcW w:w="526" w:type="pct"/>
            <w:tcBorders>
              <w:left w:val="nil"/>
              <w:right w:val="nil"/>
            </w:tcBorders>
            <w:vAlign w:val="center"/>
          </w:tcPr>
          <w:p w:rsidR="00E07F75" w:rsidRPr="00804C6F" w:rsidRDefault="00E07F75" w:rsidP="007B6068">
            <w:pPr>
              <w:jc w:val="center"/>
            </w:pPr>
            <w:r w:rsidRPr="00804C6F">
              <w:t>6</w:t>
            </w:r>
          </w:p>
        </w:tc>
        <w:tc>
          <w:tcPr>
            <w:tcW w:w="777" w:type="pct"/>
            <w:tcBorders>
              <w:left w:val="nil"/>
              <w:right w:val="nil"/>
            </w:tcBorders>
            <w:vAlign w:val="center"/>
          </w:tcPr>
          <w:p w:rsidR="00E07F75" w:rsidRPr="00804C6F" w:rsidRDefault="00E07F75" w:rsidP="007B6068">
            <w:pPr>
              <w:jc w:val="center"/>
            </w:pPr>
            <w:r w:rsidRPr="00804C6F">
              <w:fldChar w:fldCharType="begin" w:fldLock="1"/>
            </w:r>
            <w:r w:rsidR="000E2723">
              <w:instrText>ADDIN CSL_CITATION { "citationItems" : [ { "id" : "ITEM-1", "itemData" : { "DOI" : "10.1186/s12936-015-0805-1", "ISBN" : "1475-2875", "ISSN" : "1475-2875", "PMID" : "26206255", "abstract" : "Effective population-level interventions against Plasmodium falciparum malaria lead to age-shifts, delayed morbidity or rebounds in morbidity and mortality whenever they are deployed in ways that do not permanently interrupt transmission. When long-term intervention programmes target specific age-groups of human hosts, the age-specific morbidity rates ultimately adjust to new steady-states, but it is very difficult to study these rates and the temporal dynamics leading up to them empirically because the changes occur over very long time periods. This study investigates the age and magnitude of age- and time- shifting of incidence induced by either pre-erythrocytic vaccination (PEV) programmes or seasonal malaria chemo-prevention (SMC), using an ensemble of individual-based stochastic simulation models of P. falciparum dynamics. The models made various assumptions about immunity decay, transmission heterogeneity and were parameterized with data on both age-specific infection and disease incidence at different levels of exposure, on the durations of different stages of the parasite life-cycle and on human demography. Effects of transmission intensity, and of levels of access to malaria treatment were considered. While both PEV and SMC programmes are predicted to have overall strongly positive health effects, a shift of morbidity into older children is predicted to be induced by either programme if transmission levels remain static and not reduced by other interventions. Predicted shifting of burden continue into the second decade of the programme. Even if long-term surveillance is maintained it will be difficult to avoid mis-attribution of such long-term changes in age-specific morbidity patterns to other factors. Conversely, short-lived transient changes in incidence measured soon after introduction of a new intervention may give over-positive views of future impacts. Complementary intervention strategies could be designed to specifically protect those age-groups at risk from burden shift.", "author" : [ { "dropping-particle" : "", "family" : "Pemberton-Ross", "given" : "Peter", "non-dropping-particle" : "", "parse-names" : false, "suffix" : "" }, { "dropping-particle" : "", "family" : "Smith", "given" : "Thomas A", "non-dropping-particle" : "", "parse-names" : false, "suffix" : "" }, { "dropping-particle" : "", "family" : "Hodel", "given" : "Eva Maria", "non-dropping-particle" : "", "parse-names" : false, "suffix" : "" }, { "dropping-particle" : "", "family" : "Kay", "given" : "Katherine", "non-dropping-particle" : "", "parse-names" : false, "suffix" : "" }, { "dropping-particle" : "", "family" : "Penny", "given" : "Melissa A", "non-dropping-particle" : "", "parse-names" : false, "suffix" : "" } ], "container-title" : "Malaria Journal", "id" : "ITEM-1", "issue" : "1", "issued" : { "date-parts" : [ [ "2015" ] ] }, "page" : "287-300", "publisher" : "BioMed Central", "title" : "Age-shifting in malaria incidence as a result of induced immunological deficit: a simulation study", "type" : "article-journal", "volume" : "14" }, "uris" : [ "http://www.mendeley.com/documents/?uuid=10d86174-edae-4925-9df5-63f9e5911369" ] } ], "mendeley" : { "formattedCitation" : "[8]", "plainTextFormattedCitation" : "[8]", "previouslyFormattedCitation" : "[105]" }, "properties" : { "noteIndex" : 0 }, "schema" : "https://github.com/citation-style-language/schema/raw/master/csl-citation.json" }</w:instrText>
            </w:r>
            <w:r w:rsidRPr="00804C6F">
              <w:fldChar w:fldCharType="separate"/>
            </w:r>
            <w:r w:rsidR="000E2723" w:rsidRPr="000E2723">
              <w:rPr>
                <w:noProof/>
              </w:rPr>
              <w:t>[8]</w:t>
            </w:r>
            <w:r w:rsidRPr="00804C6F">
              <w:fldChar w:fldCharType="end"/>
            </w:r>
          </w:p>
        </w:tc>
      </w:tr>
      <w:tr w:rsidR="00E07F75" w:rsidRPr="00804C6F" w:rsidTr="007B6068">
        <w:trPr>
          <w:trHeight w:val="300"/>
        </w:trPr>
        <w:tc>
          <w:tcPr>
            <w:tcW w:w="1288" w:type="pct"/>
            <w:tcBorders>
              <w:left w:val="nil"/>
              <w:right w:val="single" w:sz="12" w:space="0" w:color="auto"/>
            </w:tcBorders>
            <w:noWrap/>
            <w:vAlign w:val="center"/>
          </w:tcPr>
          <w:p w:rsidR="00E07F75" w:rsidRPr="00804C6F" w:rsidRDefault="00E07F75" w:rsidP="007B6068">
            <w:r w:rsidRPr="00804C6F">
              <w:rPr>
                <w:rFonts w:ascii="Calibri" w:hAnsi="Calibri"/>
                <w:color w:val="000000"/>
              </w:rPr>
              <w:t>Penny (2015A)</w:t>
            </w:r>
          </w:p>
        </w:tc>
        <w:tc>
          <w:tcPr>
            <w:tcW w:w="1331" w:type="pct"/>
            <w:tcBorders>
              <w:left w:val="single" w:sz="12" w:space="0" w:color="auto"/>
              <w:right w:val="nil"/>
            </w:tcBorders>
            <w:noWrap/>
            <w:vAlign w:val="center"/>
          </w:tcPr>
          <w:p w:rsidR="00E07F75" w:rsidRPr="00804C6F" w:rsidRDefault="00E07F75" w:rsidP="007B6068">
            <w:r w:rsidRPr="00804C6F">
              <w:t>Ensemble modelling</w:t>
            </w:r>
          </w:p>
        </w:tc>
        <w:tc>
          <w:tcPr>
            <w:tcW w:w="1077" w:type="pct"/>
            <w:tcBorders>
              <w:left w:val="nil"/>
              <w:right w:val="nil"/>
            </w:tcBorders>
            <w:noWrap/>
            <w:vAlign w:val="center"/>
          </w:tcPr>
          <w:p w:rsidR="00E07F75" w:rsidRPr="00804C6F" w:rsidRDefault="00E07F75" w:rsidP="007B6068">
            <w:pPr>
              <w:rPr>
                <w:i/>
                <w:iCs/>
              </w:rPr>
            </w:pPr>
            <w:proofErr w:type="spellStart"/>
            <w:r w:rsidRPr="00804C6F">
              <w:t>OpenMalaria</w:t>
            </w:r>
            <w:proofErr w:type="spellEnd"/>
          </w:p>
        </w:tc>
        <w:tc>
          <w:tcPr>
            <w:tcW w:w="526" w:type="pct"/>
            <w:tcBorders>
              <w:left w:val="nil"/>
              <w:right w:val="nil"/>
            </w:tcBorders>
            <w:vAlign w:val="center"/>
          </w:tcPr>
          <w:p w:rsidR="00E07F75" w:rsidRPr="00804C6F" w:rsidRDefault="00E07F75" w:rsidP="007B6068">
            <w:pPr>
              <w:jc w:val="center"/>
            </w:pPr>
            <w:r w:rsidRPr="00804C6F">
              <w:t>6</w:t>
            </w:r>
          </w:p>
        </w:tc>
        <w:tc>
          <w:tcPr>
            <w:tcW w:w="777" w:type="pct"/>
            <w:tcBorders>
              <w:left w:val="nil"/>
              <w:right w:val="nil"/>
            </w:tcBorders>
            <w:vAlign w:val="center"/>
          </w:tcPr>
          <w:p w:rsidR="00E07F75" w:rsidRPr="00804C6F" w:rsidRDefault="00E07F75" w:rsidP="007B6068">
            <w:pPr>
              <w:jc w:val="center"/>
            </w:pPr>
            <w:r w:rsidRPr="00804C6F">
              <w:fldChar w:fldCharType="begin" w:fldLock="1"/>
            </w:r>
            <w:r w:rsidR="000E2723">
              <w:instrText>ADDIN CSL_CITATION { "citationItems" : [ { "id" : "ITEM-1", "itemData" : { "DOI" : "10.1186/s12916-015-0408-2", "ISBN" : "1741-7015", "abstract" : "Background: The RTS,S/AS01 malaria vaccine candidate recently completed Phase III trials in 11 African sites. Recommendations for its deployment will partly depend on predictions of public health impact in endemic countries. Previous predictions of these used only limited information on underlying vaccine properties and have not considered country-specific contextual data. Methods: Each Phase III trial cohort was simulated explicitly using an ensemble of individual-based stochastic models, and many hypothetical vaccine profiles. The true profile was estimated by Bayesian fitting of these models to the site- and time-specific incidence of clinical malaria in both trial arms over 18 months of follow-up. Health impacts of implementation via two vaccine schedules in 43 endemic sub-Saharan African countries, using country-specific prevalence, access to care, immunisation coverage and demography data, were predicted via weighted averaging over many simulations. Results: The efficacy against infection of three doses of vaccine was initially approximately 65% (when immunising 6\u201312 week old infants) and 80% (children 5\u201317 months old), with a 1 year half-life (exponential decay). Either schedule will avert substantial disease, but predicted impact strongly depends on the decay rate of vaccine effects and average transmission intensity. Conclusions: For the first time Phase III site- and time-specific data were available to estimate both the underlying profile of RTS,S/AS01 and likely country-specific health impacts. Initial efficacy will probably be high, but decay rapidly. Adding RTS,S to existing control programs, assuming continuation of current levels of malaria exposure and of health system performance, will potentially avert 100\u2013580 malaria deaths and 45,000 to 80,000 clinical episodes per 100,000 fully vaccinated children over an initial 10-year phase.", "author" : [ { "dropping-particle" : "", "family" : "Penny", "given" : "Melissa A", "non-dropping-particle" : "", "parse-names" : false, "suffix" : "" }, { "dropping-particle" : "", "family" : "Galactionova", "given" : "Katya", "non-dropping-particle" : "", "parse-names" : false, "suffix" : "" }, { "dropping-particle" : "", "family" : "Tarantino", "given" : "Michael", "non-dropping-particle" : "", "parse-names" : false, "suffix" : "" }, { "dropping-particle" : "", "family" : "Tanner", "given" : "Marcel", "non-dropping-particle" : "", "parse-names" : false, "suffix" : "" }, { "dropping-particle" : "", "family" : "Smith", "given" : "Thomas A", "non-dropping-particle" : "", "parse-names" : false, "suffix" : "" } ], "container-title" : "BMC Medicine", "id" : "ITEM-1", "issue" : "1", "issued" : { "date-parts" : [ [ "2015" ] ] }, "page" : "170-189", "title" : "The public health impact of malaria vaccine RTS,S in malaria endemic Africa: country-specific predictions using 18 month follow-up Phase III data and simulation models", "type" : "article-journal", "volume" : "13" }, "uris" : [ "http://www.mendeley.com/documents/?uuid=74e9dc69-47bb-443e-8930-c7388426951b" ] } ], "mendeley" : { "formattedCitation" : "[9]", "plainTextFormattedCitation" : "[9]", "previouslyFormattedCitation" : "[106]" }, "properties" : { "noteIndex" : 0 }, "schema" : "https://github.com/citation-style-language/schema/raw/master/csl-citation.json" }</w:instrText>
            </w:r>
            <w:r w:rsidRPr="00804C6F">
              <w:fldChar w:fldCharType="separate"/>
            </w:r>
            <w:r w:rsidR="000E2723" w:rsidRPr="000E2723">
              <w:rPr>
                <w:noProof/>
              </w:rPr>
              <w:t>[9]</w:t>
            </w:r>
            <w:r w:rsidRPr="00804C6F">
              <w:fldChar w:fldCharType="end"/>
            </w:r>
          </w:p>
        </w:tc>
      </w:tr>
      <w:tr w:rsidR="00E07F75" w:rsidRPr="00804C6F" w:rsidTr="007B6068">
        <w:trPr>
          <w:trHeight w:val="300"/>
        </w:trPr>
        <w:tc>
          <w:tcPr>
            <w:tcW w:w="1288" w:type="pct"/>
            <w:tcBorders>
              <w:left w:val="nil"/>
              <w:right w:val="single" w:sz="12" w:space="0" w:color="auto"/>
            </w:tcBorders>
            <w:noWrap/>
            <w:vAlign w:val="center"/>
          </w:tcPr>
          <w:p w:rsidR="00E07F75" w:rsidRPr="00C45088" w:rsidRDefault="00E07F75" w:rsidP="007B6068">
            <w:pPr>
              <w:rPr>
                <w:rFonts w:ascii="Calibri" w:hAnsi="Calibri"/>
                <w:color w:val="000000"/>
              </w:rPr>
            </w:pPr>
            <w:proofErr w:type="spellStart"/>
            <w:r w:rsidRPr="00C45088">
              <w:rPr>
                <w:rFonts w:ascii="Calibri" w:hAnsi="Calibri"/>
                <w:color w:val="000000"/>
              </w:rPr>
              <w:t>Yukich</w:t>
            </w:r>
            <w:proofErr w:type="spellEnd"/>
            <w:r w:rsidRPr="00C45088">
              <w:rPr>
                <w:rFonts w:ascii="Calibri" w:hAnsi="Calibri"/>
                <w:color w:val="000000"/>
              </w:rPr>
              <w:t xml:space="preserve"> (2015)</w:t>
            </w:r>
          </w:p>
        </w:tc>
        <w:tc>
          <w:tcPr>
            <w:tcW w:w="1331" w:type="pct"/>
            <w:tcBorders>
              <w:left w:val="single" w:sz="12" w:space="0" w:color="auto"/>
              <w:right w:val="nil"/>
            </w:tcBorders>
            <w:noWrap/>
            <w:vAlign w:val="center"/>
          </w:tcPr>
          <w:p w:rsidR="00E07F75" w:rsidRPr="00804C6F" w:rsidRDefault="00E07F75" w:rsidP="007B6068">
            <w:r w:rsidRPr="00804C6F">
              <w:t>Ensemble modelling</w:t>
            </w:r>
          </w:p>
        </w:tc>
        <w:tc>
          <w:tcPr>
            <w:tcW w:w="1077" w:type="pct"/>
            <w:tcBorders>
              <w:left w:val="nil"/>
              <w:right w:val="nil"/>
            </w:tcBorders>
            <w:noWrap/>
            <w:vAlign w:val="center"/>
          </w:tcPr>
          <w:p w:rsidR="00E07F75" w:rsidRPr="00187934" w:rsidRDefault="00E07F75" w:rsidP="007B6068">
            <w:proofErr w:type="spellStart"/>
            <w:r w:rsidRPr="00187934">
              <w:t>OpenMalaria</w:t>
            </w:r>
            <w:proofErr w:type="spellEnd"/>
          </w:p>
        </w:tc>
        <w:tc>
          <w:tcPr>
            <w:tcW w:w="526" w:type="pct"/>
            <w:tcBorders>
              <w:left w:val="nil"/>
              <w:right w:val="nil"/>
            </w:tcBorders>
            <w:vAlign w:val="center"/>
          </w:tcPr>
          <w:p w:rsidR="00E07F75" w:rsidRPr="0068576A" w:rsidRDefault="00E07F75" w:rsidP="007B6068">
            <w:pPr>
              <w:jc w:val="center"/>
            </w:pPr>
            <w:r w:rsidRPr="0068576A">
              <w:t>14</w:t>
            </w:r>
          </w:p>
        </w:tc>
        <w:tc>
          <w:tcPr>
            <w:tcW w:w="777" w:type="pct"/>
            <w:tcBorders>
              <w:left w:val="nil"/>
              <w:right w:val="nil"/>
            </w:tcBorders>
            <w:vAlign w:val="center"/>
          </w:tcPr>
          <w:p w:rsidR="00E07F75" w:rsidRPr="00804C6F" w:rsidRDefault="00E07F75" w:rsidP="007B6068">
            <w:pPr>
              <w:jc w:val="center"/>
            </w:pPr>
            <w:r w:rsidRPr="00804C6F">
              <w:fldChar w:fldCharType="begin" w:fldLock="1"/>
            </w:r>
            <w:r w:rsidR="000E2723">
              <w:instrText>ADDIN CSL_CITATION { "citationItems" : [ { "id" : "ITEM-1", "itemData" : { "author" : [ { "dropping-particle" : "", "family" : "Yukich", "given" : "Joshua", "non-dropping-particle" : "", "parse-names" : false, "suffix" : "" }, { "dropping-particle" : "", "family" : "Chitnis", "given" : "Nakul", "non-dropping-particle" : "", "parse-names" : false, "suffix" : "" } ], "id" : "ITEM-1", "issue" : "July", "issued" : { "date-parts" : [ [ "2015" ] ] }, "title" : "When can malaria control and elimination programs safely reduce vector control efforts ? a simulation study .", "type" : "article-journal" }, "uris" : [ "http://www.mendeley.com/documents/?uuid=3ad9b360-db4f-4cb2-b5b1-e2c04b5c0ec1" ] } ], "mendeley" : { "formattedCitation" : "[10]", "plainTextFormattedCitation" : "[10]", "previouslyFormattedCitation" : "[107]" }, "properties" : { "noteIndex" : 0 }, "schema" : "https://github.com/citation-style-language/schema/raw/master/csl-citation.json" }</w:instrText>
            </w:r>
            <w:r w:rsidRPr="00804C6F">
              <w:fldChar w:fldCharType="separate"/>
            </w:r>
            <w:r w:rsidR="000E2723" w:rsidRPr="000E2723">
              <w:rPr>
                <w:noProof/>
              </w:rPr>
              <w:t>[10]</w:t>
            </w:r>
            <w:r w:rsidRPr="00804C6F">
              <w:fldChar w:fldCharType="end"/>
            </w:r>
          </w:p>
        </w:tc>
      </w:tr>
      <w:tr w:rsidR="00E07F75" w:rsidRPr="00804C6F" w:rsidTr="007B6068">
        <w:trPr>
          <w:trHeight w:val="300"/>
        </w:trPr>
        <w:tc>
          <w:tcPr>
            <w:tcW w:w="1288" w:type="pct"/>
            <w:tcBorders>
              <w:left w:val="nil"/>
              <w:right w:val="single" w:sz="12" w:space="0" w:color="auto"/>
            </w:tcBorders>
            <w:noWrap/>
            <w:vAlign w:val="center"/>
          </w:tcPr>
          <w:p w:rsidR="00E07F75" w:rsidRPr="00804C6F" w:rsidRDefault="00E07F75" w:rsidP="007B6068">
            <w:r w:rsidRPr="00804C6F">
              <w:t>Cameron(2015)</w:t>
            </w:r>
          </w:p>
        </w:tc>
        <w:tc>
          <w:tcPr>
            <w:tcW w:w="1331" w:type="pct"/>
            <w:tcBorders>
              <w:left w:val="single" w:sz="12" w:space="0" w:color="auto"/>
              <w:right w:val="nil"/>
            </w:tcBorders>
            <w:noWrap/>
            <w:vAlign w:val="center"/>
          </w:tcPr>
          <w:p w:rsidR="00E07F75" w:rsidRPr="00804C6F" w:rsidRDefault="00E07F75" w:rsidP="007B6068">
            <w:r w:rsidRPr="00804C6F">
              <w:t>Cross-comparison</w:t>
            </w:r>
          </w:p>
        </w:tc>
        <w:tc>
          <w:tcPr>
            <w:tcW w:w="1077" w:type="pct"/>
            <w:tcBorders>
              <w:left w:val="nil"/>
              <w:right w:val="nil"/>
            </w:tcBorders>
            <w:noWrap/>
            <w:vAlign w:val="center"/>
          </w:tcPr>
          <w:p w:rsidR="00E07F75" w:rsidRPr="00804C6F" w:rsidRDefault="00E07F75" w:rsidP="007B6068">
            <w:proofErr w:type="spellStart"/>
            <w:r w:rsidRPr="00804C6F">
              <w:t>OpenMalaria</w:t>
            </w:r>
            <w:proofErr w:type="spellEnd"/>
            <w:r w:rsidRPr="00804C6F">
              <w:br/>
              <w:t>EMOD</w:t>
            </w:r>
          </w:p>
          <w:p w:rsidR="00E07F75" w:rsidRPr="00804C6F" w:rsidRDefault="00E07F75" w:rsidP="007B6068">
            <w:r w:rsidRPr="00804C6F">
              <w:t xml:space="preserve">Griffin </w:t>
            </w:r>
            <w:r w:rsidRPr="00804C6F">
              <w:rPr>
                <w:i/>
                <w:iCs/>
              </w:rPr>
              <w:t>et. al</w:t>
            </w:r>
          </w:p>
        </w:tc>
        <w:tc>
          <w:tcPr>
            <w:tcW w:w="526" w:type="pct"/>
            <w:tcBorders>
              <w:left w:val="nil"/>
              <w:right w:val="nil"/>
            </w:tcBorders>
            <w:vAlign w:val="center"/>
          </w:tcPr>
          <w:p w:rsidR="00E07F75" w:rsidRPr="00804C6F" w:rsidRDefault="00E07F75" w:rsidP="007B6068">
            <w:pPr>
              <w:jc w:val="center"/>
            </w:pPr>
            <w:r w:rsidRPr="00804C6F">
              <w:t>3</w:t>
            </w:r>
          </w:p>
        </w:tc>
        <w:tc>
          <w:tcPr>
            <w:tcW w:w="777" w:type="pct"/>
            <w:tcBorders>
              <w:left w:val="nil"/>
              <w:right w:val="nil"/>
            </w:tcBorders>
            <w:vAlign w:val="center"/>
          </w:tcPr>
          <w:p w:rsidR="00E07F75" w:rsidRPr="00804C6F" w:rsidRDefault="00E07F75" w:rsidP="007B6068">
            <w:pPr>
              <w:jc w:val="center"/>
            </w:pPr>
            <w:r w:rsidRPr="00804C6F">
              <w:fldChar w:fldCharType="begin" w:fldLock="1"/>
            </w:r>
            <w:r w:rsidR="000E2723">
              <w:instrText>ADDIN CSL_CITATION { "citationItems" : [ { "id" : "ITEM-1", "itemData" : { "DOI" : "10.1038/ncomms9170", "ISBN" : "2041-1723 (Electronic)\\r2041-1723 (Linking)", "ISSN" : "2041-1723", "PMID" : "26348689", "abstract" : "In many countries health system data remain too weak to accurately enumerate Plasmodium falciparum malaria cases. In response, cartographic approaches have been developed that link maps of infection prevalence with mathematical relationships to predict the incidence rate of clinical malaria. Microsimulation (or 'agent-based') models represent a powerful new paradigm for defining such relationships; however, differences in model structure and calibration data mean that no consensus yet exists on the optimal form for use in disease-burden estimation. Here we develop a Bayesian statistical procedure combining functional regression-based model emulation with Markov Chain Monte Carlo sampling to calibrate three selected microsimulation models against a purpose-built data set of age-structured prevalence and incidence counts. This allows the generation of ensemble forecasts of the prevalence-incidence relationship stratified by age, transmission seasonality, treatment level and exposure history, from which we predict accelerating returns on investments in large-scale intervention campaigns as transmission and prevalence are progressively reduced.", "author" : [ { "dropping-particle" : "", "family" : "Cameron", "given" : "Ewan", "non-dropping-particle" : "", "parse-names" : false, "suffix" : "" }, { "dropping-particle" : "", "family" : "Battle", "given" : "Katherine E", "non-dropping-particle" : "", "parse-names" : false, "suffix" : "" }, { "dropping-particle" : "", "family" : "Bhatt", "given" : "Samir", "non-dropping-particle" : "", "parse-names" : false, "suffix" : "" }, { "dropping-particle" : "", "family" : "Weiss", "given" : "Daniel J", "non-dropping-particle" : "", "parse-names" : false, "suffix" : "" }, { "dropping-particle" : "", "family" : "Bisanzio", "given" : "Donal", "non-dropping-particle" : "", "parse-names" : false, "suffix" : "" }, { "dropping-particle" : "", "family" : "Mappin", "given" : "Bonnie", "non-dropping-particle" : "", "parse-names" : false, "suffix" : "" }, { "dropping-particle" : "", "family" : "Dalrymple", "given" : "Ursula", "non-dropping-particle" : "", "parse-names" : false, "suffix" : "" }, { "dropping-particle" : "", "family" : "Hay", "given" : "Simon I", "non-dropping-particle" : "", "parse-names" : false, "suffix" : "" }, { "dropping-particle" : "", "family" : "Smith", "given" : "David L", "non-dropping-particle" : "", "parse-names" : false, "suffix" : "" }, { "dropping-particle" : "", "family" : "Griffin", "given" : "Jamie T", "non-dropping-particle" : "", "parse-names" : false, "suffix" : "" }, { "dropping-particle" : "", "family" : "Wenger", "given" : "Edward A", "non-dropping-particle" : "", "parse-names" : false, "suffix" : "" }, { "dropping-particle" : "", "family" : "Eckhoff", "given" : "Philip A", "non-dropping-particle" : "", "parse-names" : false, "suffix" : "" }, { "dropping-particle" : "", "family" : "Smith", "given" : "Thomas A", "non-dropping-particle" : "", "parse-names" : false, "suffix" : "" }, { "dropping-particle" : "", "family" : "Penny", "given" : "Melissa A", "non-dropping-particle" : "", "parse-names" : false, "suffix" : "" }, { "dropping-particle" : "", "family" : "Gething", "given" : "Peter W", "non-dropping-particle" : "", "parse-names" : false, "suffix" : "" } ], "container-title" : "Nature communications", "id" : "ITEM-1", "issued" : { "date-parts" : [ [ "2015" ] ] }, "page" : "8170", "publisher" : "Nature Publishing Group", "title" : "Defining the relationship between infection prevalence and clinical incidence of Plasmodium falciparum malaria", "type" : "article-journal", "volume" : "6" }, "uris" : [ "http://www.mendeley.com/documents/?uuid=44273e15-ef79-4792-8dd6-04c92bba7db2" ] } ], "mendeley" : { "formattedCitation" : "[11]", "plainTextFormattedCitation" : "[11]", "previouslyFormattedCitation" : "[108]" }, "properties" : { "noteIndex" : 0 }, "schema" : "https://github.com/citation-style-language/schema/raw/master/csl-citation.json" }</w:instrText>
            </w:r>
            <w:r w:rsidRPr="00804C6F">
              <w:fldChar w:fldCharType="separate"/>
            </w:r>
            <w:r w:rsidR="000E2723" w:rsidRPr="000E2723">
              <w:rPr>
                <w:noProof/>
              </w:rPr>
              <w:t>[11]</w:t>
            </w:r>
            <w:r w:rsidRPr="00804C6F">
              <w:fldChar w:fldCharType="end"/>
            </w:r>
          </w:p>
        </w:tc>
      </w:tr>
      <w:tr w:rsidR="00E07F75" w:rsidRPr="003762EB" w:rsidTr="007B6068">
        <w:trPr>
          <w:trHeight w:val="300"/>
        </w:trPr>
        <w:tc>
          <w:tcPr>
            <w:tcW w:w="1288" w:type="pct"/>
            <w:tcBorders>
              <w:left w:val="nil"/>
              <w:right w:val="single" w:sz="12" w:space="0" w:color="auto"/>
            </w:tcBorders>
            <w:noWrap/>
            <w:vAlign w:val="center"/>
          </w:tcPr>
          <w:p w:rsidR="00E07F75" w:rsidRPr="00804C6F" w:rsidRDefault="00E07F75" w:rsidP="007B6068">
            <w:r w:rsidRPr="00804C6F">
              <w:t>Penny (2015B)</w:t>
            </w:r>
          </w:p>
        </w:tc>
        <w:tc>
          <w:tcPr>
            <w:tcW w:w="1331" w:type="pct"/>
            <w:tcBorders>
              <w:left w:val="single" w:sz="12" w:space="0" w:color="auto"/>
              <w:right w:val="nil"/>
            </w:tcBorders>
            <w:noWrap/>
            <w:vAlign w:val="center"/>
          </w:tcPr>
          <w:p w:rsidR="00E07F75" w:rsidRPr="00804C6F" w:rsidRDefault="00E07F75" w:rsidP="007B6068">
            <w:r w:rsidRPr="00804C6F">
              <w:t>Ensemble modelling</w:t>
            </w:r>
          </w:p>
        </w:tc>
        <w:tc>
          <w:tcPr>
            <w:tcW w:w="1077" w:type="pct"/>
            <w:tcBorders>
              <w:left w:val="nil"/>
              <w:right w:val="nil"/>
            </w:tcBorders>
            <w:noWrap/>
            <w:vAlign w:val="center"/>
          </w:tcPr>
          <w:p w:rsidR="00E07F75" w:rsidRPr="00804C6F" w:rsidRDefault="00E07F75" w:rsidP="007B6068">
            <w:proofErr w:type="spellStart"/>
            <w:r w:rsidRPr="00804C6F">
              <w:t>OpenMalaria</w:t>
            </w:r>
            <w:proofErr w:type="spellEnd"/>
          </w:p>
        </w:tc>
        <w:tc>
          <w:tcPr>
            <w:tcW w:w="526" w:type="pct"/>
            <w:tcBorders>
              <w:left w:val="nil"/>
              <w:right w:val="nil"/>
            </w:tcBorders>
            <w:vAlign w:val="center"/>
          </w:tcPr>
          <w:p w:rsidR="00E07F75" w:rsidRPr="00804C6F" w:rsidRDefault="00E07F75" w:rsidP="007B6068">
            <w:pPr>
              <w:jc w:val="center"/>
            </w:pPr>
            <w:r w:rsidRPr="00804C6F">
              <w:t>6</w:t>
            </w:r>
          </w:p>
        </w:tc>
        <w:tc>
          <w:tcPr>
            <w:tcW w:w="777" w:type="pct"/>
            <w:tcBorders>
              <w:left w:val="nil"/>
              <w:right w:val="nil"/>
            </w:tcBorders>
            <w:vAlign w:val="center"/>
          </w:tcPr>
          <w:p w:rsidR="00E07F75" w:rsidRPr="00804C6F" w:rsidRDefault="00E07F75" w:rsidP="007B6068">
            <w:pPr>
              <w:jc w:val="center"/>
              <w:rPr>
                <w:lang w:val="fr-FR"/>
              </w:rPr>
            </w:pPr>
            <w:r w:rsidRPr="00804C6F">
              <w:fldChar w:fldCharType="begin" w:fldLock="1"/>
            </w:r>
            <w:r w:rsidR="000E2723">
              <w:instrText>ADDIN CSL_CITATION { "citationItems" : [ { "id" : "ITEM-1", "itemData" : { "DOI" : "10.1186/s12936-015-0969-8", "ISBN" : "10.1186/s12936-015-0969-8", "ISSN" : "1475-2875", "PMID" : "26537608", "abstract" : "BACKGROUND: Recent publications have reported follow-up of the RTS,S/AS01 malaria vaccine candidate Phase III trials at 11 African sites for 32 months (or longer). This includes site- and time-specific estimates of incidence and efficacy against clinical disease with four different vaccination schedules. These data allow estimation of the time-course of protection against infection associated with two different ages of vaccination, both with and without a booster dose.\\n\\nMETHODS: Using an ensemble of individual-based stochastic models, each trial cohort in the Phase III trial was simulated assuming many different hypothetical profiles for the vaccine efficacy against infection in time, for both the primary course and boosting dose and including the potential for either exponential or non-exponential decay. The underlying profile of protection was determined by Bayesian fitting of these model predictions to the site- and time-specific incidence of clinical malaria over 32 months (or longer) of follow-up. Using the same stochastic models, projections of clinical efficacy in each of the sites were modelled and compared to available observed trial data.\\n\\nRESULTS: The initial protection of RTS,S immediately following three doses is estimated as providing an efficacy against infection of 65 % (when immunizing infants aged 6-12 weeks old) and 91 % (immunizing children aged 5-17 months old at first vaccination). This protection decays relatively rapidly, with an approximately exponential decay for the 6-12 weeks old cohort (with a half-life of 7.2 months); for the 5-17 months old cohort a biphasic decay with a similar half-life is predicted, with an initial rapid decay followed by a slower decay. The boosting dose was estimated to return protection to an efficacy against infection of 50-55 % for both cohorts. Estimates of clinical efficacy by trial site are consistent with those reported in the trial for all cohorts.\\n\\nCONCLUSIONS: The site- and time-specific clinical observations from the RTS,S/AS01 trial data allowed a reasonably precise estimation of the underlying vaccine protection against infection which is consistent with common underlying efficacy and decay rates across the trial sites. This calibration suggests that the decay in efficacy against clinical disease is more rapid than that against infection because of age-shifts in the incidence of disease. The dynamical models predict that clinical effectiveness will continue to decay and that likely \u2026", "author" : [ { "dropping-particle" : "", "family" : "Penny", "given" : "Melissa A", "non-dropping-particle" : "", "parse-names" : false, "suffix" : "" }, { "dropping-particle" : "", "family" : "Pemberton-Ross", "given" : "Peter", "non-dropping-particle" : "", "parse-names" : false, "suffix" : "" }, { "dropping-particle" : "", "family" : "Smith", "given" : "Thomas A", "non-dropping-particle" : "", "parse-names" : false, "suffix" : "" } ], "container-title" : "Malaria Journal", "id" : "ITEM-1", "issue" : "1", "issued" : { "date-parts" : [ [ "2015" ] ] }, "page" : "437", "publisher" : "BioMed Central", "title" : "The time-course of protection of the RTS,S vaccine against malaria infections and clinical disease", "type" : "article-journal", "volume" : "14" }, "uris" : [ "http://www.mendeley.com/documents/?uuid=f7f09095-b846-43fc-9f7d-839e2cb94b9c" ] } ], "mendeley" : { "formattedCitation" : "[12]", "plainTextFormattedCitation" : "[12]", "previouslyFormattedCitation" : "[109]" }, "properties" : { "noteIndex" : 0 }, "schema" : "https://github.com/citation-style-language/schema/raw/master/csl-citation.json" }</w:instrText>
            </w:r>
            <w:r w:rsidRPr="00804C6F">
              <w:fldChar w:fldCharType="separate"/>
            </w:r>
            <w:r w:rsidR="000E2723" w:rsidRPr="000E2723">
              <w:rPr>
                <w:noProof/>
                <w:lang w:val="fr-FR"/>
              </w:rPr>
              <w:t>[12]</w:t>
            </w:r>
            <w:r w:rsidRPr="00804C6F">
              <w:fldChar w:fldCharType="end"/>
            </w:r>
          </w:p>
        </w:tc>
      </w:tr>
      <w:tr w:rsidR="00E07F75" w:rsidRPr="00804C6F" w:rsidTr="007B6068">
        <w:trPr>
          <w:trHeight w:val="300"/>
        </w:trPr>
        <w:tc>
          <w:tcPr>
            <w:tcW w:w="1288" w:type="pct"/>
            <w:tcBorders>
              <w:left w:val="nil"/>
              <w:right w:val="single" w:sz="12" w:space="0" w:color="auto"/>
            </w:tcBorders>
            <w:noWrap/>
            <w:vAlign w:val="center"/>
          </w:tcPr>
          <w:p w:rsidR="00E07F75" w:rsidRPr="00804C6F" w:rsidRDefault="00E07F75" w:rsidP="007B6068">
            <w:pPr>
              <w:rPr>
                <w:rFonts w:ascii="Calibri" w:hAnsi="Calibri"/>
                <w:color w:val="000000"/>
                <w:lang w:val="fr-FR"/>
              </w:rPr>
            </w:pPr>
            <w:r w:rsidRPr="00804C6F">
              <w:rPr>
                <w:rFonts w:ascii="Calibri" w:hAnsi="Calibri"/>
                <w:color w:val="000000"/>
                <w:lang w:val="fr-FR"/>
              </w:rPr>
              <w:t>Penny (2015C)</w:t>
            </w:r>
          </w:p>
        </w:tc>
        <w:tc>
          <w:tcPr>
            <w:tcW w:w="1331" w:type="pct"/>
            <w:tcBorders>
              <w:left w:val="single" w:sz="12" w:space="0" w:color="auto"/>
              <w:right w:val="nil"/>
            </w:tcBorders>
            <w:noWrap/>
            <w:vAlign w:val="center"/>
          </w:tcPr>
          <w:p w:rsidR="00E07F75" w:rsidRPr="00804C6F" w:rsidRDefault="00E07F75" w:rsidP="007B6068">
            <w:pPr>
              <w:rPr>
                <w:rFonts w:ascii="Calibri" w:hAnsi="Calibri"/>
                <w:color w:val="000000"/>
                <w:lang w:val="fr-FR"/>
              </w:rPr>
            </w:pPr>
            <w:r w:rsidRPr="00804C6F">
              <w:rPr>
                <w:rFonts w:ascii="Calibri" w:hAnsi="Calibri"/>
                <w:color w:val="000000"/>
                <w:lang w:val="fr-FR"/>
              </w:rPr>
              <w:t>Cross-</w:t>
            </w:r>
            <w:proofErr w:type="spellStart"/>
            <w:r w:rsidRPr="00804C6F">
              <w:rPr>
                <w:rFonts w:ascii="Calibri" w:hAnsi="Calibri"/>
                <w:color w:val="000000"/>
                <w:lang w:val="fr-FR"/>
              </w:rPr>
              <w:t>comparison</w:t>
            </w:r>
            <w:proofErr w:type="spellEnd"/>
          </w:p>
        </w:tc>
        <w:tc>
          <w:tcPr>
            <w:tcW w:w="1077" w:type="pct"/>
            <w:tcBorders>
              <w:left w:val="nil"/>
              <w:right w:val="nil"/>
            </w:tcBorders>
            <w:noWrap/>
            <w:vAlign w:val="center"/>
          </w:tcPr>
          <w:p w:rsidR="00E07F75" w:rsidRPr="00804C6F" w:rsidRDefault="00E07F75" w:rsidP="007B6068">
            <w:pPr>
              <w:rPr>
                <w:lang w:val="fr-FR"/>
              </w:rPr>
            </w:pPr>
            <w:proofErr w:type="spellStart"/>
            <w:r w:rsidRPr="00804C6F">
              <w:rPr>
                <w:lang w:val="fr-FR"/>
              </w:rPr>
              <w:t>OpenMalaria</w:t>
            </w:r>
            <w:proofErr w:type="spellEnd"/>
          </w:p>
          <w:p w:rsidR="00E07F75" w:rsidRPr="00804C6F" w:rsidRDefault="00E07F75" w:rsidP="007B6068">
            <w:pPr>
              <w:rPr>
                <w:lang w:val="fr-FR"/>
              </w:rPr>
            </w:pPr>
            <w:r w:rsidRPr="00804C6F">
              <w:rPr>
                <w:lang w:val="fr-FR"/>
              </w:rPr>
              <w:t>EMOD</w:t>
            </w:r>
          </w:p>
          <w:p w:rsidR="00E07F75" w:rsidRPr="00804C6F" w:rsidRDefault="00E07F75" w:rsidP="007B6068">
            <w:pPr>
              <w:rPr>
                <w:lang w:val="fr-FR"/>
              </w:rPr>
            </w:pPr>
            <w:r w:rsidRPr="00804C6F">
              <w:rPr>
                <w:lang w:val="fr-FR"/>
              </w:rPr>
              <w:t xml:space="preserve">Griffin </w:t>
            </w:r>
            <w:r w:rsidRPr="00804C6F">
              <w:rPr>
                <w:i/>
                <w:iCs/>
                <w:lang w:val="fr-FR"/>
              </w:rPr>
              <w:t>et. al</w:t>
            </w:r>
          </w:p>
          <w:p w:rsidR="00E07F75" w:rsidRPr="00804C6F" w:rsidRDefault="00E07F75" w:rsidP="007B6068">
            <w:pPr>
              <w:rPr>
                <w:i/>
                <w:iCs/>
                <w:lang w:val="fr-FR"/>
              </w:rPr>
            </w:pPr>
            <w:proofErr w:type="spellStart"/>
            <w:r w:rsidRPr="00804C6F">
              <w:rPr>
                <w:lang w:val="fr-FR"/>
              </w:rPr>
              <w:t>Sauboin</w:t>
            </w:r>
            <w:proofErr w:type="spellEnd"/>
            <w:r w:rsidRPr="00804C6F">
              <w:rPr>
                <w:lang w:val="fr-FR"/>
              </w:rPr>
              <w:t xml:space="preserve"> </w:t>
            </w:r>
            <w:r w:rsidRPr="00804C6F">
              <w:rPr>
                <w:i/>
                <w:iCs/>
                <w:lang w:val="fr-FR"/>
              </w:rPr>
              <w:t>et. al</w:t>
            </w:r>
          </w:p>
        </w:tc>
        <w:tc>
          <w:tcPr>
            <w:tcW w:w="526" w:type="pct"/>
            <w:tcBorders>
              <w:left w:val="nil"/>
              <w:right w:val="nil"/>
            </w:tcBorders>
            <w:vAlign w:val="center"/>
          </w:tcPr>
          <w:p w:rsidR="00E07F75" w:rsidRPr="00804C6F" w:rsidRDefault="00E07F75" w:rsidP="007B6068">
            <w:pPr>
              <w:jc w:val="center"/>
              <w:rPr>
                <w:lang w:val="fr-FR"/>
              </w:rPr>
            </w:pPr>
            <w:r w:rsidRPr="00804C6F">
              <w:rPr>
                <w:lang w:val="fr-FR"/>
              </w:rPr>
              <w:t>4</w:t>
            </w:r>
          </w:p>
        </w:tc>
        <w:tc>
          <w:tcPr>
            <w:tcW w:w="777" w:type="pct"/>
            <w:tcBorders>
              <w:left w:val="nil"/>
              <w:right w:val="nil"/>
            </w:tcBorders>
            <w:vAlign w:val="center"/>
          </w:tcPr>
          <w:p w:rsidR="00E07F75" w:rsidRPr="00804C6F" w:rsidRDefault="00E07F75" w:rsidP="007B6068">
            <w:pPr>
              <w:jc w:val="center"/>
            </w:pPr>
            <w:r w:rsidRPr="00804C6F">
              <w:fldChar w:fldCharType="begin" w:fldLock="1"/>
            </w:r>
            <w:r w:rsidR="000E2723">
              <w:rPr>
                <w:lang w:val="fr-FR"/>
              </w:rPr>
              <w:instrText>ADDIN CSL_CITATION { "citationItems" : [ { "id" : "ITEM-1", "itemData" : { "DOI" : "10.1016/S0140-6736(15)00725-4", "ISBN" : "1474-547X (Electronic) 0140-6736 (Linking)", "ISSN" : "1474547X", "PMID" : "26549466", "abstract" : "Summary Background The phase 3 trial of the RTS,S/AS01 malaria vaccine candidate showed modest efficacy of the vaccine against Plasmodium falciparum malaria, but was not powered to assess mortality endpoints. Impact projections and cost-effectiveness estimates for longer timeframes than the trial follow-up and across a range of settings are needed to inform policy recommendations. We aimed to assess the public health impact and cost-effectiveness of routine use of the RTS,S/AS01 vaccine in African settings. Methods We compared four malaria transmission models and their predictions to assess vaccine cost-effectiveness and impact. We used trial data for follow-up of 32 months or longer to parameterise vaccine protection in the group aged 5-17 months. Estimates of cases, deaths, and disability-adjusted life-years (DALYs) averted were calculated over a 15 year time horizon for a range of levels of Plasmodium falciparum parasite prevalence in 2-10 year olds (PfPR2-10; range 3-65%). We considered two vaccine schedules: three doses at ages 6, 7\u00b75, and 9 months (three-dose schedule, 90% coverage) and including a fourth dose at age 27 months (four-dose schedule, 72% coverage). We estimated cost-effectiveness in the presence of existing malaria interventions for vaccine prices of US$2-10 per dose. Findings In regions with a PfPR2-10 of 10-65%, RTS,S/AS01 is predicted to avert a median of 93940 (range 20490-126540) clinical cases and 394 (127-708) deaths for the three-dose schedule, or 116480 (31450-160410) clinical cases and 484 (189-859) deaths for the four-dose schedule, per 100000 fully vaccinated children. A positive impact is also predicted at a PfPR2-10 of 5-10%, but there is little impact at a prevalence of lower than 3%. At $5 per dose and a PfPR2-10 of 10-65%, we estimated a median incremental cost-effectiveness ratio compared with current interventions of $30 (range 18-211) per clinical case averted and $80 (44-279) per DALY averted for the three-dose schedule, and of $25 (16-222) and $87 (48-244), respectively, for the four-dose schedule. Higher ICERs were estimated at low PfPR2-10 levels. Interpretation We predict a significant public health impact and high cost-effectiveness of the RTS,S/AS01 vaccine across a wide range of settings. Decisions about implementation will need to consider levels of malaria burden, the cost-effectiveness and coverage of other malaria interventions, health priorities, financing, and the capacity of the health system to del\u2026", "author" : [ { "dropping-particle" : "", "family" : "Penny", "given" : "Melissa A.", "non-dropping-particle" : "", "parse-names" : false, "suffix" : "" }, { "dropping-particle" : "", "family" : "Verity", "given" : "Robert", "non-dropping-particle" : "", "parse-names" : false, "suffix" : "" }, { "dropping-particle" : "", "family" : "Bever", "given" : "Caitlin A.", "non-dropping-particle" : "", "parse-names" : false, "suffix" : "" }, { "dropping-particle" : "", "family" : "Sauboin", "given" : "Christophe", "non-dropping-particle" : "", "parse-names" : false, "suffix" : "" }, { "dropping-particle" : "", "family" : "Galactionova", "given" : "Katya", "non-dropping-particle" : "", "parse-names" : false, "suffix" : "" }, { "dropping-particle" : "", "family" : "Flasche", "given" : "Stefan", "non-dropping-particle" : "", "parse-names" : false, "suffix" : "" }, { "dropping-particle" : "", "family" : "White", "given" : "Michael T.", "non-dropping-particle" : "", "parse-names" : false, "suffix" : "" }, { "dropping-particle" : "", "family" : "Wenger", "given" : "Edward A.", "non-dropping-particle" : "", "parse-names" : false, "suffix" : "" }, { "dropping-particle" : "", "family" : "Velde", "given" : "Nicolas", "non-dropping-particle" : "Van De", "parse-names" : false, "suffix" : "" }, { "dropping-particle" : "", "family" : "Pemberton-Ross", "given" : "Peter", "non-dropping-particle" : "", "parse-names" : false, "suffix" : "" }, { "dropping-particle" : "", "family" : "Griffin", "given" : "Jamie T.", "non-dropping-particle" : "", "parse-names" : false, "suffix" : "" }, { "dropping-particle" : "", "family" : "Smith", "given" : "Thomas A.", "non-dropping-particle" : "", "parse-names" : false, "suffix" : "" }, { "dropping-particle" : "", "family" : "Eckhoff", "given" : "Philip A.", "non-dropping-particle" : "", "parse-names" : false, "suffix" : "" }, { "dropping-particle" : "", "family" : "Muhib", "given" : "Farzana", "non-dropping-particle" : "", "parse-names" : false, "suffix" : "" }, { "dropping-particle" : "", "family" : "Jit", "given" : "Mark", "non-dropping-particle" : "", "parse-names" : false, "suffix" : "" }, { "dropping-particle" : "", "family" : "Ghani", "given" : "Azra C.", "non-dropping-particle" : "", "parse-names" : false, "suffix" : "" } ], "container-title" : "The Lancet", "id" : "ITEM-1", "issue" : "10016", "issued" : { "date-parts" : [ [ "2016" ] ] }, "page" : "367-375", "publisher" : "Penny et al. Open Access article distributed under the terms of CC BY", "title" : "Public health impact and cost-effectiveness of the RTS,S/AS01 malaria vaccine: A systematic comparison of predictions from four mathematical models", "type" : "article-journal", "volume" : "387" }, "uris" : [ "http://www.mendeley.com/documents/?uuid=f737696b-0d4a-4925-9323-228dc4be2158" ] } ], "mendeley" : { "formattedCitation" : "[13]", "plainTextFormattedCitation" : "[13]", "previouslyFormattedCitation" : "[110]" }, "properties" : { "noteIndex" : 0 }, "schema" : "https://github.com/citation-style-language/schema/raw/master/csl-citation.json" }</w:instrText>
            </w:r>
            <w:r w:rsidRPr="00804C6F">
              <w:fldChar w:fldCharType="separate"/>
            </w:r>
            <w:r w:rsidR="000E2723" w:rsidRPr="000E2723">
              <w:rPr>
                <w:noProof/>
              </w:rPr>
              <w:t>[13]</w:t>
            </w:r>
            <w:r w:rsidRPr="00804C6F">
              <w:fldChar w:fldCharType="end"/>
            </w:r>
          </w:p>
        </w:tc>
      </w:tr>
      <w:tr w:rsidR="00E07F75" w:rsidRPr="003762EB" w:rsidTr="007B6068">
        <w:trPr>
          <w:trHeight w:val="300"/>
        </w:trPr>
        <w:tc>
          <w:tcPr>
            <w:tcW w:w="1288" w:type="pct"/>
            <w:tcBorders>
              <w:left w:val="nil"/>
              <w:right w:val="single" w:sz="12" w:space="0" w:color="auto"/>
            </w:tcBorders>
            <w:noWrap/>
            <w:vAlign w:val="center"/>
          </w:tcPr>
          <w:p w:rsidR="00E07F75" w:rsidRPr="00804C6F" w:rsidRDefault="00E07F75" w:rsidP="007B6068">
            <w:pPr>
              <w:rPr>
                <w:rFonts w:ascii="Calibri" w:hAnsi="Calibri"/>
                <w:color w:val="000000"/>
              </w:rPr>
            </w:pPr>
            <w:r w:rsidRPr="00804C6F">
              <w:t>Stuckey (2016)</w:t>
            </w:r>
          </w:p>
        </w:tc>
        <w:tc>
          <w:tcPr>
            <w:tcW w:w="1331" w:type="pct"/>
            <w:tcBorders>
              <w:left w:val="single" w:sz="12" w:space="0" w:color="auto"/>
              <w:right w:val="nil"/>
            </w:tcBorders>
            <w:noWrap/>
            <w:vAlign w:val="center"/>
          </w:tcPr>
          <w:p w:rsidR="00E07F75" w:rsidRPr="00804C6F" w:rsidRDefault="00E07F75" w:rsidP="007B6068">
            <w:pPr>
              <w:rPr>
                <w:rFonts w:ascii="Calibri" w:hAnsi="Calibri"/>
                <w:color w:val="000000"/>
              </w:rPr>
            </w:pPr>
            <w:r w:rsidRPr="00804C6F">
              <w:t>Ensemble modelling</w:t>
            </w:r>
          </w:p>
        </w:tc>
        <w:tc>
          <w:tcPr>
            <w:tcW w:w="1077" w:type="pct"/>
            <w:tcBorders>
              <w:left w:val="nil"/>
              <w:right w:val="nil"/>
            </w:tcBorders>
            <w:noWrap/>
            <w:vAlign w:val="center"/>
          </w:tcPr>
          <w:p w:rsidR="00E07F75" w:rsidRPr="00804C6F" w:rsidRDefault="00E07F75" w:rsidP="007B6068">
            <w:proofErr w:type="spellStart"/>
            <w:r w:rsidRPr="00804C6F">
              <w:t>OpenMalaria</w:t>
            </w:r>
            <w:proofErr w:type="spellEnd"/>
          </w:p>
        </w:tc>
        <w:tc>
          <w:tcPr>
            <w:tcW w:w="526" w:type="pct"/>
            <w:tcBorders>
              <w:left w:val="nil"/>
              <w:right w:val="nil"/>
            </w:tcBorders>
            <w:vAlign w:val="center"/>
          </w:tcPr>
          <w:p w:rsidR="00E07F75" w:rsidRPr="00804C6F" w:rsidRDefault="00E07F75" w:rsidP="007B6068">
            <w:pPr>
              <w:jc w:val="center"/>
            </w:pPr>
            <w:r w:rsidRPr="00804C6F">
              <w:t>14</w:t>
            </w:r>
          </w:p>
        </w:tc>
        <w:tc>
          <w:tcPr>
            <w:tcW w:w="777" w:type="pct"/>
            <w:tcBorders>
              <w:left w:val="nil"/>
              <w:right w:val="nil"/>
            </w:tcBorders>
            <w:vAlign w:val="center"/>
          </w:tcPr>
          <w:p w:rsidR="00E07F75" w:rsidRPr="00804C6F" w:rsidRDefault="00E07F75" w:rsidP="007B6068">
            <w:pPr>
              <w:jc w:val="center"/>
              <w:rPr>
                <w:lang w:val="fr-FR"/>
              </w:rPr>
            </w:pPr>
            <w:r w:rsidRPr="00804C6F">
              <w:fldChar w:fldCharType="begin" w:fldLock="1"/>
            </w:r>
            <w:r w:rsidR="000E2723">
              <w:instrText>ADDIN CSL_CITATION { "citationItems" : [ { "id" : "ITEM-1", "itemData" : { "DOI" : "10.1186/s12936-016-1202-0", "ISBN" : "1475-2875", "abstract" : "Background: Malaria elimination requires reducing both the potential of mosquitoes to transmit parasites to humans and humans to transmit parasites to mosquitoes. To achieve this goal in Southern province, Zambia a mass test and treat (MTAT) campaign was conducted from 2011\u20132013 to complement high coverage of long-lasting insecticide-treated nets (LLIN). To identify factors likely to increase campaign effectiveness, a modelling approach was applied to investigate the simulated effect of alternative operational strategies for parasite clearance in southern province. Methods: OpenMalaria, a discrete-time, individual-based stochastic model of malaria, was parameterized for the study area to simulate anti-malarial drug administration for interruption of transmission. Simulations were run for scenarios with a range of artemisinin-combination therapies, proportion of the population reached by the campaign, targeted age groups, time between campaign rounds, Plasmodium falciparum test protocols, and the addition of drugs aimed at preventing onward transmission. A sensitivity analysis was conducted to assess uncertainty of simulation results. Scenarios were evaluated based on the reduction in all-age parasite prevalence during the peak transmission month one year following the campaign, compared to the currently-implemented strategy of MTAT 19 % population coverage at pilot and 40 % coverage during the first year of implementation in the presence of 56 % LLIN use and 18 % indoor residual spray coverage. Results: Simulation results suggest the most important determinant of success in reducing prevalence is the population coverage achieved in the campaign, which would require more than 1 year of campaign implementation for elimination. The inclusion of single low-dose primaquine, which acts as a gametocytocide, or ivermectin, which acts as an endectocide, to the drug regimen did not further reduce parasite prevalence one year following the campaign compared to the currently-implemented strategy. Simulation results indicate a high proportion of low-density infec- tions were missed by rapid diagnostic tests that would be treated and cleared with mass drug administration (MDA). Conclusions: The optimal implementation strategy for MTAT or MDA will vary by background level of prevalence, by rate of infections imported to the area, and by ability to operationally achieve high population coverage. Overall success with new parasite clearance strategies depends on continue\u2026", "author" : [ { "dropping-particle" : "", "family" : "Stuckey", "given" : "Erin M", "non-dropping-particle" : "", "parse-names" : false, "suffix" : "" }, { "dropping-particle" : "", "family" : "Miller", "given" : "John M", "non-dropping-particle" : "", "parse-names" : false, "suffix" : "" }, { "dropping-particle" : "", "family" : "Littrell", "given" : "Megan", "non-dropping-particle" : "", "parse-names" : false, "suffix" : "" }, { "dropping-particle" : "", "family" : "Chitnis", "given" : "Nakul", "non-dropping-particle" : "", "parse-names" : false, "suffix" : "" }, { "dropping-particle" : "", "family" : "Steketee", "given" : "Rick", "non-dropping-particle" : "", "parse-names" : false, "suffix" : "" } ], "container-title" : "Malaria Journal", "id" : "ITEM-1", "issue" : "1", "issued" : { "date-parts" : [ [ "2016" ] ] }, "page" : "148-161", "title" : "Operational strategies of anti-malarial drug campaigns for malaria elimination in Zambia\u2019s southern province: a simulation study", "type" : "article-journal", "volume" : "15" }, "uris" : [ "http://www.mendeley.com/documents/?uuid=404ba509-a154-43a8-8852-739510078402" ] } ], "mendeley" : { "formattedCitation" : "[14]", "plainTextFormattedCitation" : "[14]", "previouslyFormattedCitation" : "[111]" }, "properties" : { "noteIndex" : 0 }, "schema" : "https://github.com/citation-style-language/schema/raw/master/csl-citation.json" }</w:instrText>
            </w:r>
            <w:r w:rsidRPr="00804C6F">
              <w:fldChar w:fldCharType="separate"/>
            </w:r>
            <w:r w:rsidR="000E2723" w:rsidRPr="000E2723">
              <w:rPr>
                <w:noProof/>
                <w:lang w:val="fr-FR"/>
              </w:rPr>
              <w:t>[14]</w:t>
            </w:r>
            <w:r w:rsidRPr="00804C6F">
              <w:fldChar w:fldCharType="end"/>
            </w:r>
          </w:p>
        </w:tc>
      </w:tr>
      <w:tr w:rsidR="00E07F75" w:rsidRPr="00F61647" w:rsidTr="007B6068">
        <w:trPr>
          <w:trHeight w:val="300"/>
        </w:trPr>
        <w:tc>
          <w:tcPr>
            <w:tcW w:w="1288" w:type="pct"/>
            <w:tcBorders>
              <w:left w:val="nil"/>
              <w:bottom w:val="nil"/>
              <w:right w:val="single" w:sz="12" w:space="0" w:color="auto"/>
            </w:tcBorders>
            <w:noWrap/>
            <w:vAlign w:val="center"/>
          </w:tcPr>
          <w:p w:rsidR="00E07F75" w:rsidRPr="00804C6F" w:rsidRDefault="00E07F75" w:rsidP="007B6068">
            <w:pPr>
              <w:rPr>
                <w:rFonts w:ascii="Calibri" w:hAnsi="Calibri"/>
                <w:i/>
                <w:iCs/>
                <w:color w:val="000000"/>
                <w:lang w:val="fr-FR"/>
              </w:rPr>
            </w:pPr>
            <w:r w:rsidRPr="00804C6F">
              <w:rPr>
                <w:rFonts w:ascii="Calibri" w:hAnsi="Calibri"/>
                <w:color w:val="000000"/>
                <w:lang w:val="fr-FR"/>
              </w:rPr>
              <w:t>Brady(2017)</w:t>
            </w:r>
          </w:p>
        </w:tc>
        <w:tc>
          <w:tcPr>
            <w:tcW w:w="1331" w:type="pct"/>
            <w:tcBorders>
              <w:left w:val="single" w:sz="12" w:space="0" w:color="auto"/>
              <w:bottom w:val="nil"/>
              <w:right w:val="nil"/>
            </w:tcBorders>
            <w:noWrap/>
            <w:vAlign w:val="center"/>
          </w:tcPr>
          <w:p w:rsidR="00E07F75" w:rsidRPr="00804C6F" w:rsidRDefault="00E07F75" w:rsidP="007B6068">
            <w:pPr>
              <w:rPr>
                <w:rFonts w:ascii="Calibri" w:hAnsi="Calibri"/>
                <w:color w:val="000000"/>
                <w:lang w:val="fr-FR"/>
              </w:rPr>
            </w:pPr>
            <w:r w:rsidRPr="00804C6F">
              <w:rPr>
                <w:rFonts w:ascii="Calibri" w:hAnsi="Calibri"/>
                <w:color w:val="000000"/>
                <w:lang w:val="fr-FR"/>
              </w:rPr>
              <w:t>Cross-</w:t>
            </w:r>
            <w:proofErr w:type="spellStart"/>
            <w:r w:rsidRPr="00804C6F">
              <w:rPr>
                <w:rFonts w:ascii="Calibri" w:hAnsi="Calibri"/>
                <w:color w:val="000000"/>
                <w:lang w:val="fr-FR"/>
              </w:rPr>
              <w:t>comparison</w:t>
            </w:r>
            <w:proofErr w:type="spellEnd"/>
          </w:p>
        </w:tc>
        <w:tc>
          <w:tcPr>
            <w:tcW w:w="1077" w:type="pct"/>
            <w:tcBorders>
              <w:left w:val="nil"/>
              <w:bottom w:val="nil"/>
              <w:right w:val="nil"/>
            </w:tcBorders>
            <w:noWrap/>
            <w:vAlign w:val="center"/>
          </w:tcPr>
          <w:p w:rsidR="00E07F75" w:rsidRPr="00804C6F" w:rsidRDefault="00E07F75" w:rsidP="007B6068">
            <w:pPr>
              <w:rPr>
                <w:lang w:val="fr-FR"/>
              </w:rPr>
            </w:pPr>
            <w:proofErr w:type="spellStart"/>
            <w:r w:rsidRPr="00804C6F">
              <w:rPr>
                <w:lang w:val="fr-FR"/>
              </w:rPr>
              <w:t>OpenMalaria</w:t>
            </w:r>
            <w:proofErr w:type="spellEnd"/>
          </w:p>
          <w:p w:rsidR="00E07F75" w:rsidRPr="00804C6F" w:rsidRDefault="00E07F75" w:rsidP="007B6068">
            <w:pPr>
              <w:rPr>
                <w:lang w:val="fr-FR"/>
              </w:rPr>
            </w:pPr>
            <w:r w:rsidRPr="00804C6F">
              <w:rPr>
                <w:lang w:val="fr-FR"/>
              </w:rPr>
              <w:t>EMOD</w:t>
            </w:r>
          </w:p>
          <w:p w:rsidR="00E07F75" w:rsidRPr="00804C6F" w:rsidRDefault="00E07F75" w:rsidP="007B6068">
            <w:pPr>
              <w:rPr>
                <w:i/>
                <w:iCs/>
                <w:lang w:val="fr-FR"/>
              </w:rPr>
            </w:pPr>
            <w:r w:rsidRPr="00804C6F">
              <w:rPr>
                <w:lang w:val="fr-FR"/>
              </w:rPr>
              <w:t xml:space="preserve">Griffin </w:t>
            </w:r>
            <w:r w:rsidRPr="00804C6F">
              <w:rPr>
                <w:i/>
                <w:iCs/>
                <w:lang w:val="fr-FR"/>
              </w:rPr>
              <w:t>et. al</w:t>
            </w:r>
          </w:p>
          <w:p w:rsidR="00E07F75" w:rsidRPr="00804C6F" w:rsidRDefault="00E07F75" w:rsidP="007B6068">
            <w:pPr>
              <w:rPr>
                <w:i/>
                <w:iCs/>
                <w:lang w:val="fr-FR"/>
              </w:rPr>
            </w:pPr>
            <w:r w:rsidRPr="00804C6F">
              <w:rPr>
                <w:lang w:val="fr-FR"/>
              </w:rPr>
              <w:t xml:space="preserve">Maude </w:t>
            </w:r>
            <w:r w:rsidRPr="00804C6F">
              <w:rPr>
                <w:i/>
                <w:iCs/>
                <w:lang w:val="fr-FR"/>
              </w:rPr>
              <w:t>et. al</w:t>
            </w:r>
          </w:p>
        </w:tc>
        <w:tc>
          <w:tcPr>
            <w:tcW w:w="526" w:type="pct"/>
            <w:tcBorders>
              <w:left w:val="nil"/>
              <w:bottom w:val="nil"/>
              <w:right w:val="nil"/>
            </w:tcBorders>
            <w:vAlign w:val="center"/>
          </w:tcPr>
          <w:p w:rsidR="00E07F75" w:rsidRPr="00804C6F" w:rsidRDefault="00E07F75" w:rsidP="007B6068">
            <w:pPr>
              <w:jc w:val="center"/>
              <w:rPr>
                <w:lang w:val="fr-FR"/>
              </w:rPr>
            </w:pPr>
            <w:r w:rsidRPr="00804C6F">
              <w:rPr>
                <w:lang w:val="fr-FR"/>
              </w:rPr>
              <w:t>4</w:t>
            </w:r>
          </w:p>
        </w:tc>
        <w:tc>
          <w:tcPr>
            <w:tcW w:w="777" w:type="pct"/>
            <w:tcBorders>
              <w:left w:val="nil"/>
              <w:bottom w:val="nil"/>
              <w:right w:val="nil"/>
            </w:tcBorders>
            <w:vAlign w:val="center"/>
          </w:tcPr>
          <w:p w:rsidR="00E07F75" w:rsidRPr="00F61647" w:rsidRDefault="00E07F75" w:rsidP="007B6068">
            <w:pPr>
              <w:jc w:val="center"/>
            </w:pPr>
            <w:r w:rsidRPr="00804C6F">
              <w:fldChar w:fldCharType="begin" w:fldLock="1"/>
            </w:r>
            <w:r w:rsidR="000E2723">
              <w:rPr>
                <w:lang w:val="fr-FR"/>
              </w:rPr>
              <w:instrText>ADDIN CSL_CITATION { "citationItems" : [ { "id" : "ITEM-1", "itemData" : { "DOI" : "10.1016/S2214-109X(17)30220-6", "ISSN" : "2214109X", "PMID" : "28566213", "abstract" : "Background Mass drug administration for elimination of Plasmodium falciparum malaria is recommended by WHO in some settings. We used consensus modelling to understand how to optimise the effects of mass drug administration in areas with low malaria transmission. Methods We collaborated with researchers doing field trials to establish a standard intervention scenario and standard transmission setting, and we input these parameters into four previously published models. We then varied the number of rounds of mass drug administration, coverage, duration, timing, importation of infection, and pre-administration transmission levels. The outcome of interest was the percentage reduction in annual mean prevalence of P falciparum parasite rate as measured by PCR in the third year after the final round of mass drug administration. Findings The models predicted differing magnitude of the effects of mass drug administration, but consensus answers were reached for several factors. Mass drug administration was predicted to reduce transmission over a longer timescale than accounted for by the prophylactic effect alone. Percentage reduction in transmission was predicted to be higher and last longer at lower baseline transmission levels. Reduction in transmission resulting from mass drug administration was predicted to be temporary, and in the absence of scale-up of other interventions, such as vector control, transmission would return to pre-administration levels. The proportion of the population treated in a year was a key determinant of simulated effectiveness, irrespective of whether people are treated through high coverage in a single round or new individuals are reached by implementation of several rounds. Mass drug administration was predicted to be more effective if continued over 2 years rather than 1 year, and if done at the time of year when transmission is lowest. Interpretation Mass drug administration has the potential to reduce transmission for a limited time, but is not an effective replacement for existing vector control. Unless elimination is achieved, mass drug administration has to be repeated regularly for sustained effect. Funding Bill &amp; Melinda Gates Foundation.", "author" : [ { "dropping-particle" : "", "family" : "Brady", "given" : "Oliver J.", "non-dropping-particle" : "", "parse-names" : false, "suffix" : "" }, { "dropping-particle" : "", "family" : "Slater", "given" : "Hannah C.", "non-dropping-particle" : "", "parse-names" : false, "suffix" : "" }, { "dropping-particle" : "", "family" : "Pemberton-Ross", "given" : "Peter", "non-dropping-particle" : "", "parse-names" : false, "suffix" : "" }, { "dropping-particle" : "", "family" : "Wenger", "given" : "Edward", "non-dropping-particle" : "", "parse-names" : false, "suffix" : "" }, { "dropping-particle" : "", "family" : "Maude", "given" : "Richard J.", "non-dropping-particle" : "", "parse-names" : false, "suffix" : "" }, { "dropping-particle" : "", "family" : "Ghani", "given" : "Azra C.", "non-dropping-particle" : "", "parse-names" : false, "suffix" : "" }, { "dropping-particle" : "", "family" : "Penny", "given" : "Melissa A.", "non-dropping-particle" : "", "parse-names" : false, "suffix" : "" }, { "dropping-particle" : "", "family" : "Gerardin", "given" : "Jaline", "non-dropping-particle" : "", "parse-names" : false, "suffix" : "" }, { "dropping-particle" : "", "family" : "White", "given" : "Lisa J.", "non-dropping-particle" : "", "parse-names" : false, "suffix" : "" }, { "dropping-particle" : "", "family" : "Chitnis", "given" : "Nakul", "non-dropping-particle" : "", "parse-names" : false, "suffix" : "" }, { "dropping-particle" : "", "family" : "Aguas", "given" : "Ricardo", "non-dropping-particle" : "", "parse-names" : false, "suffix" : "" }, { "dropping-particle" : "", "family" : "Hay", "given" : "Simon I.", "non-dropping-particle" : "", "parse-names" : false, "suffix" : "" }, { "dropping-particle" : "", "family" : "Smith", "given" : "David L.", "non-dropping-particle" : "", "parse-names" : false, "suffix" : "" }, { "dropping-particle" : "", "family" : "Stuckey", "given" : "Erin M.", "non-dropping-particle" : "", "parse-names" : false, "suffix" : "" }, { "dropping-particle" : "", "family" : "Okiro", "given" : "Emelda A.", "non-dropping-particle" : "", "parse-names" : false, "suffix" : "" }, { "dropping-particle" : "", "family" : "Smith", "given" : "Thomas A.", "non-dropping-particle" : "", "parse-names" : false, "suffix" : "" }, { "dropping-particle" : "", "family" : "Okell", "given" : "Lucy C.", "non-dropping-particle" : "", "parse-names" : false, "suffix" : "" } ], "container-title" : "The Lancet Global Health", "id" : "ITEM-1", "issue" : "7", "issued" : { "date-parts" : [ [ "2017" ] ] }, "page" : "e680-e687", "publisher" : "The Author(s). Published by Elsevier Ltd. This is an Open Access article under the CC BY 4.0 license.", "title" : "Role of mass drug administration in elimination of Plasmodium falciparum malaria: a consensus modelling study", "type" : "article-journal", "volume" : "5" }, "uris" : [ "http://www.mendeley.com/documents/?uuid=494c295b-dc6b-4399-97aa-3927470b02e8" ] } ], "mendeley" : { "formattedCitation" : "[15]", "plainTextFormattedCitation" : "[15]", "previouslyFormattedCitation" : "[112]" }, "properties" : { "noteIndex" : 0 }, "schema" : "https://github.com/citation-style-language/schema/raw/master/csl-citation.json" }</w:instrText>
            </w:r>
            <w:r w:rsidRPr="00804C6F">
              <w:fldChar w:fldCharType="separate"/>
            </w:r>
            <w:r w:rsidR="000E2723" w:rsidRPr="000E2723">
              <w:rPr>
                <w:noProof/>
              </w:rPr>
              <w:t>[15]</w:t>
            </w:r>
            <w:r w:rsidRPr="00804C6F">
              <w:fldChar w:fldCharType="end"/>
            </w:r>
          </w:p>
        </w:tc>
      </w:tr>
    </w:tbl>
    <w:p w:rsidR="00F15747" w:rsidRDefault="000E2723"/>
    <w:p w:rsidR="000E2723" w:rsidRDefault="000E2723" w:rsidP="000E2723">
      <w:pPr>
        <w:pStyle w:val="Heading2"/>
      </w:pPr>
      <w:r>
        <w:t>References</w:t>
      </w:r>
      <w:bookmarkStart w:id="0" w:name="_GoBack"/>
      <w:bookmarkEnd w:id="0"/>
    </w:p>
    <w:p w:rsidR="000E2723" w:rsidRPr="000E2723" w:rsidRDefault="000E2723" w:rsidP="000E2723">
      <w:pPr>
        <w:widowControl w:val="0"/>
        <w:autoSpaceDE w:val="0"/>
        <w:autoSpaceDN w:val="0"/>
        <w:adjustRightInd w:val="0"/>
        <w:spacing w:line="240" w:lineRule="auto"/>
        <w:ind w:left="640" w:hanging="640"/>
        <w:rPr>
          <w:rFonts w:ascii="Calibri" w:hAnsi="Calibri" w:cs="Calibri"/>
          <w:noProof/>
          <w:szCs w:val="24"/>
        </w:rPr>
      </w:pPr>
      <w:r>
        <w:fldChar w:fldCharType="begin" w:fldLock="1"/>
      </w:r>
      <w:r>
        <w:instrText xml:space="preserve">ADDIN Mendeley Bibliography CSL_BIBLIOGRAPHY </w:instrText>
      </w:r>
      <w:r>
        <w:fldChar w:fldCharType="separate"/>
      </w:r>
      <w:r w:rsidRPr="000E2723">
        <w:rPr>
          <w:rFonts w:ascii="Calibri" w:hAnsi="Calibri" w:cs="Calibri"/>
          <w:noProof/>
          <w:szCs w:val="24"/>
        </w:rPr>
        <w:t xml:space="preserve">1. </w:t>
      </w:r>
      <w:r w:rsidRPr="000E2723">
        <w:rPr>
          <w:rFonts w:ascii="Calibri" w:hAnsi="Calibri" w:cs="Calibri"/>
          <w:noProof/>
          <w:szCs w:val="24"/>
        </w:rPr>
        <w:tab/>
        <w:t xml:space="preserve">Briët OJT, Hardy D, Smith TA. 2012 Importance of factors determining the effective lifetime of a mass, long-lasting, insecticidal net distribution: a sensitivity analysis. </w:t>
      </w:r>
      <w:r w:rsidRPr="000E2723">
        <w:rPr>
          <w:rFonts w:ascii="Calibri" w:hAnsi="Calibri" w:cs="Calibri"/>
          <w:i/>
          <w:iCs/>
          <w:noProof/>
          <w:szCs w:val="24"/>
        </w:rPr>
        <w:t>Malar J</w:t>
      </w:r>
      <w:r w:rsidRPr="000E2723">
        <w:rPr>
          <w:rFonts w:ascii="Calibri" w:hAnsi="Calibri" w:cs="Calibri"/>
          <w:noProof/>
          <w:szCs w:val="24"/>
        </w:rPr>
        <w:t xml:space="preserve"> </w:t>
      </w:r>
      <w:r w:rsidRPr="000E2723">
        <w:rPr>
          <w:rFonts w:ascii="Calibri" w:hAnsi="Calibri" w:cs="Calibri"/>
          <w:b/>
          <w:bCs/>
          <w:noProof/>
          <w:szCs w:val="24"/>
        </w:rPr>
        <w:t>11</w:t>
      </w:r>
      <w:r w:rsidRPr="000E2723">
        <w:rPr>
          <w:rFonts w:ascii="Calibri" w:hAnsi="Calibri" w:cs="Calibri"/>
          <w:noProof/>
          <w:szCs w:val="24"/>
        </w:rPr>
        <w:t>(1):20. (doi:10.1186/1475-2875-11-20)</w:t>
      </w:r>
    </w:p>
    <w:p w:rsidR="000E2723" w:rsidRPr="000E2723" w:rsidRDefault="000E2723" w:rsidP="000E2723">
      <w:pPr>
        <w:widowControl w:val="0"/>
        <w:autoSpaceDE w:val="0"/>
        <w:autoSpaceDN w:val="0"/>
        <w:adjustRightInd w:val="0"/>
        <w:spacing w:line="240" w:lineRule="auto"/>
        <w:ind w:left="640" w:hanging="640"/>
        <w:rPr>
          <w:rFonts w:ascii="Calibri" w:hAnsi="Calibri" w:cs="Calibri"/>
          <w:noProof/>
          <w:szCs w:val="24"/>
        </w:rPr>
      </w:pPr>
      <w:r w:rsidRPr="000E2723">
        <w:rPr>
          <w:rFonts w:ascii="Calibri" w:hAnsi="Calibri" w:cs="Calibri"/>
          <w:noProof/>
          <w:szCs w:val="24"/>
        </w:rPr>
        <w:t xml:space="preserve">2. </w:t>
      </w:r>
      <w:r w:rsidRPr="000E2723">
        <w:rPr>
          <w:rFonts w:ascii="Calibri" w:hAnsi="Calibri" w:cs="Calibri"/>
          <w:noProof/>
          <w:szCs w:val="24"/>
        </w:rPr>
        <w:tab/>
        <w:t xml:space="preserve">Smith T, Ross A, Maire N, Chitnis N, Studer A, Hardy D, Brooks A, Penny M, Tanner M. 2012 Ensemble modeling of the likely public health impact of a pre-erythrocytic malaria vaccine. </w:t>
      </w:r>
      <w:r w:rsidRPr="000E2723">
        <w:rPr>
          <w:rFonts w:ascii="Calibri" w:hAnsi="Calibri" w:cs="Calibri"/>
          <w:i/>
          <w:iCs/>
          <w:noProof/>
          <w:szCs w:val="24"/>
        </w:rPr>
        <w:t>PLoS Med</w:t>
      </w:r>
      <w:r w:rsidRPr="000E2723">
        <w:rPr>
          <w:rFonts w:ascii="Calibri" w:hAnsi="Calibri" w:cs="Calibri"/>
          <w:noProof/>
          <w:szCs w:val="24"/>
        </w:rPr>
        <w:t xml:space="preserve"> </w:t>
      </w:r>
      <w:r w:rsidRPr="000E2723">
        <w:rPr>
          <w:rFonts w:ascii="Calibri" w:hAnsi="Calibri" w:cs="Calibri"/>
          <w:b/>
          <w:bCs/>
          <w:noProof/>
          <w:szCs w:val="24"/>
        </w:rPr>
        <w:t>9</w:t>
      </w:r>
      <w:r w:rsidRPr="000E2723">
        <w:rPr>
          <w:rFonts w:ascii="Calibri" w:hAnsi="Calibri" w:cs="Calibri"/>
          <w:noProof/>
          <w:szCs w:val="24"/>
        </w:rPr>
        <w:t xml:space="preserve">(1):e1001157. </w:t>
      </w:r>
    </w:p>
    <w:p w:rsidR="000E2723" w:rsidRPr="000E2723" w:rsidRDefault="000E2723" w:rsidP="000E2723">
      <w:pPr>
        <w:widowControl w:val="0"/>
        <w:autoSpaceDE w:val="0"/>
        <w:autoSpaceDN w:val="0"/>
        <w:adjustRightInd w:val="0"/>
        <w:spacing w:line="240" w:lineRule="auto"/>
        <w:ind w:left="640" w:hanging="640"/>
        <w:rPr>
          <w:rFonts w:ascii="Calibri" w:hAnsi="Calibri" w:cs="Calibri"/>
          <w:noProof/>
          <w:szCs w:val="24"/>
        </w:rPr>
      </w:pPr>
      <w:r w:rsidRPr="000E2723">
        <w:rPr>
          <w:rFonts w:ascii="Calibri" w:hAnsi="Calibri" w:cs="Calibri"/>
          <w:noProof/>
          <w:szCs w:val="24"/>
        </w:rPr>
        <w:t xml:space="preserve">3. </w:t>
      </w:r>
      <w:r w:rsidRPr="000E2723">
        <w:rPr>
          <w:rFonts w:ascii="Calibri" w:hAnsi="Calibri" w:cs="Calibri"/>
          <w:noProof/>
          <w:szCs w:val="24"/>
        </w:rPr>
        <w:tab/>
        <w:t xml:space="preserve">Stuckey EM, Stevenson JC, Cooke MK, Owaga C, Marube E, Oando G, et al. 2012 Simulation of malaria epidemiology and control in the highlands of western Kenya. </w:t>
      </w:r>
      <w:r w:rsidRPr="000E2723">
        <w:rPr>
          <w:rFonts w:ascii="Calibri" w:hAnsi="Calibri" w:cs="Calibri"/>
          <w:i/>
          <w:iCs/>
          <w:noProof/>
          <w:szCs w:val="24"/>
        </w:rPr>
        <w:t>Malar J</w:t>
      </w:r>
      <w:r w:rsidRPr="000E2723">
        <w:rPr>
          <w:rFonts w:ascii="Calibri" w:hAnsi="Calibri" w:cs="Calibri"/>
          <w:noProof/>
          <w:szCs w:val="24"/>
        </w:rPr>
        <w:t xml:space="preserve"> </w:t>
      </w:r>
      <w:r w:rsidRPr="000E2723">
        <w:rPr>
          <w:rFonts w:ascii="Calibri" w:hAnsi="Calibri" w:cs="Calibri"/>
          <w:b/>
          <w:bCs/>
          <w:noProof/>
          <w:szCs w:val="24"/>
        </w:rPr>
        <w:t>11</w:t>
      </w:r>
      <w:r w:rsidRPr="000E2723">
        <w:rPr>
          <w:rFonts w:ascii="Calibri" w:hAnsi="Calibri" w:cs="Calibri"/>
          <w:noProof/>
          <w:szCs w:val="24"/>
        </w:rPr>
        <w:t>(1):357–70. (doi:10.1186/1475-2875-11-357)</w:t>
      </w:r>
    </w:p>
    <w:p w:rsidR="000E2723" w:rsidRPr="000E2723" w:rsidRDefault="000E2723" w:rsidP="000E2723">
      <w:pPr>
        <w:widowControl w:val="0"/>
        <w:autoSpaceDE w:val="0"/>
        <w:autoSpaceDN w:val="0"/>
        <w:adjustRightInd w:val="0"/>
        <w:spacing w:line="240" w:lineRule="auto"/>
        <w:ind w:left="640" w:hanging="640"/>
        <w:rPr>
          <w:rFonts w:ascii="Calibri" w:hAnsi="Calibri" w:cs="Calibri"/>
          <w:noProof/>
          <w:szCs w:val="24"/>
        </w:rPr>
      </w:pPr>
      <w:r w:rsidRPr="000E2723">
        <w:rPr>
          <w:rFonts w:ascii="Calibri" w:hAnsi="Calibri" w:cs="Calibri"/>
          <w:noProof/>
          <w:szCs w:val="24"/>
        </w:rPr>
        <w:t xml:space="preserve">4. </w:t>
      </w:r>
      <w:r w:rsidRPr="000E2723">
        <w:rPr>
          <w:rFonts w:ascii="Calibri" w:hAnsi="Calibri" w:cs="Calibri"/>
          <w:noProof/>
          <w:szCs w:val="24"/>
        </w:rPr>
        <w:tab/>
        <w:t xml:space="preserve">Briët OJT, Penny MA, Hardy D, Awolola TS, Bortel W Van, Corbel V, et al. 2013 Effects of pyrethroid resistance on the cost effectiveness of a mass distribution of long- lasting insecticidal nets : a modelling study. :1–12. </w:t>
      </w:r>
    </w:p>
    <w:p w:rsidR="000E2723" w:rsidRPr="000E2723" w:rsidRDefault="000E2723" w:rsidP="000E2723">
      <w:pPr>
        <w:widowControl w:val="0"/>
        <w:autoSpaceDE w:val="0"/>
        <w:autoSpaceDN w:val="0"/>
        <w:adjustRightInd w:val="0"/>
        <w:spacing w:line="240" w:lineRule="auto"/>
        <w:ind w:left="640" w:hanging="640"/>
        <w:rPr>
          <w:rFonts w:ascii="Calibri" w:hAnsi="Calibri" w:cs="Calibri"/>
          <w:noProof/>
          <w:szCs w:val="24"/>
        </w:rPr>
      </w:pPr>
      <w:r w:rsidRPr="000E2723">
        <w:rPr>
          <w:rFonts w:ascii="Calibri" w:hAnsi="Calibri" w:cs="Calibri"/>
          <w:noProof/>
          <w:szCs w:val="24"/>
        </w:rPr>
        <w:t xml:space="preserve">5. </w:t>
      </w:r>
      <w:r w:rsidRPr="000E2723">
        <w:rPr>
          <w:rFonts w:ascii="Calibri" w:hAnsi="Calibri" w:cs="Calibri"/>
          <w:noProof/>
          <w:szCs w:val="24"/>
        </w:rPr>
        <w:tab/>
        <w:t xml:space="preserve">Briët OJT, Chitnis N. 2013 Effects of changing mosquito host searching behaviour on the cost effectiveness of a mass distribution of long-lasting , insecticidal nets : a modelling study. :1–11. </w:t>
      </w:r>
    </w:p>
    <w:p w:rsidR="000E2723" w:rsidRPr="000E2723" w:rsidRDefault="000E2723" w:rsidP="000E2723">
      <w:pPr>
        <w:widowControl w:val="0"/>
        <w:autoSpaceDE w:val="0"/>
        <w:autoSpaceDN w:val="0"/>
        <w:adjustRightInd w:val="0"/>
        <w:spacing w:line="240" w:lineRule="auto"/>
        <w:ind w:left="640" w:hanging="640"/>
        <w:rPr>
          <w:rFonts w:ascii="Calibri" w:hAnsi="Calibri" w:cs="Calibri"/>
          <w:noProof/>
          <w:szCs w:val="24"/>
        </w:rPr>
      </w:pPr>
      <w:r w:rsidRPr="000E2723">
        <w:rPr>
          <w:rFonts w:ascii="Calibri" w:hAnsi="Calibri" w:cs="Calibri"/>
          <w:noProof/>
          <w:szCs w:val="24"/>
        </w:rPr>
        <w:t xml:space="preserve">6. </w:t>
      </w:r>
      <w:r w:rsidRPr="000E2723">
        <w:rPr>
          <w:rFonts w:ascii="Calibri" w:hAnsi="Calibri" w:cs="Calibri"/>
          <w:noProof/>
          <w:szCs w:val="24"/>
        </w:rPr>
        <w:tab/>
        <w:t xml:space="preserve">Briët OJT, Penny MA. 2013 Repeated mass distributions and continuous distribution of long-lasting insecticidal nets: modelling sustainability of health benefits from mosquito nets, depending on case management. </w:t>
      </w:r>
      <w:r w:rsidRPr="000E2723">
        <w:rPr>
          <w:rFonts w:ascii="Calibri" w:hAnsi="Calibri" w:cs="Calibri"/>
          <w:i/>
          <w:iCs/>
          <w:noProof/>
          <w:szCs w:val="24"/>
        </w:rPr>
        <w:t>Malar J</w:t>
      </w:r>
      <w:r w:rsidRPr="000E2723">
        <w:rPr>
          <w:rFonts w:ascii="Calibri" w:hAnsi="Calibri" w:cs="Calibri"/>
          <w:noProof/>
          <w:szCs w:val="24"/>
        </w:rPr>
        <w:t xml:space="preserve"> </w:t>
      </w:r>
      <w:r w:rsidRPr="000E2723">
        <w:rPr>
          <w:rFonts w:ascii="Calibri" w:hAnsi="Calibri" w:cs="Calibri"/>
          <w:b/>
          <w:bCs/>
          <w:noProof/>
          <w:szCs w:val="24"/>
        </w:rPr>
        <w:t>12</w:t>
      </w:r>
      <w:r w:rsidRPr="000E2723">
        <w:rPr>
          <w:rFonts w:ascii="Calibri" w:hAnsi="Calibri" w:cs="Calibri"/>
          <w:noProof/>
          <w:szCs w:val="24"/>
        </w:rPr>
        <w:t>(1):401–19. (doi:10.1186/1475-2875-12-401)</w:t>
      </w:r>
    </w:p>
    <w:p w:rsidR="000E2723" w:rsidRPr="000E2723" w:rsidRDefault="000E2723" w:rsidP="000E2723">
      <w:pPr>
        <w:widowControl w:val="0"/>
        <w:autoSpaceDE w:val="0"/>
        <w:autoSpaceDN w:val="0"/>
        <w:adjustRightInd w:val="0"/>
        <w:spacing w:line="240" w:lineRule="auto"/>
        <w:ind w:left="640" w:hanging="640"/>
        <w:rPr>
          <w:rFonts w:ascii="Calibri" w:hAnsi="Calibri" w:cs="Calibri"/>
          <w:noProof/>
          <w:szCs w:val="24"/>
        </w:rPr>
      </w:pPr>
      <w:r w:rsidRPr="000E2723">
        <w:rPr>
          <w:rFonts w:ascii="Calibri" w:hAnsi="Calibri" w:cs="Calibri"/>
          <w:noProof/>
          <w:szCs w:val="24"/>
        </w:rPr>
        <w:t xml:space="preserve">7. </w:t>
      </w:r>
      <w:r w:rsidRPr="000E2723">
        <w:rPr>
          <w:rFonts w:ascii="Calibri" w:hAnsi="Calibri" w:cs="Calibri"/>
          <w:noProof/>
          <w:szCs w:val="24"/>
        </w:rPr>
        <w:tab/>
        <w:t xml:space="preserve">Stuckey EM, Stevenson J, Galactionova K, Baidjoe AY, Bousema T, Odongo W, et al. 2014 Modeling the cost effectiveness of malaria control interventions in the highlands of western Kenya. </w:t>
      </w:r>
      <w:r w:rsidRPr="000E2723">
        <w:rPr>
          <w:rFonts w:ascii="Calibri" w:hAnsi="Calibri" w:cs="Calibri"/>
          <w:i/>
          <w:iCs/>
          <w:noProof/>
          <w:szCs w:val="24"/>
        </w:rPr>
        <w:t>PLoS One</w:t>
      </w:r>
      <w:r w:rsidRPr="000E2723">
        <w:rPr>
          <w:rFonts w:ascii="Calibri" w:hAnsi="Calibri" w:cs="Calibri"/>
          <w:noProof/>
          <w:szCs w:val="24"/>
        </w:rPr>
        <w:t xml:space="preserve"> </w:t>
      </w:r>
      <w:r w:rsidRPr="000E2723">
        <w:rPr>
          <w:rFonts w:ascii="Calibri" w:hAnsi="Calibri" w:cs="Calibri"/>
          <w:b/>
          <w:bCs/>
          <w:noProof/>
          <w:szCs w:val="24"/>
        </w:rPr>
        <w:t>9</w:t>
      </w:r>
      <w:r w:rsidRPr="000E2723">
        <w:rPr>
          <w:rFonts w:ascii="Calibri" w:hAnsi="Calibri" w:cs="Calibri"/>
          <w:noProof/>
          <w:szCs w:val="24"/>
        </w:rPr>
        <w:t>(10). (doi:10.1371/journal.pone.0107700)</w:t>
      </w:r>
    </w:p>
    <w:p w:rsidR="000E2723" w:rsidRPr="000E2723" w:rsidRDefault="000E2723" w:rsidP="000E2723">
      <w:pPr>
        <w:widowControl w:val="0"/>
        <w:autoSpaceDE w:val="0"/>
        <w:autoSpaceDN w:val="0"/>
        <w:adjustRightInd w:val="0"/>
        <w:spacing w:line="240" w:lineRule="auto"/>
        <w:ind w:left="640" w:hanging="640"/>
        <w:rPr>
          <w:rFonts w:ascii="Calibri" w:hAnsi="Calibri" w:cs="Calibri"/>
          <w:noProof/>
          <w:szCs w:val="24"/>
        </w:rPr>
      </w:pPr>
      <w:r w:rsidRPr="000E2723">
        <w:rPr>
          <w:rFonts w:ascii="Calibri" w:hAnsi="Calibri" w:cs="Calibri"/>
          <w:noProof/>
          <w:szCs w:val="24"/>
        </w:rPr>
        <w:t xml:space="preserve">8. </w:t>
      </w:r>
      <w:r w:rsidRPr="000E2723">
        <w:rPr>
          <w:rFonts w:ascii="Calibri" w:hAnsi="Calibri" w:cs="Calibri"/>
          <w:noProof/>
          <w:szCs w:val="24"/>
        </w:rPr>
        <w:tab/>
        <w:t xml:space="preserve">Pemberton-Ross P, Smith TA, Hodel EM, Kay K, Penny MA. 2015 Age-shifting in malaria incidence as a result of induced immunological deficit: a simulation study. </w:t>
      </w:r>
      <w:r w:rsidRPr="000E2723">
        <w:rPr>
          <w:rFonts w:ascii="Calibri" w:hAnsi="Calibri" w:cs="Calibri"/>
          <w:i/>
          <w:iCs/>
          <w:noProof/>
          <w:szCs w:val="24"/>
        </w:rPr>
        <w:t>Malar J</w:t>
      </w:r>
      <w:r w:rsidRPr="000E2723">
        <w:rPr>
          <w:rFonts w:ascii="Calibri" w:hAnsi="Calibri" w:cs="Calibri"/>
          <w:noProof/>
          <w:szCs w:val="24"/>
        </w:rPr>
        <w:t xml:space="preserve"> </w:t>
      </w:r>
      <w:r w:rsidRPr="000E2723">
        <w:rPr>
          <w:rFonts w:ascii="Calibri" w:hAnsi="Calibri" w:cs="Calibri"/>
          <w:b/>
          <w:bCs/>
          <w:noProof/>
          <w:szCs w:val="24"/>
        </w:rPr>
        <w:t>14</w:t>
      </w:r>
      <w:r w:rsidRPr="000E2723">
        <w:rPr>
          <w:rFonts w:ascii="Calibri" w:hAnsi="Calibri" w:cs="Calibri"/>
          <w:noProof/>
          <w:szCs w:val="24"/>
        </w:rPr>
        <w:t>(1):287–300. (doi:10.1186/s12936-015-0805-1)</w:t>
      </w:r>
    </w:p>
    <w:p w:rsidR="000E2723" w:rsidRPr="000E2723" w:rsidRDefault="000E2723" w:rsidP="000E2723">
      <w:pPr>
        <w:widowControl w:val="0"/>
        <w:autoSpaceDE w:val="0"/>
        <w:autoSpaceDN w:val="0"/>
        <w:adjustRightInd w:val="0"/>
        <w:spacing w:line="240" w:lineRule="auto"/>
        <w:ind w:left="640" w:hanging="640"/>
        <w:rPr>
          <w:rFonts w:ascii="Calibri" w:hAnsi="Calibri" w:cs="Calibri"/>
          <w:noProof/>
          <w:szCs w:val="24"/>
        </w:rPr>
      </w:pPr>
      <w:r w:rsidRPr="000E2723">
        <w:rPr>
          <w:rFonts w:ascii="Calibri" w:hAnsi="Calibri" w:cs="Calibri"/>
          <w:noProof/>
          <w:szCs w:val="24"/>
        </w:rPr>
        <w:t xml:space="preserve">9. </w:t>
      </w:r>
      <w:r w:rsidRPr="000E2723">
        <w:rPr>
          <w:rFonts w:ascii="Calibri" w:hAnsi="Calibri" w:cs="Calibri"/>
          <w:noProof/>
          <w:szCs w:val="24"/>
        </w:rPr>
        <w:tab/>
        <w:t xml:space="preserve">Penny MA, Galactionova K, Tarantino M, Tanner M, Smith TA. 2015 The public health impact of malaria vaccine RTS,S in malaria endemic Africa: country-specific predictions using 18 month follow-up Phase III data and simulation models. </w:t>
      </w:r>
      <w:r w:rsidRPr="000E2723">
        <w:rPr>
          <w:rFonts w:ascii="Calibri" w:hAnsi="Calibri" w:cs="Calibri"/>
          <w:i/>
          <w:iCs/>
          <w:noProof/>
          <w:szCs w:val="24"/>
        </w:rPr>
        <w:t>BMC Med</w:t>
      </w:r>
      <w:r w:rsidRPr="000E2723">
        <w:rPr>
          <w:rFonts w:ascii="Calibri" w:hAnsi="Calibri" w:cs="Calibri"/>
          <w:noProof/>
          <w:szCs w:val="24"/>
        </w:rPr>
        <w:t xml:space="preserve"> </w:t>
      </w:r>
      <w:r w:rsidRPr="000E2723">
        <w:rPr>
          <w:rFonts w:ascii="Calibri" w:hAnsi="Calibri" w:cs="Calibri"/>
          <w:b/>
          <w:bCs/>
          <w:noProof/>
          <w:szCs w:val="24"/>
        </w:rPr>
        <w:t>13</w:t>
      </w:r>
      <w:r w:rsidRPr="000E2723">
        <w:rPr>
          <w:rFonts w:ascii="Calibri" w:hAnsi="Calibri" w:cs="Calibri"/>
          <w:noProof/>
          <w:szCs w:val="24"/>
        </w:rPr>
        <w:t>(1):170–89. (doi:10.1186/s12916-015-0408-2)</w:t>
      </w:r>
    </w:p>
    <w:p w:rsidR="000E2723" w:rsidRPr="000E2723" w:rsidRDefault="000E2723" w:rsidP="000E2723">
      <w:pPr>
        <w:widowControl w:val="0"/>
        <w:autoSpaceDE w:val="0"/>
        <w:autoSpaceDN w:val="0"/>
        <w:adjustRightInd w:val="0"/>
        <w:spacing w:line="240" w:lineRule="auto"/>
        <w:ind w:left="640" w:hanging="640"/>
        <w:rPr>
          <w:rFonts w:ascii="Calibri" w:hAnsi="Calibri" w:cs="Calibri"/>
          <w:noProof/>
          <w:szCs w:val="24"/>
        </w:rPr>
      </w:pPr>
      <w:r w:rsidRPr="000E2723">
        <w:rPr>
          <w:rFonts w:ascii="Calibri" w:hAnsi="Calibri" w:cs="Calibri"/>
          <w:noProof/>
          <w:szCs w:val="24"/>
        </w:rPr>
        <w:t xml:space="preserve">10. </w:t>
      </w:r>
      <w:r w:rsidRPr="000E2723">
        <w:rPr>
          <w:rFonts w:ascii="Calibri" w:hAnsi="Calibri" w:cs="Calibri"/>
          <w:noProof/>
          <w:szCs w:val="24"/>
        </w:rPr>
        <w:tab/>
        <w:t xml:space="preserve">Yukich J, Chitnis N. 2015 When can malaria control and elimination programs safely reduce vector control efforts ? a simulation study . (July). </w:t>
      </w:r>
    </w:p>
    <w:p w:rsidR="000E2723" w:rsidRPr="000E2723" w:rsidRDefault="000E2723" w:rsidP="000E2723">
      <w:pPr>
        <w:widowControl w:val="0"/>
        <w:autoSpaceDE w:val="0"/>
        <w:autoSpaceDN w:val="0"/>
        <w:adjustRightInd w:val="0"/>
        <w:spacing w:line="240" w:lineRule="auto"/>
        <w:ind w:left="640" w:hanging="640"/>
        <w:rPr>
          <w:rFonts w:ascii="Calibri" w:hAnsi="Calibri" w:cs="Calibri"/>
          <w:noProof/>
          <w:szCs w:val="24"/>
        </w:rPr>
      </w:pPr>
      <w:r w:rsidRPr="000E2723">
        <w:rPr>
          <w:rFonts w:ascii="Calibri" w:hAnsi="Calibri" w:cs="Calibri"/>
          <w:noProof/>
          <w:szCs w:val="24"/>
        </w:rPr>
        <w:t xml:space="preserve">11. </w:t>
      </w:r>
      <w:r w:rsidRPr="000E2723">
        <w:rPr>
          <w:rFonts w:ascii="Calibri" w:hAnsi="Calibri" w:cs="Calibri"/>
          <w:noProof/>
          <w:szCs w:val="24"/>
        </w:rPr>
        <w:tab/>
        <w:t xml:space="preserve">Cameron E, Battle KE, Bhatt S, Weiss DJ, Bisanzio D, Mappin B, et al. 2015 Defining the relationship between infection prevalence and clinical incidence of Plasmodium falciparum malaria. </w:t>
      </w:r>
      <w:r w:rsidRPr="000E2723">
        <w:rPr>
          <w:rFonts w:ascii="Calibri" w:hAnsi="Calibri" w:cs="Calibri"/>
          <w:i/>
          <w:iCs/>
          <w:noProof/>
          <w:szCs w:val="24"/>
        </w:rPr>
        <w:t>Nat Commun</w:t>
      </w:r>
      <w:r w:rsidRPr="000E2723">
        <w:rPr>
          <w:rFonts w:ascii="Calibri" w:hAnsi="Calibri" w:cs="Calibri"/>
          <w:noProof/>
          <w:szCs w:val="24"/>
        </w:rPr>
        <w:t xml:space="preserve"> </w:t>
      </w:r>
      <w:r w:rsidRPr="000E2723">
        <w:rPr>
          <w:rFonts w:ascii="Calibri" w:hAnsi="Calibri" w:cs="Calibri"/>
          <w:b/>
          <w:bCs/>
          <w:noProof/>
          <w:szCs w:val="24"/>
        </w:rPr>
        <w:t>6</w:t>
      </w:r>
      <w:r w:rsidRPr="000E2723">
        <w:rPr>
          <w:rFonts w:ascii="Calibri" w:hAnsi="Calibri" w:cs="Calibri"/>
          <w:noProof/>
          <w:szCs w:val="24"/>
        </w:rPr>
        <w:t>:8170. (doi:10.1038/ncomms9170)</w:t>
      </w:r>
    </w:p>
    <w:p w:rsidR="000E2723" w:rsidRPr="000E2723" w:rsidRDefault="000E2723" w:rsidP="000E2723">
      <w:pPr>
        <w:widowControl w:val="0"/>
        <w:autoSpaceDE w:val="0"/>
        <w:autoSpaceDN w:val="0"/>
        <w:adjustRightInd w:val="0"/>
        <w:spacing w:line="240" w:lineRule="auto"/>
        <w:ind w:left="640" w:hanging="640"/>
        <w:rPr>
          <w:rFonts w:ascii="Calibri" w:hAnsi="Calibri" w:cs="Calibri"/>
          <w:noProof/>
          <w:szCs w:val="24"/>
        </w:rPr>
      </w:pPr>
      <w:r w:rsidRPr="000E2723">
        <w:rPr>
          <w:rFonts w:ascii="Calibri" w:hAnsi="Calibri" w:cs="Calibri"/>
          <w:noProof/>
          <w:szCs w:val="24"/>
        </w:rPr>
        <w:t xml:space="preserve">12. </w:t>
      </w:r>
      <w:r w:rsidRPr="000E2723">
        <w:rPr>
          <w:rFonts w:ascii="Calibri" w:hAnsi="Calibri" w:cs="Calibri"/>
          <w:noProof/>
          <w:szCs w:val="24"/>
        </w:rPr>
        <w:tab/>
        <w:t xml:space="preserve">Penny MA, Pemberton-Ross P, Smith TA. 2015 The time-course of protection of the RTS,S vaccine against malaria infections and clinical disease. </w:t>
      </w:r>
      <w:r w:rsidRPr="000E2723">
        <w:rPr>
          <w:rFonts w:ascii="Calibri" w:hAnsi="Calibri" w:cs="Calibri"/>
          <w:i/>
          <w:iCs/>
          <w:noProof/>
          <w:szCs w:val="24"/>
        </w:rPr>
        <w:t>Malar J</w:t>
      </w:r>
      <w:r w:rsidRPr="000E2723">
        <w:rPr>
          <w:rFonts w:ascii="Calibri" w:hAnsi="Calibri" w:cs="Calibri"/>
          <w:noProof/>
          <w:szCs w:val="24"/>
        </w:rPr>
        <w:t xml:space="preserve"> </w:t>
      </w:r>
      <w:r w:rsidRPr="000E2723">
        <w:rPr>
          <w:rFonts w:ascii="Calibri" w:hAnsi="Calibri" w:cs="Calibri"/>
          <w:b/>
          <w:bCs/>
          <w:noProof/>
          <w:szCs w:val="24"/>
        </w:rPr>
        <w:t>14</w:t>
      </w:r>
      <w:r w:rsidRPr="000E2723">
        <w:rPr>
          <w:rFonts w:ascii="Calibri" w:hAnsi="Calibri" w:cs="Calibri"/>
          <w:noProof/>
          <w:szCs w:val="24"/>
        </w:rPr>
        <w:t>(1):437. (doi:10.1186/s12936-015-0969-8)</w:t>
      </w:r>
    </w:p>
    <w:p w:rsidR="000E2723" w:rsidRPr="000E2723" w:rsidRDefault="000E2723" w:rsidP="000E2723">
      <w:pPr>
        <w:widowControl w:val="0"/>
        <w:autoSpaceDE w:val="0"/>
        <w:autoSpaceDN w:val="0"/>
        <w:adjustRightInd w:val="0"/>
        <w:spacing w:line="240" w:lineRule="auto"/>
        <w:ind w:left="640" w:hanging="640"/>
        <w:rPr>
          <w:rFonts w:ascii="Calibri" w:hAnsi="Calibri" w:cs="Calibri"/>
          <w:noProof/>
          <w:szCs w:val="24"/>
        </w:rPr>
      </w:pPr>
      <w:r w:rsidRPr="000E2723">
        <w:rPr>
          <w:rFonts w:ascii="Calibri" w:hAnsi="Calibri" w:cs="Calibri"/>
          <w:noProof/>
          <w:szCs w:val="24"/>
        </w:rPr>
        <w:t xml:space="preserve">13. </w:t>
      </w:r>
      <w:r w:rsidRPr="000E2723">
        <w:rPr>
          <w:rFonts w:ascii="Calibri" w:hAnsi="Calibri" w:cs="Calibri"/>
          <w:noProof/>
          <w:szCs w:val="24"/>
        </w:rPr>
        <w:tab/>
        <w:t xml:space="preserve">Penny MA, Verity R, Bever CA, Sauboin C, Galactionova K, Flasche S, et al. 2016 Public health impact and cost-effectiveness of the RTS,S/AS01 malaria vaccine: A systematic comparison of predictions from four mathematical models. </w:t>
      </w:r>
      <w:r w:rsidRPr="000E2723">
        <w:rPr>
          <w:rFonts w:ascii="Calibri" w:hAnsi="Calibri" w:cs="Calibri"/>
          <w:i/>
          <w:iCs/>
          <w:noProof/>
          <w:szCs w:val="24"/>
        </w:rPr>
        <w:t>Lancet</w:t>
      </w:r>
      <w:r w:rsidRPr="000E2723">
        <w:rPr>
          <w:rFonts w:ascii="Calibri" w:hAnsi="Calibri" w:cs="Calibri"/>
          <w:noProof/>
          <w:szCs w:val="24"/>
        </w:rPr>
        <w:t xml:space="preserve"> </w:t>
      </w:r>
      <w:r w:rsidRPr="000E2723">
        <w:rPr>
          <w:rFonts w:ascii="Calibri" w:hAnsi="Calibri" w:cs="Calibri"/>
          <w:b/>
          <w:bCs/>
          <w:noProof/>
          <w:szCs w:val="24"/>
        </w:rPr>
        <w:t>387</w:t>
      </w:r>
      <w:r w:rsidRPr="000E2723">
        <w:rPr>
          <w:rFonts w:ascii="Calibri" w:hAnsi="Calibri" w:cs="Calibri"/>
          <w:noProof/>
          <w:szCs w:val="24"/>
        </w:rPr>
        <w:t>(10016):367–75. (doi:10.1016/S0140-6736(15)00725-4)</w:t>
      </w:r>
    </w:p>
    <w:p w:rsidR="000E2723" w:rsidRPr="000E2723" w:rsidRDefault="000E2723" w:rsidP="000E2723">
      <w:pPr>
        <w:widowControl w:val="0"/>
        <w:autoSpaceDE w:val="0"/>
        <w:autoSpaceDN w:val="0"/>
        <w:adjustRightInd w:val="0"/>
        <w:spacing w:line="240" w:lineRule="auto"/>
        <w:ind w:left="640" w:hanging="640"/>
        <w:rPr>
          <w:rFonts w:ascii="Calibri" w:hAnsi="Calibri" w:cs="Calibri"/>
          <w:noProof/>
          <w:szCs w:val="24"/>
        </w:rPr>
      </w:pPr>
      <w:r w:rsidRPr="000E2723">
        <w:rPr>
          <w:rFonts w:ascii="Calibri" w:hAnsi="Calibri" w:cs="Calibri"/>
          <w:noProof/>
          <w:szCs w:val="24"/>
        </w:rPr>
        <w:t xml:space="preserve">14. </w:t>
      </w:r>
      <w:r w:rsidRPr="000E2723">
        <w:rPr>
          <w:rFonts w:ascii="Calibri" w:hAnsi="Calibri" w:cs="Calibri"/>
          <w:noProof/>
          <w:szCs w:val="24"/>
        </w:rPr>
        <w:tab/>
        <w:t xml:space="preserve">Stuckey EM, Miller JM, Littrell M, Chitnis N, Steketee R. 2016 Operational strategies of anti-malarial drug campaigns for malaria elimination in Zambia’s southern province: a simulation study. </w:t>
      </w:r>
      <w:r w:rsidRPr="000E2723">
        <w:rPr>
          <w:rFonts w:ascii="Calibri" w:hAnsi="Calibri" w:cs="Calibri"/>
          <w:i/>
          <w:iCs/>
          <w:noProof/>
          <w:szCs w:val="24"/>
        </w:rPr>
        <w:t>Malar J</w:t>
      </w:r>
      <w:r w:rsidRPr="000E2723">
        <w:rPr>
          <w:rFonts w:ascii="Calibri" w:hAnsi="Calibri" w:cs="Calibri"/>
          <w:noProof/>
          <w:szCs w:val="24"/>
        </w:rPr>
        <w:t xml:space="preserve"> </w:t>
      </w:r>
      <w:r w:rsidRPr="000E2723">
        <w:rPr>
          <w:rFonts w:ascii="Calibri" w:hAnsi="Calibri" w:cs="Calibri"/>
          <w:b/>
          <w:bCs/>
          <w:noProof/>
          <w:szCs w:val="24"/>
        </w:rPr>
        <w:t>15</w:t>
      </w:r>
      <w:r w:rsidRPr="000E2723">
        <w:rPr>
          <w:rFonts w:ascii="Calibri" w:hAnsi="Calibri" w:cs="Calibri"/>
          <w:noProof/>
          <w:szCs w:val="24"/>
        </w:rPr>
        <w:t>(1):148–61. (doi:10.1186/s12936-016-1202-0)</w:t>
      </w:r>
    </w:p>
    <w:p w:rsidR="000E2723" w:rsidRPr="000E2723" w:rsidRDefault="000E2723" w:rsidP="000E2723">
      <w:pPr>
        <w:widowControl w:val="0"/>
        <w:autoSpaceDE w:val="0"/>
        <w:autoSpaceDN w:val="0"/>
        <w:adjustRightInd w:val="0"/>
        <w:spacing w:line="240" w:lineRule="auto"/>
        <w:ind w:left="640" w:hanging="640"/>
        <w:rPr>
          <w:rFonts w:ascii="Calibri" w:hAnsi="Calibri" w:cs="Calibri"/>
          <w:noProof/>
        </w:rPr>
      </w:pPr>
      <w:r w:rsidRPr="000E2723">
        <w:rPr>
          <w:rFonts w:ascii="Calibri" w:hAnsi="Calibri" w:cs="Calibri"/>
          <w:noProof/>
          <w:szCs w:val="24"/>
        </w:rPr>
        <w:t xml:space="preserve">15. </w:t>
      </w:r>
      <w:r w:rsidRPr="000E2723">
        <w:rPr>
          <w:rFonts w:ascii="Calibri" w:hAnsi="Calibri" w:cs="Calibri"/>
          <w:noProof/>
          <w:szCs w:val="24"/>
        </w:rPr>
        <w:tab/>
        <w:t xml:space="preserve">Brady OJ, Slater HC, Pemberton-Ross P, Wenger E, Maude RJ, Ghani AC, et al. 2017 Role of mass drug administration in elimination of Plasmodium falciparum malaria: a consensus modelling study. </w:t>
      </w:r>
      <w:r w:rsidRPr="000E2723">
        <w:rPr>
          <w:rFonts w:ascii="Calibri" w:hAnsi="Calibri" w:cs="Calibri"/>
          <w:i/>
          <w:iCs/>
          <w:noProof/>
          <w:szCs w:val="24"/>
        </w:rPr>
        <w:t>Lancet Glob Heal</w:t>
      </w:r>
      <w:r w:rsidRPr="000E2723">
        <w:rPr>
          <w:rFonts w:ascii="Calibri" w:hAnsi="Calibri" w:cs="Calibri"/>
          <w:noProof/>
          <w:szCs w:val="24"/>
        </w:rPr>
        <w:t xml:space="preserve"> </w:t>
      </w:r>
      <w:r w:rsidRPr="000E2723">
        <w:rPr>
          <w:rFonts w:ascii="Calibri" w:hAnsi="Calibri" w:cs="Calibri"/>
          <w:b/>
          <w:bCs/>
          <w:noProof/>
          <w:szCs w:val="24"/>
        </w:rPr>
        <w:t>5</w:t>
      </w:r>
      <w:r w:rsidRPr="000E2723">
        <w:rPr>
          <w:rFonts w:ascii="Calibri" w:hAnsi="Calibri" w:cs="Calibri"/>
          <w:noProof/>
          <w:szCs w:val="24"/>
        </w:rPr>
        <w:t>(7):e680–7. (doi:10.1016/S2214-109X(17)30220-6)</w:t>
      </w:r>
    </w:p>
    <w:p w:rsidR="000E2723" w:rsidRDefault="000E2723">
      <w:r>
        <w:fldChar w:fldCharType="end"/>
      </w:r>
    </w:p>
    <w:sectPr w:rsidR="000E27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75"/>
    <w:rsid w:val="000E2723"/>
    <w:rsid w:val="00205D32"/>
    <w:rsid w:val="00382127"/>
    <w:rsid w:val="004776D4"/>
    <w:rsid w:val="00491C6A"/>
    <w:rsid w:val="00862D83"/>
    <w:rsid w:val="00876A72"/>
    <w:rsid w:val="009617B6"/>
    <w:rsid w:val="00AA159E"/>
    <w:rsid w:val="00B11C1A"/>
    <w:rsid w:val="00CF7F57"/>
    <w:rsid w:val="00E0127A"/>
    <w:rsid w:val="00E07F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A41A5"/>
  <w15:chartTrackingRefBased/>
  <w15:docId w15:val="{3873102D-3D41-4366-A22B-F5E5054C1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7F75"/>
    <w:pPr>
      <w:keepNext/>
      <w:keepLines/>
      <w:spacing w:before="240" w:after="0"/>
      <w:outlineLvl w:val="0"/>
    </w:pPr>
    <w:rPr>
      <w:rFonts w:asciiTheme="majorHAnsi" w:eastAsiaTheme="majorEastAsia" w:hAnsiTheme="majorHAnsi" w:cstheme="majorBidi"/>
      <w:color w:val="2F5496" w:themeColor="accent1" w:themeShade="BF"/>
      <w:sz w:val="32"/>
      <w:szCs w:val="32"/>
      <w:lang w:eastAsia="zh-CN"/>
    </w:rPr>
  </w:style>
  <w:style w:type="paragraph" w:styleId="Heading2">
    <w:name w:val="heading 2"/>
    <w:basedOn w:val="Normal"/>
    <w:next w:val="Normal"/>
    <w:link w:val="Heading2Char"/>
    <w:uiPriority w:val="9"/>
    <w:unhideWhenUsed/>
    <w:qFormat/>
    <w:rsid w:val="00E07F75"/>
    <w:pPr>
      <w:keepNext/>
      <w:keepLines/>
      <w:spacing w:before="40" w:after="0"/>
      <w:outlineLvl w:val="1"/>
    </w:pPr>
    <w:rPr>
      <w:rFonts w:asciiTheme="majorHAnsi" w:eastAsiaTheme="majorEastAsia" w:hAnsiTheme="majorHAnsi" w:cstheme="majorBidi"/>
      <w:color w:val="2F5496" w:themeColor="accent1" w:themeShade="BF"/>
      <w:sz w:val="26"/>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F75"/>
    <w:rPr>
      <w:rFonts w:asciiTheme="majorHAnsi" w:eastAsiaTheme="majorEastAsia" w:hAnsiTheme="majorHAnsi" w:cstheme="majorBidi"/>
      <w:color w:val="2F5496" w:themeColor="accent1" w:themeShade="BF"/>
      <w:sz w:val="32"/>
      <w:szCs w:val="32"/>
      <w:lang w:eastAsia="zh-CN"/>
    </w:rPr>
  </w:style>
  <w:style w:type="paragraph" w:styleId="Subtitle">
    <w:name w:val="Subtitle"/>
    <w:basedOn w:val="Normal"/>
    <w:next w:val="Normal"/>
    <w:link w:val="SubtitleChar"/>
    <w:uiPriority w:val="11"/>
    <w:qFormat/>
    <w:rsid w:val="00E07F7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07F75"/>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E07F75"/>
    <w:rPr>
      <w:rFonts w:asciiTheme="majorHAnsi" w:eastAsiaTheme="majorEastAsia" w:hAnsiTheme="majorHAnsi" w:cstheme="majorBidi"/>
      <w:color w:val="2F5496" w:themeColor="accent1" w:themeShade="BF"/>
      <w:sz w:val="26"/>
      <w:szCs w:val="26"/>
      <w:lang w:eastAsia="zh-CN"/>
    </w:rPr>
  </w:style>
  <w:style w:type="table" w:styleId="TableGrid">
    <w:name w:val="Table Grid"/>
    <w:basedOn w:val="TableNormal"/>
    <w:uiPriority w:val="39"/>
    <w:rsid w:val="00E07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7FC6D-F532-428A-AD0A-C345B86AC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9041</Words>
  <Characters>51536</Characters>
  <Application>Microsoft Office Word</Application>
  <DocSecurity>0</DocSecurity>
  <Lines>429</Lines>
  <Paragraphs>120</Paragraphs>
  <ScaleCrop>false</ScaleCrop>
  <Company/>
  <LinksUpToDate>false</LinksUpToDate>
  <CharactersWithSpaces>60457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Neal Smith</dc:creator>
  <cp:keywords/>
  <dc:description/>
  <cp:lastModifiedBy>Neal Smith</cp:lastModifiedBy>
  <cp:revision>2</cp:revision>
  <dcterms:created xsi:type="dcterms:W3CDTF">2018-07-30T06:16:00Z</dcterms:created>
  <dcterms:modified xsi:type="dcterms:W3CDTF">2018-07-30T06:28:00Z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0b756574-276f-30ba-beb9-aba1ad9e596b</vt:lpwstr>
  </property>
  <property fmtid="{D5CDD505-2E9C-101B-9397-08002B2CF9AE}" pid="4" name="Mendeley Citation Style_1">
    <vt:lpwstr>http://csl.mendeley.com/styles/495390601/vancouver-NS-PRSB</vt:lpwstr>
  </property>
</Properties>
</file>