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3F" w:rsidRDefault="00FA613F" w:rsidP="00FA613F">
      <w:pPr>
        <w:tabs>
          <w:tab w:val="left" w:pos="1134"/>
          <w:tab w:val="left" w:pos="1560"/>
          <w:tab w:val="left" w:pos="5760"/>
        </w:tabs>
        <w:spacing w:after="0" w:line="480" w:lineRule="auto"/>
        <w:jc w:val="thaiDistribute"/>
        <w:rPr>
          <w:rFonts w:ascii="Times New Roman" w:eastAsia="Calibri" w:hAnsi="Times New Roman" w:cs="Cordia New"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Cordia New"/>
          <w:noProof/>
          <w:sz w:val="20"/>
          <w:szCs w:val="20"/>
          <w:lang w:val="en-IN" w:eastAsia="en-I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44110" cy="5998845"/>
            <wp:effectExtent l="0" t="0" r="889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599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613F" w:rsidRPr="00FA613F" w:rsidRDefault="002379D4" w:rsidP="00FA613F">
      <w:pPr>
        <w:tabs>
          <w:tab w:val="left" w:pos="1134"/>
          <w:tab w:val="left" w:pos="1560"/>
          <w:tab w:val="left" w:pos="5760"/>
        </w:tabs>
        <w:spacing w:after="0" w:line="480" w:lineRule="auto"/>
        <w:jc w:val="thaiDistribute"/>
        <w:rPr>
          <w:rFonts w:ascii="Times New Roman" w:eastAsia="Calibri" w:hAnsi="Times New Roman" w:cs="Cordia New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Additional file 2:</w:t>
      </w:r>
      <w:r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Figure </w:t>
      </w:r>
      <w:proofErr w:type="spellStart"/>
      <w:r>
        <w:rPr>
          <w:rFonts w:ascii="Times New Roman" w:eastAsia="Calibri" w:hAnsi="Times New Roman" w:cs="Cordia New"/>
          <w:sz w:val="20"/>
          <w:szCs w:val="20"/>
        </w:rPr>
        <w:t>S2</w:t>
      </w:r>
      <w:proofErr w:type="spellEnd"/>
      <w:r w:rsidR="00FA613F" w:rsidRPr="00FA613F">
        <w:rPr>
          <w:rFonts w:ascii="Times New Roman" w:eastAsia="Calibri" w:hAnsi="Times New Roman" w:cs="Cordia New"/>
          <w:sz w:val="20"/>
          <w:szCs w:val="20"/>
        </w:rPr>
        <w:t>. Comparison of the two genotyping platforms. DSP (</w:t>
      </w:r>
      <w:r w:rsidR="00FA613F" w:rsidRPr="00FA613F">
        <w:rPr>
          <w:rFonts w:ascii="Times New Roman" w:eastAsia="Calibri" w:hAnsi="Times New Roman" w:cs="Cordia New"/>
          <w:noProof/>
          <w:sz w:val="20"/>
          <w:szCs w:val="20"/>
        </w:rPr>
        <w:t>electropherograms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) and ASO (amplification plot) detected the presence of four common genetic variations in the </w:t>
      </w:r>
      <w:r w:rsidR="00FA613F" w:rsidRPr="00FA613F">
        <w:rPr>
          <w:rFonts w:ascii="Times New Roman" w:eastAsia="Calibri" w:hAnsi="Times New Roman" w:cs="Cordia New"/>
          <w:i/>
          <w:iCs/>
          <w:sz w:val="20"/>
          <w:szCs w:val="20"/>
        </w:rPr>
        <w:t>CYP2D6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 gene including C100T, G1846A, </w:t>
      </w:r>
      <w:r w:rsidR="00FA613F" w:rsidRPr="00FA613F">
        <w:rPr>
          <w:rFonts w:ascii="Times New Roman" w:eastAsia="Calibri" w:hAnsi="Times New Roman" w:cs="Cordia New"/>
          <w:noProof/>
          <w:sz w:val="20"/>
          <w:szCs w:val="20"/>
        </w:rPr>
        <w:t>C2850T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 and G4180C.  The X axis of the amplification plot shows the relative fluorescence for </w:t>
      </w:r>
      <w:r w:rsidR="00FA613F" w:rsidRPr="00FA613F">
        <w:rPr>
          <w:rFonts w:ascii="Times New Roman" w:eastAsia="Calibri" w:hAnsi="Times New Roman" w:cs="Cordia New"/>
          <w:noProof/>
          <w:sz w:val="20"/>
          <w:szCs w:val="20"/>
        </w:rPr>
        <w:t>wild-type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 alleles (green curve) and variant alleles (blue curve), respectively. Clusters of the homozygous </w:t>
      </w:r>
      <w:r w:rsidR="00FA613F" w:rsidRPr="00FA613F">
        <w:rPr>
          <w:rFonts w:ascii="Times New Roman" w:eastAsia="Calibri" w:hAnsi="Times New Roman" w:cs="Cordia New"/>
          <w:noProof/>
          <w:sz w:val="20"/>
          <w:szCs w:val="20"/>
        </w:rPr>
        <w:t>wild-type</w:t>
      </w:r>
      <w:r w:rsidR="00FA613F" w:rsidRPr="00FA613F">
        <w:rPr>
          <w:rFonts w:ascii="Times New Roman" w:eastAsia="Calibri" w:hAnsi="Times New Roman" w:cs="Cordia New"/>
          <w:sz w:val="20"/>
          <w:szCs w:val="20"/>
        </w:rPr>
        <w:t xml:space="preserve">, heterozygous and homozygous mutant are also shown in the allelic discrimination plots (NTC=no template control). The ASO genotyping results were in accordance with the results obtained by DSP. </w:t>
      </w:r>
    </w:p>
    <w:p w:rsidR="00D23065" w:rsidRDefault="00D23065"/>
    <w:sectPr w:rsidR="00D23065" w:rsidSect="008022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A613F"/>
    <w:rsid w:val="000155D4"/>
    <w:rsid w:val="002379D4"/>
    <w:rsid w:val="00802275"/>
    <w:rsid w:val="00D2306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Kraft</dc:creator>
  <cp:lastModifiedBy>0012761</cp:lastModifiedBy>
  <cp:revision>3</cp:revision>
  <dcterms:created xsi:type="dcterms:W3CDTF">2018-11-01T00:54:00Z</dcterms:created>
  <dcterms:modified xsi:type="dcterms:W3CDTF">2018-11-10T08:45:00Z</dcterms:modified>
</cp:coreProperties>
</file>