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7A" w:rsidRDefault="0025047A" w:rsidP="0025047A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1355" cy="423735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23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047A" w:rsidRPr="0025047A" w:rsidRDefault="00B44CCE" w:rsidP="0025047A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Additional file 3:</w:t>
      </w:r>
      <w:r w:rsidRPr="007F1A00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25047A" w:rsidRPr="0025047A">
        <w:rPr>
          <w:rFonts w:ascii="Times New Roman" w:eastAsia="Times New Roman" w:hAnsi="Times New Roman" w:cs="Times New Roman"/>
          <w:sz w:val="20"/>
          <w:szCs w:val="20"/>
          <w:lang w:bidi="ar-SA"/>
        </w:rPr>
        <w:t>Figure</w:t>
      </w:r>
      <w:r w:rsidR="0025047A" w:rsidRPr="0025047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ar-SA"/>
        </w:rPr>
        <w:t>S</w:t>
      </w:r>
      <w:r w:rsidR="0025047A" w:rsidRPr="0025047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ar-SA"/>
        </w:rPr>
        <w:t xml:space="preserve">3. The allele and genotype frequencies from different </w:t>
      </w:r>
      <w:r w:rsidR="0025047A" w:rsidRPr="0025047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bidi="ar-SA"/>
        </w:rPr>
        <w:t xml:space="preserve">CYP2D6 </w:t>
      </w:r>
      <w:r w:rsidR="0025047A" w:rsidRPr="0025047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ar-SA"/>
        </w:rPr>
        <w:t xml:space="preserve">coding regions.  The bottom panel illustrates the successful amplification of </w:t>
      </w:r>
      <w:r w:rsidR="0025047A" w:rsidRPr="0025047A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FFFFFF"/>
          <w:lang w:bidi="ar-SA"/>
        </w:rPr>
        <w:t>exonic</w:t>
      </w:r>
      <w:r w:rsidR="0025047A" w:rsidRPr="0025047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ar-SA"/>
        </w:rPr>
        <w:t xml:space="preserve"> </w:t>
      </w:r>
      <w:r w:rsidR="0025047A" w:rsidRPr="0025047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bidi="ar-SA"/>
        </w:rPr>
        <w:t>CYP2D6</w:t>
      </w:r>
      <w:r w:rsidR="0025047A" w:rsidRPr="0025047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ar-SA"/>
        </w:rPr>
        <w:t xml:space="preserve">-specific PCR fragments uniquely generated by the DSP </w:t>
      </w:r>
      <w:r w:rsidR="0025047A" w:rsidRPr="0025047A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FFFFFF"/>
          <w:lang w:bidi="ar-SA"/>
        </w:rPr>
        <w:t>assay</w:t>
      </w:r>
      <w:r w:rsidR="0025047A" w:rsidRPr="0025047A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ar-SA"/>
        </w:rPr>
        <w:t xml:space="preserve">. Five colored bars are shown for each exon, representing the genotype frequency of homozygous wild-type (orange), heterozygous (gray), homozygous mutant (blue), heterozygous deletion (X, green) wild-type, and heterozygous deletion (X, red) mutant.  The allele frequencies are presented on top; deletion alleles were carried in each variant with a frequency of 0.03 (*D (X), red). Analysis used STATA/SE12.1 to calculate frequencies. </w:t>
      </w:r>
    </w:p>
    <w:p w:rsidR="0025047A" w:rsidRPr="0025047A" w:rsidRDefault="0025047A" w:rsidP="0025047A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5047A" w:rsidRPr="0025047A" w:rsidRDefault="0025047A" w:rsidP="0025047A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23065" w:rsidRDefault="00D23065"/>
    <w:sectPr w:rsidR="00D23065" w:rsidSect="00795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25047A"/>
    <w:rsid w:val="0025047A"/>
    <w:rsid w:val="007952A6"/>
    <w:rsid w:val="00B44CCE"/>
    <w:rsid w:val="00BC1B0C"/>
    <w:rsid w:val="00D23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2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Ludwig Kraft</dc:creator>
  <cp:lastModifiedBy>0012761</cp:lastModifiedBy>
  <cp:revision>3</cp:revision>
  <dcterms:created xsi:type="dcterms:W3CDTF">2018-11-01T00:53:00Z</dcterms:created>
  <dcterms:modified xsi:type="dcterms:W3CDTF">2018-11-10T08:45:00Z</dcterms:modified>
</cp:coreProperties>
</file>