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1DA" w:rsidRPr="00D818B3" w:rsidRDefault="006531DA" w:rsidP="006531DA">
      <w:pPr>
        <w:pStyle w:val="Heading2"/>
        <w:spacing w:before="120" w:after="120"/>
      </w:pPr>
      <w:bookmarkStart w:id="0" w:name="_Hlk532298463"/>
      <w:r w:rsidRPr="00BD12A4">
        <w:rPr>
          <w:lang w:val="en-GB"/>
        </w:rPr>
        <w:t xml:space="preserve">Additional file </w:t>
      </w:r>
      <w:r>
        <w:rPr>
          <w:lang w:val="en-GB"/>
        </w:rPr>
        <w:t>2</w:t>
      </w:r>
      <w:r w:rsidRPr="00BD12A4">
        <w:rPr>
          <w:lang w:val="en-GB"/>
        </w:rPr>
        <w:t xml:space="preserve">: </w:t>
      </w:r>
      <w:bookmarkEnd w:id="0"/>
      <w:r w:rsidRPr="00D818B3">
        <w:t xml:space="preserve">Table </w:t>
      </w:r>
      <w:proofErr w:type="spellStart"/>
      <w:r w:rsidRPr="00D818B3">
        <w:t>S2</w:t>
      </w:r>
      <w:proofErr w:type="spellEnd"/>
      <w:r w:rsidRPr="00D818B3">
        <w:t xml:space="preserve">. Characteristics of </w:t>
      </w:r>
      <w:r w:rsidRPr="00D818B3">
        <w:rPr>
          <w:i/>
        </w:rPr>
        <w:t>Plasmodium</w:t>
      </w:r>
      <w:r w:rsidRPr="00D818B3">
        <w:t xml:space="preserve"> malaria cases reported in mainland China, 2011-2016.</w:t>
      </w:r>
    </w:p>
    <w:tbl>
      <w:tblPr>
        <w:tblW w:w="5000" w:type="pct"/>
        <w:tblLook w:val="04A0"/>
      </w:tblPr>
      <w:tblGrid>
        <w:gridCol w:w="3532"/>
        <w:gridCol w:w="2009"/>
        <w:gridCol w:w="2053"/>
        <w:gridCol w:w="1982"/>
      </w:tblGrid>
      <w:tr w:rsidR="006531DA" w:rsidRPr="00D818B3" w:rsidTr="007446B3">
        <w:trPr>
          <w:trHeight w:val="585"/>
          <w:tblHeader/>
        </w:trPr>
        <w:tc>
          <w:tcPr>
            <w:tcW w:w="18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b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b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b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 (n=21,062)</w:t>
            </w:r>
          </w:p>
        </w:tc>
        <w:tc>
          <w:tcPr>
            <w:tcW w:w="107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b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Imported cases (n=19,154)</w:t>
            </w: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b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Autochthonous cases (n=1,908)</w:t>
            </w:r>
          </w:p>
        </w:tc>
      </w:tr>
      <w:tr w:rsidR="006531DA" w:rsidRPr="00D818B3" w:rsidTr="007446B3">
        <w:trPr>
          <w:trHeight w:val="27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Type of diagnosis</w:t>
            </w:r>
          </w:p>
        </w:tc>
      </w:tr>
      <w:tr w:rsidR="006531DA" w:rsidRPr="00D818B3" w:rsidTr="007446B3">
        <w:trPr>
          <w:trHeight w:val="285"/>
        </w:trPr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Laboratory-confirmed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19,882 (94.4%)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18,654 (97.4%)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1,228 (64.4%)</w:t>
            </w:r>
          </w:p>
        </w:tc>
      </w:tr>
      <w:tr w:rsidR="006531DA" w:rsidRPr="00D818B3" w:rsidTr="007446B3">
        <w:trPr>
          <w:trHeight w:val="285"/>
        </w:trPr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Clinically diagnosed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1,180 (5.6%)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500 (2.6%)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680 (35.6%)</w:t>
            </w:r>
          </w:p>
        </w:tc>
      </w:tr>
      <w:tr w:rsidR="006531DA" w:rsidRPr="00D818B3" w:rsidTr="007446B3">
        <w:trPr>
          <w:trHeight w:val="270"/>
        </w:trPr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6531DA" w:rsidRPr="00D818B3" w:rsidTr="007446B3">
        <w:trPr>
          <w:trHeight w:val="175"/>
        </w:trPr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Male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19,292 (91.6%)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18,069 (94.3%)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1,223 (64.1%)</w:t>
            </w:r>
          </w:p>
        </w:tc>
      </w:tr>
      <w:tr w:rsidR="006531DA" w:rsidRPr="00D818B3" w:rsidTr="007446B3">
        <w:trPr>
          <w:trHeight w:val="353"/>
        </w:trPr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Female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1,770 (8.4%)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1,085 (5.7%)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685 (35.9%)</w:t>
            </w:r>
          </w:p>
        </w:tc>
      </w:tr>
      <w:tr w:rsidR="006531DA" w:rsidRPr="00D818B3" w:rsidTr="007446B3">
        <w:trPr>
          <w:trHeight w:val="270"/>
        </w:trPr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Outcome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6531DA" w:rsidRPr="00D818B3" w:rsidTr="007446B3">
        <w:trPr>
          <w:trHeight w:val="80"/>
        </w:trPr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Non-fatal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20,924 (99.3%)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19,017 (99.3%)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1,907 (99.9%)</w:t>
            </w:r>
          </w:p>
        </w:tc>
      </w:tr>
      <w:tr w:rsidR="006531DA" w:rsidRPr="00D818B3" w:rsidTr="007446B3">
        <w:trPr>
          <w:trHeight w:val="285"/>
        </w:trPr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Fatal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138 (0.7%)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137 (0.7%)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 (0.1%)</w:t>
            </w:r>
          </w:p>
        </w:tc>
      </w:tr>
      <w:tr w:rsidR="006531DA" w:rsidRPr="00D818B3" w:rsidTr="007446B3">
        <w:trPr>
          <w:trHeight w:val="27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Age</w:t>
            </w:r>
          </w:p>
        </w:tc>
      </w:tr>
      <w:tr w:rsidR="006531DA" w:rsidRPr="00D818B3" w:rsidTr="007446B3">
        <w:trPr>
          <w:trHeight w:val="345"/>
        </w:trPr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Median (yrs, </w:t>
            </w:r>
            <w:proofErr w:type="spellStart"/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IQR</w:t>
            </w:r>
            <w:proofErr w:type="spellEnd"/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39.0 (29.2, 46.1)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38.7 (29.4, 46.0)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42.0 (26.1, 58.0)</w:t>
            </w:r>
          </w:p>
        </w:tc>
      </w:tr>
      <w:tr w:rsidR="006531DA" w:rsidRPr="00D818B3" w:rsidTr="007446B3">
        <w:trPr>
          <w:trHeight w:val="270"/>
        </w:trPr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Nationality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6531DA" w:rsidRPr="00D818B3" w:rsidTr="007446B3">
        <w:trPr>
          <w:trHeight w:val="80"/>
        </w:trPr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Chinese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19,904 (94.5%)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17,996 (94%)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1,908 (100%)</w:t>
            </w:r>
          </w:p>
        </w:tc>
      </w:tr>
      <w:tr w:rsidR="006531DA" w:rsidRPr="00D818B3" w:rsidTr="007446B3">
        <w:trPr>
          <w:trHeight w:val="80"/>
        </w:trPr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Foreigner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1,158 (5.5%)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1,158 (6%)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0 (0)</w:t>
            </w:r>
          </w:p>
        </w:tc>
      </w:tr>
      <w:tr w:rsidR="006531DA" w:rsidRPr="00D818B3" w:rsidTr="007446B3">
        <w:trPr>
          <w:trHeight w:val="27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Species of </w:t>
            </w:r>
            <w:r w:rsidRPr="00D818B3">
              <w:rPr>
                <w:rFonts w:ascii="Tahoma" w:eastAsia="SimSun" w:hAnsi="Tahoma" w:cs="Tahoma"/>
                <w:i/>
                <w:color w:val="000000"/>
                <w:sz w:val="18"/>
                <w:szCs w:val="18"/>
              </w:rPr>
              <w:t>Plasmodium</w:t>
            </w:r>
          </w:p>
        </w:tc>
      </w:tr>
      <w:tr w:rsidR="006531DA" w:rsidRPr="00D818B3" w:rsidTr="007446B3">
        <w:trPr>
          <w:trHeight w:val="80"/>
        </w:trPr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i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i/>
                <w:color w:val="000000"/>
                <w:sz w:val="18"/>
                <w:szCs w:val="18"/>
              </w:rPr>
              <w:t xml:space="preserve">  P. falciparum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12,006 (57%)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11,914 (62.2%)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92 (4.8%)</w:t>
            </w:r>
          </w:p>
        </w:tc>
      </w:tr>
      <w:tr w:rsidR="006531DA" w:rsidRPr="00D818B3" w:rsidTr="007446B3">
        <w:trPr>
          <w:trHeight w:val="135"/>
        </w:trPr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i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i/>
                <w:color w:val="000000"/>
                <w:sz w:val="18"/>
                <w:szCs w:val="18"/>
              </w:rPr>
              <w:t xml:space="preserve">  P. vivax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7,324 (34.8%)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5,613 (29.3%)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1,711 (89.7%)</w:t>
            </w:r>
          </w:p>
        </w:tc>
      </w:tr>
      <w:tr w:rsidR="006531DA" w:rsidRPr="00D818B3" w:rsidTr="007446B3">
        <w:trPr>
          <w:trHeight w:val="285"/>
        </w:trPr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i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i/>
                <w:color w:val="000000"/>
                <w:sz w:val="18"/>
                <w:szCs w:val="18"/>
              </w:rPr>
              <w:t xml:space="preserve">  P. ovale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822 (3.9%)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821 (4.3%)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 (0.1%)</w:t>
            </w:r>
          </w:p>
        </w:tc>
      </w:tr>
      <w:tr w:rsidR="006531DA" w:rsidRPr="00D818B3" w:rsidTr="007446B3">
        <w:trPr>
          <w:trHeight w:val="285"/>
        </w:trPr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i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i/>
                <w:color w:val="000000"/>
                <w:sz w:val="18"/>
                <w:szCs w:val="18"/>
              </w:rPr>
              <w:t xml:space="preserve">  P. malariae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252 (1.2%)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248 (1.3%)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4 (0.2%)</w:t>
            </w:r>
          </w:p>
        </w:tc>
      </w:tr>
      <w:tr w:rsidR="006531DA" w:rsidRPr="00D818B3" w:rsidTr="007446B3">
        <w:trPr>
          <w:trHeight w:val="108"/>
        </w:trPr>
        <w:tc>
          <w:tcPr>
            <w:tcW w:w="1844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Mixed infections</w:t>
            </w:r>
          </w:p>
        </w:tc>
        <w:tc>
          <w:tcPr>
            <w:tcW w:w="1049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260 (1.2%)</w:t>
            </w:r>
          </w:p>
        </w:tc>
        <w:tc>
          <w:tcPr>
            <w:tcW w:w="10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255 (1.3%)</w:t>
            </w:r>
          </w:p>
        </w:tc>
        <w:tc>
          <w:tcPr>
            <w:tcW w:w="10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5 (0.3%)</w:t>
            </w:r>
          </w:p>
        </w:tc>
      </w:tr>
      <w:tr w:rsidR="006531DA" w:rsidRPr="00D818B3" w:rsidTr="007446B3">
        <w:trPr>
          <w:trHeight w:val="80"/>
        </w:trPr>
        <w:tc>
          <w:tcPr>
            <w:tcW w:w="18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Untyped</w:t>
            </w:r>
            <w:proofErr w:type="spellEnd"/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398 (1.89%)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303 (1.6%)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31DA" w:rsidRPr="00D818B3" w:rsidRDefault="006531DA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95 (4.98%)</w:t>
            </w:r>
          </w:p>
        </w:tc>
      </w:tr>
    </w:tbl>
    <w:p w:rsidR="006531DA" w:rsidRPr="00D818B3" w:rsidRDefault="006531DA" w:rsidP="006531DA">
      <w:pPr>
        <w:spacing w:beforeLines="50"/>
        <w:rPr>
          <w:rFonts w:ascii="Tahoma" w:hAnsi="Tahoma" w:cs="Tahoma"/>
          <w:sz w:val="18"/>
          <w:szCs w:val="18"/>
        </w:rPr>
      </w:pPr>
      <w:r w:rsidRPr="00D818B3">
        <w:rPr>
          <w:rFonts w:ascii="Tahoma" w:hAnsi="Tahoma" w:cs="Tahoma"/>
          <w:sz w:val="16"/>
          <w:szCs w:val="18"/>
        </w:rPr>
        <w:t xml:space="preserve">Note: Data are presented as no. (%) of patients unless otherwise indicated. The autochthonous cases also included </w:t>
      </w:r>
      <w:r w:rsidRPr="00D818B3">
        <w:rPr>
          <w:rFonts w:ascii="Tahoma" w:eastAsia="DengXian" w:hAnsi="Tahoma" w:cs="Tahoma"/>
          <w:sz w:val="16"/>
          <w:szCs w:val="18"/>
        </w:rPr>
        <w:t>s</w:t>
      </w:r>
      <w:r w:rsidRPr="00D818B3">
        <w:rPr>
          <w:rFonts w:ascii="Tahoma" w:hAnsi="Tahoma" w:cs="Tahoma"/>
          <w:sz w:val="16"/>
          <w:szCs w:val="18"/>
        </w:rPr>
        <w:t xml:space="preserve">ix cases of transfusion infections (3 </w:t>
      </w:r>
      <w:r w:rsidRPr="00D818B3">
        <w:rPr>
          <w:rFonts w:ascii="Tahoma" w:hAnsi="Tahoma" w:cs="Tahoma"/>
          <w:i/>
          <w:sz w:val="16"/>
          <w:szCs w:val="18"/>
        </w:rPr>
        <w:t>P. falciparum</w:t>
      </w:r>
      <w:r w:rsidRPr="00D818B3">
        <w:rPr>
          <w:rFonts w:ascii="Tahoma" w:hAnsi="Tahoma" w:cs="Tahoma"/>
          <w:sz w:val="16"/>
          <w:szCs w:val="18"/>
        </w:rPr>
        <w:t xml:space="preserve">, 2 </w:t>
      </w:r>
      <w:r w:rsidRPr="00D818B3">
        <w:rPr>
          <w:rFonts w:ascii="Tahoma" w:hAnsi="Tahoma" w:cs="Tahoma"/>
          <w:i/>
          <w:sz w:val="16"/>
          <w:szCs w:val="18"/>
        </w:rPr>
        <w:t>P. malariae</w:t>
      </w:r>
      <w:r w:rsidRPr="00D818B3">
        <w:rPr>
          <w:rFonts w:ascii="Tahoma" w:hAnsi="Tahoma" w:cs="Tahoma"/>
          <w:sz w:val="16"/>
          <w:szCs w:val="18"/>
        </w:rPr>
        <w:t xml:space="preserve">, and 1 </w:t>
      </w:r>
      <w:r w:rsidRPr="00D818B3">
        <w:rPr>
          <w:rFonts w:ascii="Tahoma" w:hAnsi="Tahoma" w:cs="Tahoma"/>
          <w:i/>
          <w:sz w:val="16"/>
          <w:szCs w:val="18"/>
        </w:rPr>
        <w:t>P. ovale</w:t>
      </w:r>
      <w:r w:rsidRPr="00D818B3">
        <w:rPr>
          <w:rFonts w:ascii="Tahoma" w:hAnsi="Tahoma" w:cs="Tahoma"/>
          <w:sz w:val="16"/>
          <w:szCs w:val="18"/>
        </w:rPr>
        <w:t xml:space="preserve">) and one suspected vertical transmission for </w:t>
      </w:r>
      <w:r w:rsidRPr="00D818B3">
        <w:rPr>
          <w:rFonts w:ascii="Tahoma" w:hAnsi="Tahoma" w:cs="Tahoma"/>
          <w:i/>
          <w:sz w:val="16"/>
          <w:szCs w:val="18"/>
        </w:rPr>
        <w:t>P. vivax.</w:t>
      </w:r>
    </w:p>
    <w:p w:rsidR="003F5414" w:rsidRDefault="003F5414"/>
    <w:sectPr w:rsidR="003F5414" w:rsidSect="003F54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6531DA"/>
    <w:rsid w:val="000903C8"/>
    <w:rsid w:val="001005F2"/>
    <w:rsid w:val="00135AF9"/>
    <w:rsid w:val="00142B65"/>
    <w:rsid w:val="001C74BF"/>
    <w:rsid w:val="00273E6E"/>
    <w:rsid w:val="0031052E"/>
    <w:rsid w:val="003F5414"/>
    <w:rsid w:val="004338D0"/>
    <w:rsid w:val="004D36A8"/>
    <w:rsid w:val="00633CBA"/>
    <w:rsid w:val="006531DA"/>
    <w:rsid w:val="006E7926"/>
    <w:rsid w:val="007E1E53"/>
    <w:rsid w:val="00866044"/>
    <w:rsid w:val="008853F4"/>
    <w:rsid w:val="00931D5B"/>
    <w:rsid w:val="00A30F0E"/>
    <w:rsid w:val="00A311DF"/>
    <w:rsid w:val="00AA5A3F"/>
    <w:rsid w:val="00C72493"/>
    <w:rsid w:val="00D60020"/>
    <w:rsid w:val="00D873BD"/>
    <w:rsid w:val="00D90F62"/>
    <w:rsid w:val="00E54637"/>
    <w:rsid w:val="00E9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14"/>
  </w:style>
  <w:style w:type="paragraph" w:styleId="Heading2">
    <w:name w:val="heading 2"/>
    <w:next w:val="Normal"/>
    <w:link w:val="Heading2Char"/>
    <w:autoRedefine/>
    <w:uiPriority w:val="9"/>
    <w:unhideWhenUsed/>
    <w:qFormat/>
    <w:rsid w:val="006531DA"/>
    <w:pPr>
      <w:keepNext/>
      <w:keepLines/>
      <w:spacing w:beforeLines="50" w:afterLines="50" w:line="240" w:lineRule="auto"/>
      <w:outlineLvl w:val="1"/>
    </w:pPr>
    <w:rPr>
      <w:rFonts w:ascii="Tahoma" w:eastAsia="Cambria" w:hAnsi="Tahoma" w:cs="Tahoma"/>
      <w:b/>
      <w:bCs/>
      <w:kern w:val="36"/>
      <w:sz w:val="20"/>
      <w:szCs w:val="1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531DA"/>
    <w:rPr>
      <w:rFonts w:ascii="Tahoma" w:eastAsia="Cambria" w:hAnsi="Tahoma" w:cs="Tahoma"/>
      <w:b/>
      <w:bCs/>
      <w:kern w:val="36"/>
      <w:sz w:val="20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0013358</dc:creator>
  <cp:lastModifiedBy>0013358</cp:lastModifiedBy>
  <cp:revision>1</cp:revision>
  <dcterms:created xsi:type="dcterms:W3CDTF">2019-03-21T07:26:00Z</dcterms:created>
  <dcterms:modified xsi:type="dcterms:W3CDTF">2019-03-21T07:26:00Z</dcterms:modified>
</cp:coreProperties>
</file>