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C776B" w14:textId="77777777" w:rsidR="00AD6402" w:rsidRPr="005A0E27" w:rsidRDefault="00AD6402" w:rsidP="00AD6402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0E27">
        <w:rPr>
          <w:rFonts w:ascii="Times New Roman" w:hAnsi="Times New Roman" w:cs="Times New Roman"/>
          <w:b/>
          <w:sz w:val="28"/>
          <w:szCs w:val="24"/>
        </w:rPr>
        <w:t>Designing malaria surveillance strategies for mobile and migrant populations in Nepal: a mixed-methods study</w:t>
      </w:r>
    </w:p>
    <w:p w14:paraId="483E21D5" w14:textId="77777777" w:rsidR="00AD6402" w:rsidRDefault="00AD6402" w:rsidP="00AD6402">
      <w:pPr>
        <w:rPr>
          <w:rFonts w:ascii="Calibri" w:hAnsi="Calibri" w:cs="Calibri"/>
          <w:b/>
        </w:rPr>
      </w:pPr>
    </w:p>
    <w:p w14:paraId="14E3D86A" w14:textId="603E6BBB" w:rsidR="001E34FD" w:rsidRPr="00F93A2B" w:rsidRDefault="00AD6402" w:rsidP="00AD6402">
      <w:pPr>
        <w:rPr>
          <w:rFonts w:ascii="Calibri" w:hAnsi="Calibri" w:cs="Calibri"/>
          <w:b/>
        </w:rPr>
      </w:pPr>
      <w:r w:rsidRPr="005A0E27">
        <w:rPr>
          <w:rFonts w:ascii="Calibri" w:hAnsi="Calibri" w:cs="Calibri"/>
          <w:b/>
          <w:sz w:val="24"/>
        </w:rPr>
        <w:t xml:space="preserve">Additional file </w:t>
      </w:r>
      <w:r>
        <w:rPr>
          <w:rFonts w:ascii="Calibri" w:hAnsi="Calibri" w:cs="Calibri"/>
          <w:b/>
          <w:sz w:val="24"/>
        </w:rPr>
        <w:t>2</w:t>
      </w:r>
      <w:r w:rsidRPr="005A0E27">
        <w:rPr>
          <w:rFonts w:ascii="Calibri" w:hAnsi="Calibri" w:cs="Calibri"/>
          <w:b/>
          <w:sz w:val="24"/>
        </w:rPr>
        <w:t xml:space="preserve">. </w:t>
      </w:r>
      <w:r w:rsidR="001E34FD" w:rsidRPr="00C44E96">
        <w:rPr>
          <w:rFonts w:ascii="Calibri" w:hAnsi="Calibri" w:cs="Calibri"/>
          <w:b/>
          <w:sz w:val="24"/>
        </w:rPr>
        <w:t xml:space="preserve">Model </w:t>
      </w:r>
      <w:r w:rsidRPr="00C44E96">
        <w:rPr>
          <w:rFonts w:ascii="Calibri" w:hAnsi="Calibri" w:cs="Calibri"/>
          <w:b/>
          <w:sz w:val="24"/>
        </w:rPr>
        <w:t>selection criteria and model comparison</w:t>
      </w:r>
    </w:p>
    <w:p w14:paraId="03F21734" w14:textId="0660751F" w:rsidR="001E34FD" w:rsidRDefault="001E34FD" w:rsidP="001E34FD">
      <w:pPr>
        <w:rPr>
          <w:rFonts w:ascii="Calibri" w:hAnsi="Calibri" w:cs="Calibri"/>
        </w:rPr>
      </w:pPr>
      <w:r w:rsidRPr="00B156DB">
        <w:rPr>
          <w:rFonts w:ascii="Calibri" w:hAnsi="Calibri" w:cs="Calibri"/>
        </w:rPr>
        <w:t>All covariates selected via the preliminary analysis</w:t>
      </w:r>
      <w:r>
        <w:rPr>
          <w:rFonts w:ascii="Calibri" w:hAnsi="Calibri" w:cs="Calibri"/>
        </w:rPr>
        <w:t xml:space="preserve"> described in</w:t>
      </w:r>
      <w:r w:rsidR="00AC3434">
        <w:rPr>
          <w:rFonts w:ascii="Calibri" w:hAnsi="Calibri" w:cs="Calibri"/>
        </w:rPr>
        <w:t xml:space="preserve"> Additional file 1</w:t>
      </w:r>
      <w:r w:rsidRPr="00B156DB">
        <w:rPr>
          <w:rFonts w:ascii="Calibri" w:hAnsi="Calibri" w:cs="Calibri"/>
        </w:rPr>
        <w:t xml:space="preserve">, the reported cases and catchment population </w:t>
      </w:r>
      <w:proofErr w:type="gramStart"/>
      <w:r w:rsidRPr="00B156DB">
        <w:rPr>
          <w:rFonts w:ascii="Calibri" w:hAnsi="Calibri" w:cs="Calibri"/>
        </w:rPr>
        <w:t xml:space="preserve">were </w:t>
      </w:r>
      <w:r>
        <w:rPr>
          <w:rFonts w:ascii="Calibri" w:hAnsi="Calibri" w:cs="Calibri"/>
        </w:rPr>
        <w:t>analyzed</w:t>
      </w:r>
      <w:proofErr w:type="gramEnd"/>
      <w:r>
        <w:rPr>
          <w:rFonts w:ascii="Calibri" w:hAnsi="Calibri" w:cs="Calibri"/>
        </w:rPr>
        <w:t xml:space="preserve"> along a temporal conditional autoregressive component. Different models </w:t>
      </w:r>
      <w:proofErr w:type="gramStart"/>
      <w:r>
        <w:rPr>
          <w:rFonts w:ascii="Calibri" w:hAnsi="Calibri" w:cs="Calibri"/>
        </w:rPr>
        <w:t>were compared</w:t>
      </w:r>
      <w:proofErr w:type="gramEnd"/>
      <w:r>
        <w:rPr>
          <w:rFonts w:ascii="Calibri" w:hAnsi="Calibri" w:cs="Calibri"/>
        </w:rPr>
        <w:t xml:space="preserve"> using the conditional predictive ordinate (CPO), which is the sum of the predictive log probabilities of the holdout observations given the train set (using leave-one-out cross-validation). </w:t>
      </w:r>
      <w:proofErr w:type="gramStart"/>
      <w:r>
        <w:rPr>
          <w:rFonts w:ascii="Calibri" w:hAnsi="Calibri" w:cs="Calibri"/>
        </w:rPr>
        <w:t xml:space="preserve">Table </w:t>
      </w:r>
      <w:r w:rsidR="000C62A2">
        <w:rPr>
          <w:rFonts w:ascii="Calibri" w:hAnsi="Calibri" w:cs="Calibri"/>
        </w:rPr>
        <w:t>A</w:t>
      </w:r>
      <w:r>
        <w:rPr>
          <w:rFonts w:ascii="Calibri" w:hAnsi="Calibri" w:cs="Calibri"/>
        </w:rPr>
        <w:t>2.1 shows a summary of the models compared: Model 1 is a Poisson regression with</w:t>
      </w:r>
      <w:r w:rsidRPr="00B156DB">
        <w:rPr>
          <w:rFonts w:ascii="Calibri" w:hAnsi="Calibri" w:cs="Calibri"/>
        </w:rPr>
        <w:t xml:space="preserve"> only fixed effects</w:t>
      </w:r>
      <w:r>
        <w:rPr>
          <w:rFonts w:ascii="Calibri" w:hAnsi="Calibri" w:cs="Calibri"/>
        </w:rPr>
        <w:t>; Model 2 extends Model 1 by adding an unstructured effects per month and VDC; Model 3 extends Model 1 by adding a seasonal random effect with monthly periodicity and both a structured and an unstructured effects by VDC; and Model 4 is equivalent to model 3 without fixed effects.</w:t>
      </w:r>
      <w:proofErr w:type="gramEnd"/>
    </w:p>
    <w:p w14:paraId="7970DE4F" w14:textId="77777777" w:rsidR="001E34FD" w:rsidRDefault="001E34FD" w:rsidP="001E34FD">
      <w:pPr>
        <w:rPr>
          <w:rFonts w:ascii="Calibri" w:hAnsi="Calibri" w:cs="Calibri"/>
        </w:rPr>
      </w:pPr>
      <w:r>
        <w:rPr>
          <w:rFonts w:ascii="Calibri" w:hAnsi="Calibri" w:cs="Calibri"/>
        </w:rPr>
        <w:t>The model with highest CPO, and therefore selected as the best model, was Model 3. This model includes a s</w:t>
      </w:r>
      <w:r w:rsidRPr="00B156DB">
        <w:rPr>
          <w:rFonts w:ascii="Calibri" w:hAnsi="Calibri" w:cs="Calibri"/>
        </w:rPr>
        <w:t xml:space="preserve">easonal </w:t>
      </w:r>
      <w:r>
        <w:rPr>
          <w:rFonts w:ascii="Calibri" w:hAnsi="Calibri" w:cs="Calibri"/>
        </w:rPr>
        <w:t>component</w:t>
      </w:r>
      <w:r w:rsidRPr="00B156DB">
        <w:rPr>
          <w:rFonts w:ascii="Calibri" w:hAnsi="Calibri" w:cs="Calibri"/>
        </w:rPr>
        <w:t xml:space="preserve"> to allow</w:t>
      </w:r>
      <w:r>
        <w:rPr>
          <w:rFonts w:ascii="Calibri" w:hAnsi="Calibri" w:cs="Calibri"/>
        </w:rPr>
        <w:t xml:space="preserve"> the spatial process</w:t>
      </w:r>
      <w:r w:rsidRPr="00B156DB">
        <w:rPr>
          <w:rFonts w:ascii="Calibri" w:hAnsi="Calibri" w:cs="Calibri"/>
        </w:rPr>
        <w:t xml:space="preserve"> to evolve according to th</w:t>
      </w:r>
      <w:r>
        <w:rPr>
          <w:rFonts w:ascii="Calibri" w:hAnsi="Calibri" w:cs="Calibri"/>
        </w:rPr>
        <w:t xml:space="preserve">e observed seasonal month-to-month changes in transmission. </w:t>
      </w:r>
    </w:p>
    <w:p w14:paraId="7A0D7448" w14:textId="77777777" w:rsidR="001E34FD" w:rsidRDefault="001E34FD" w:rsidP="001E34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Model 3 </w:t>
      </w:r>
      <w:proofErr w:type="gramStart"/>
      <w:r>
        <w:rPr>
          <w:rFonts w:ascii="Calibri" w:hAnsi="Calibri" w:cs="Calibri"/>
        </w:rPr>
        <w:t>is formally defined</w:t>
      </w:r>
      <w:proofErr w:type="gramEnd"/>
      <w:r>
        <w:rPr>
          <w:rFonts w:ascii="Calibri" w:hAnsi="Calibri" w:cs="Calibri"/>
        </w:rPr>
        <w:t xml:space="preserve"> as follows:</w:t>
      </w:r>
    </w:p>
    <w:p w14:paraId="7132EA76" w14:textId="77777777" w:rsidR="001E34FD" w:rsidRPr="003823AA" w:rsidRDefault="001E34FD" w:rsidP="001E34FD">
      <w:pPr>
        <w:rPr>
          <w:rFonts w:ascii="Calibri" w:eastAsiaTheme="minorEastAsia" w:hAnsi="Calibri" w:cs="Calibri"/>
        </w:rPr>
      </w:pPr>
      <w:r w:rsidRPr="003823AA">
        <w:rPr>
          <w:rFonts w:ascii="Calibri" w:hAnsi="Calibri" w:cs="Calibri"/>
        </w:rPr>
        <w:t xml:space="preserve">Let </w:t>
      </w:r>
      <m:oMath>
        <m:r>
          <w:rPr>
            <w:rFonts w:ascii="Cambria Math" w:hAnsi="Cambria Math" w:cs="Calibri"/>
          </w:rPr>
          <m:t>s</m:t>
        </m:r>
      </m:oMath>
      <w:r>
        <w:rPr>
          <w:rFonts w:ascii="Calibri" w:eastAsiaTheme="minorEastAsia" w:hAnsi="Calibri" w:cs="Calibri"/>
        </w:rPr>
        <w:t xml:space="preserve"> be a</w:t>
      </w:r>
      <w:r w:rsidRPr="003823AA">
        <w:rPr>
          <w:rFonts w:ascii="Calibri" w:eastAsiaTheme="minorEastAsia" w:hAnsi="Calibri" w:cs="Calibri"/>
        </w:rPr>
        <w:t xml:space="preserve"> spatial index that denotes the VDCs and </w:t>
      </w:r>
      <m:oMath>
        <m:r>
          <w:rPr>
            <w:rFonts w:ascii="Cambria Math" w:hAnsi="Cambria Math" w:cs="Calibri"/>
          </w:rPr>
          <m:t>t</m:t>
        </m:r>
      </m:oMath>
      <w:r w:rsidRPr="003823AA">
        <w:rPr>
          <w:rFonts w:ascii="Calibri" w:eastAsiaTheme="minorEastAsia" w:hAnsi="Calibri" w:cs="Calibri"/>
        </w:rPr>
        <w:t xml:space="preserve"> be a time index that denotes time measured in months. Indi</w:t>
      </w:r>
      <w:r>
        <w:rPr>
          <w:rFonts w:ascii="Calibri" w:eastAsiaTheme="minorEastAsia" w:hAnsi="Calibri" w:cs="Calibri"/>
        </w:rPr>
        <w:t xml:space="preserve">genous case counts of malaria are assumed to be </w:t>
      </w:r>
      <w:r w:rsidRPr="003823AA">
        <w:rPr>
          <w:rFonts w:ascii="Calibri" w:eastAsiaTheme="minorEastAsia" w:hAnsi="Calibri" w:cs="Calibri"/>
        </w:rPr>
        <w:t xml:space="preserve">a Poisson variable such </w:t>
      </w:r>
      <w:proofErr w:type="gramStart"/>
      <w:r w:rsidRPr="003823AA">
        <w:rPr>
          <w:rFonts w:ascii="Calibri" w:eastAsiaTheme="minorEastAsia" w:hAnsi="Calibri" w:cs="Calibri"/>
        </w:rPr>
        <w:t xml:space="preserve">that </w:t>
      </w:r>
      <w:proofErr w:type="gramEnd"/>
      <m:oMath>
        <m:r>
          <w:rPr>
            <w:rFonts w:ascii="Cambria Math" w:eastAsiaTheme="minorEastAsia" w:hAnsi="Cambria Math" w:cs="Calibri"/>
          </w:rPr>
          <m:t>y</m:t>
        </m:r>
        <m:d>
          <m:dPr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r>
              <w:rPr>
                <w:rFonts w:ascii="Cambria Math" w:eastAsiaTheme="minorEastAsia" w:hAnsi="Cambria Math" w:cs="Calibri"/>
              </w:rPr>
              <m:t>s,t</m:t>
            </m:r>
          </m:e>
        </m:d>
        <m:r>
          <w:rPr>
            <w:rFonts w:ascii="Cambria Math" w:eastAsiaTheme="minorEastAsia" w:hAnsi="Cambria Math" w:cs="Calibri"/>
          </w:rPr>
          <m:t xml:space="preserve"> ~ Pois(r</m:t>
        </m:r>
        <m:d>
          <m:dPr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r>
              <w:rPr>
                <w:rFonts w:ascii="Cambria Math" w:eastAsiaTheme="minorEastAsia" w:hAnsi="Cambria Math" w:cs="Calibri"/>
              </w:rPr>
              <m:t>s,t</m:t>
            </m:r>
          </m:e>
        </m:d>
        <m:r>
          <w:rPr>
            <w:rFonts w:ascii="Cambria Math" w:eastAsiaTheme="minorEastAsia" w:hAnsi="Cambria Math" w:cs="Calibri"/>
          </w:rPr>
          <m:t>E</m:t>
        </m:r>
        <m:d>
          <m:dPr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r>
              <w:rPr>
                <w:rFonts w:ascii="Cambria Math" w:eastAsiaTheme="minorEastAsia" w:hAnsi="Cambria Math" w:cs="Calibri"/>
              </w:rPr>
              <m:t>s,t</m:t>
            </m:r>
          </m:e>
        </m:d>
        <m:r>
          <w:rPr>
            <w:rFonts w:ascii="Cambria Math" w:eastAsiaTheme="minorEastAsia" w:hAnsi="Cambria Math" w:cs="Calibri"/>
          </w:rPr>
          <m:t>)</m:t>
        </m:r>
      </m:oMath>
      <w:r w:rsidRPr="003823AA">
        <w:rPr>
          <w:rFonts w:ascii="Calibri" w:eastAsiaTheme="minorEastAsia" w:hAnsi="Calibri" w:cs="Calibri"/>
        </w:rPr>
        <w:t xml:space="preserve">, where </w:t>
      </w:r>
      <m:oMath>
        <m:r>
          <w:rPr>
            <w:rFonts w:ascii="Cambria Math" w:eastAsiaTheme="minorEastAsia" w:hAnsi="Cambria Math" w:cs="Calibri"/>
          </w:rPr>
          <m:t>r</m:t>
        </m:r>
      </m:oMath>
      <w:r w:rsidRPr="003823AA">
        <w:rPr>
          <w:rFonts w:ascii="Calibri" w:eastAsiaTheme="minorEastAsia" w:hAnsi="Calibri" w:cs="Calibri"/>
        </w:rPr>
        <w:t xml:space="preserve"> and </w:t>
      </w:r>
      <m:oMath>
        <m:r>
          <w:rPr>
            <w:rFonts w:ascii="Cambria Math" w:eastAsiaTheme="minorEastAsia" w:hAnsi="Cambria Math" w:cs="Calibri"/>
          </w:rPr>
          <m:t>E</m:t>
        </m:r>
      </m:oMath>
      <w:r w:rsidRPr="003823AA">
        <w:rPr>
          <w:rFonts w:ascii="Calibri" w:eastAsiaTheme="minorEastAsia" w:hAnsi="Calibri" w:cs="Calibri"/>
        </w:rPr>
        <w:t xml:space="preserve"> denote the rate and exposure factor respectively. The rate </w:t>
      </w:r>
      <w:proofErr w:type="gramStart"/>
      <w:r>
        <w:rPr>
          <w:rFonts w:ascii="Calibri" w:eastAsiaTheme="minorEastAsia" w:hAnsi="Calibri" w:cs="Calibri"/>
        </w:rPr>
        <w:t>i</w:t>
      </w:r>
      <w:r w:rsidRPr="003823AA">
        <w:rPr>
          <w:rFonts w:ascii="Calibri" w:eastAsiaTheme="minorEastAsia" w:hAnsi="Calibri" w:cs="Calibri"/>
        </w:rPr>
        <w:t>s modelled</w:t>
      </w:r>
      <w:proofErr w:type="gramEnd"/>
      <w:r w:rsidRPr="003823AA">
        <w:rPr>
          <w:rFonts w:ascii="Calibri" w:eastAsiaTheme="minorEastAsia" w:hAnsi="Calibri" w:cs="Calibri"/>
        </w:rPr>
        <w:t xml:space="preserve"> as a </w:t>
      </w:r>
      <w:proofErr w:type="spellStart"/>
      <w:r w:rsidRPr="003823AA">
        <w:rPr>
          <w:rFonts w:ascii="Calibri" w:eastAsiaTheme="minorEastAsia" w:hAnsi="Calibri" w:cs="Calibri"/>
        </w:rPr>
        <w:t>spatio</w:t>
      </w:r>
      <w:proofErr w:type="spellEnd"/>
      <w:r w:rsidRPr="003823AA">
        <w:rPr>
          <w:rFonts w:ascii="Calibri" w:eastAsiaTheme="minorEastAsia" w:hAnsi="Calibri" w:cs="Calibri"/>
        </w:rPr>
        <w:t>-temporal process of the form</w:t>
      </w:r>
    </w:p>
    <w:p w14:paraId="495997E5" w14:textId="77777777" w:rsidR="001E34FD" w:rsidRPr="003823AA" w:rsidRDefault="003F6F2F" w:rsidP="001E34FD">
      <w:pPr>
        <w:jc w:val="center"/>
        <w:rPr>
          <w:rFonts w:ascii="Calibri" w:hAnsi="Calibri" w:cs="Calibri"/>
        </w:rPr>
      </w:pPr>
      <m:oMath>
        <m:func>
          <m:funcPr>
            <m:ctrlPr>
              <w:rPr>
                <w:rFonts w:ascii="Cambria Math" w:hAnsi="Cambria Math" w:cs="Calibr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libri"/>
              </w:rPr>
              <m:t>log</m:t>
            </m:r>
          </m:fName>
          <m:e>
            <m:r>
              <w:rPr>
                <w:rFonts w:ascii="Cambria Math" w:hAnsi="Cambria Math" w:cs="Calibri"/>
              </w:rPr>
              <m:t>r(s, t)</m:t>
            </m:r>
          </m:e>
        </m:func>
        <m:r>
          <w:rPr>
            <w:rFonts w:ascii="Cambria Math" w:hAnsi="Cambria Math" w:cs="Calibri"/>
          </w:rPr>
          <m:t xml:space="preserve">=α+ </m:t>
        </m:r>
        <m:nary>
          <m:naryPr>
            <m:chr m:val="∑"/>
            <m:supHide m:val="1"/>
            <m:ctrlPr>
              <w:rPr>
                <w:rFonts w:ascii="Cambria Math" w:hAnsi="Cambria Math" w:cs="Calibri"/>
                <w:i/>
              </w:rPr>
            </m:ctrlPr>
          </m:naryPr>
          <m:sub>
            <m:r>
              <w:rPr>
                <w:rFonts w:ascii="Cambria Math" w:hAnsi="Cambria Math" w:cs="Calibri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τ</m:t>
                </m:r>
              </m:e>
              <m:sub>
                <m:r>
                  <w:rPr>
                    <w:rFonts w:ascii="Cambria Math" w:hAnsi="Cambria Math" w:cs="Calibri"/>
                  </w:rPr>
                  <m:t xml:space="preserve">i </m:t>
                </m:r>
              </m:sub>
            </m:sSub>
            <m:r>
              <w:rPr>
                <w:rFonts w:ascii="Cambria Math" w:hAnsi="Cambria Math" w:cs="Calibri"/>
              </w:rPr>
              <m:t>(s,t)+</m:t>
            </m:r>
          </m:e>
        </m:nary>
        <m:r>
          <w:rPr>
            <w:rFonts w:ascii="Cambria Math" w:hAnsi="Cambria Math" w:cs="Calibri"/>
          </w:rPr>
          <m:t xml:space="preserve"> </m:t>
        </m:r>
        <m:nary>
          <m:naryPr>
            <m:chr m:val="∑"/>
            <m:supHide m:val="1"/>
            <m:ctrlPr>
              <w:rPr>
                <w:rFonts w:ascii="Cambria Math" w:hAnsi="Cambria Math" w:cs="Calibri"/>
                <w:i/>
              </w:rPr>
            </m:ctrlPr>
          </m:naryPr>
          <m:sub>
            <m:r>
              <w:rPr>
                <w:rFonts w:ascii="Cambria Math" w:hAnsi="Cambria Math" w:cs="Calibri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β</m:t>
                </m:r>
              </m:e>
              <m:sub>
                <m:r>
                  <w:rPr>
                    <w:rFonts w:ascii="Cambria Math" w:hAnsi="Cambria Math" w:cs="Calibri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x</m:t>
                </m:r>
              </m:e>
              <m:sub>
                <m:r>
                  <w:rPr>
                    <w:rFonts w:ascii="Cambria Math" w:hAnsi="Cambria Math" w:cs="Calibri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s,t</m:t>
                </m:r>
              </m:e>
            </m:d>
            <m:r>
              <w:rPr>
                <w:rFonts w:ascii="Cambria Math" w:hAnsi="Cambria Math" w:cs="Calibri"/>
              </w:rPr>
              <m:t>+f</m:t>
            </m:r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t</m:t>
                </m:r>
              </m:e>
            </m:d>
            <m:r>
              <w:rPr>
                <w:rFonts w:ascii="Cambria Math" w:hAnsi="Cambria Math" w:cs="Calibri"/>
              </w:rPr>
              <m:t xml:space="preserve">+ </m:t>
            </m:r>
          </m:e>
        </m:nary>
        <m:r>
          <w:rPr>
            <w:rFonts w:ascii="Cambria Math" w:hAnsi="Cambria Math" w:cs="Calibri"/>
          </w:rPr>
          <m:t>u</m:t>
        </m:r>
        <m:d>
          <m:dPr>
            <m:ctrlPr>
              <w:rPr>
                <w:rFonts w:ascii="Cambria Math" w:hAnsi="Cambria Math" w:cs="Calibri"/>
                <w:i/>
              </w:rPr>
            </m:ctrlPr>
          </m:dPr>
          <m:e>
            <m:r>
              <w:rPr>
                <w:rFonts w:ascii="Cambria Math" w:hAnsi="Cambria Math" w:cs="Calibri"/>
              </w:rPr>
              <m:t>s,t</m:t>
            </m:r>
          </m:e>
        </m:d>
        <m:r>
          <w:rPr>
            <w:rFonts w:ascii="Cambria Math" w:hAnsi="Cambria Math" w:cs="Calibri"/>
          </w:rPr>
          <m:t>+v(s,t)</m:t>
        </m:r>
      </m:oMath>
      <w:r w:rsidR="001E34FD" w:rsidRPr="003823AA">
        <w:rPr>
          <w:rFonts w:ascii="Calibri" w:eastAsiaTheme="minorEastAsia" w:hAnsi="Calibri" w:cs="Calibri"/>
        </w:rPr>
        <w:t>,</w:t>
      </w:r>
    </w:p>
    <w:p w14:paraId="0D24FCBE" w14:textId="77777777" w:rsidR="001E34FD" w:rsidRDefault="001E34FD" w:rsidP="001E34FD">
      <w:pPr>
        <w:rPr>
          <w:rFonts w:ascii="Calibri" w:hAnsi="Calibri" w:cs="Calibri"/>
        </w:rPr>
      </w:pPr>
      <w:r w:rsidRPr="003823AA">
        <w:rPr>
          <w:rFonts w:ascii="Calibri" w:hAnsi="Calibri" w:cs="Calibri"/>
        </w:rPr>
        <w:t xml:space="preserve">where </w:t>
      </w:r>
      <m:oMath>
        <m:r>
          <w:rPr>
            <w:rFonts w:ascii="Cambria Math" w:hAnsi="Cambria Math" w:cs="Calibri"/>
          </w:rPr>
          <m:t>α</m:t>
        </m:r>
      </m:oMath>
      <w:r w:rsidRPr="003823AA">
        <w:rPr>
          <w:rFonts w:ascii="Calibri" w:hAnsi="Calibri" w:cs="Calibri"/>
        </w:rPr>
        <w:t xml:space="preserve"> is the overall mean;  </w:t>
      </w:r>
      <m:oMath>
        <m:r>
          <w:rPr>
            <w:rFonts w:ascii="Cambria Math" w:hAnsi="Cambria Math" w:cs="Calibri"/>
          </w:rPr>
          <m:t>{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τ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r>
          <w:rPr>
            <w:rFonts w:ascii="Cambria Math" w:hAnsi="Cambria Math" w:cs="Calibri"/>
          </w:rPr>
          <m:t>}</m:t>
        </m:r>
      </m:oMath>
      <w:r w:rsidRPr="003823AA">
        <w:rPr>
          <w:rFonts w:ascii="Calibri" w:hAnsi="Calibri" w:cs="Calibri"/>
        </w:rPr>
        <w:t xml:space="preserve"> are factors that include classifications by amount of rain, year, type of district and population density; </w:t>
      </w:r>
      <m:oMath>
        <m:r>
          <w:rPr>
            <w:rFonts w:ascii="Cambria Math" w:hAnsi="Cambria Math" w:cs="Calibri"/>
          </w:rPr>
          <m:t>{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r>
          <w:rPr>
            <w:rFonts w:ascii="Cambria Math" w:hAnsi="Cambria Math" w:cs="Calibri"/>
          </w:rPr>
          <m:t>}</m:t>
        </m:r>
      </m:oMath>
      <w:r w:rsidRPr="003823AA">
        <w:rPr>
          <w:rFonts w:ascii="Calibri" w:hAnsi="Calibri" w:cs="Calibri"/>
        </w:rPr>
        <w:t xml:space="preserve"> are varying or invariant covariates with regression parameters </w:t>
      </w:r>
      <m:oMath>
        <m:r>
          <w:rPr>
            <w:rFonts w:ascii="Cambria Math" w:hAnsi="Cambria Math" w:cs="Calibri"/>
          </w:rPr>
          <m:t>{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β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r>
          <w:rPr>
            <w:rFonts w:ascii="Cambria Math" w:hAnsi="Cambria Math" w:cs="Calibri"/>
          </w:rPr>
          <m:t>}</m:t>
        </m:r>
      </m:oMath>
      <w:r w:rsidRPr="003823AA">
        <w:rPr>
          <w:rFonts w:ascii="Calibri" w:hAnsi="Calibri" w:cs="Calibri"/>
        </w:rPr>
        <w:t xml:space="preserve">; </w:t>
      </w:r>
      <m:oMath>
        <m:r>
          <w:rPr>
            <w:rFonts w:ascii="Cambria Math" w:hAnsi="Cambria Math" w:cs="Calibri"/>
          </w:rPr>
          <m:t>f(t)</m:t>
        </m:r>
      </m:oMath>
      <w:r w:rsidRPr="003823AA">
        <w:rPr>
          <w:rFonts w:ascii="Calibri" w:hAnsi="Calibri" w:cs="Calibri"/>
        </w:rPr>
        <w:t xml:space="preserve"> is a non linear seasonal effect; and </w:t>
      </w:r>
      <m:oMath>
        <m:r>
          <w:rPr>
            <w:rFonts w:ascii="Cambria Math" w:hAnsi="Cambria Math" w:cs="Calibri"/>
          </w:rPr>
          <m:t>u(s,t)</m:t>
        </m:r>
      </m:oMath>
      <w:r w:rsidRPr="003823AA">
        <w:rPr>
          <w:rFonts w:ascii="Calibri" w:hAnsi="Calibri" w:cs="Calibri"/>
        </w:rPr>
        <w:t xml:space="preserve"> and </w:t>
      </w:r>
      <m:oMath>
        <m:r>
          <w:rPr>
            <w:rFonts w:ascii="Cambria Math" w:hAnsi="Cambria Math" w:cs="Calibri"/>
          </w:rPr>
          <m:t>v(s,t)</m:t>
        </m:r>
      </m:oMath>
      <w:r w:rsidRPr="003823AA">
        <w:rPr>
          <w:rFonts w:ascii="Calibri" w:hAnsi="Calibri" w:cs="Calibri"/>
        </w:rPr>
        <w:t xml:space="preserve"> are the structured and unstructured spatial components of a Besag-York-Molli</w:t>
      </w:r>
      <w:r>
        <w:rPr>
          <w:rFonts w:ascii="Calibri" w:hAnsi="Calibri" w:cs="Calibri"/>
        </w:rPr>
        <w:t>é</w:t>
      </w:r>
      <w:r w:rsidRPr="003823AA">
        <w:rPr>
          <w:rFonts w:ascii="Calibri" w:hAnsi="Calibri" w:cs="Calibri"/>
        </w:rPr>
        <w:t xml:space="preserve"> (BYM) model with an autoregressive effect</w:t>
      </w:r>
      <w:r>
        <w:rPr>
          <w:rFonts w:ascii="Calibri" w:hAnsi="Calibri" w:cs="Calibri"/>
        </w:rPr>
        <w:t xml:space="preserve"> (hence the temporal index)</w:t>
      </w:r>
      <w:r w:rsidRPr="003823AA">
        <w:rPr>
          <w:rFonts w:ascii="Calibri" w:hAnsi="Calibri" w:cs="Calibri"/>
        </w:rPr>
        <w:t>.</w:t>
      </w:r>
    </w:p>
    <w:p w14:paraId="266FD9BA" w14:textId="77777777" w:rsidR="000C62A2" w:rsidRDefault="000C62A2">
      <w:r>
        <w:br w:type="page"/>
      </w:r>
    </w:p>
    <w:p w14:paraId="0CC787F3" w14:textId="651D6CBC" w:rsidR="00AC3434" w:rsidRDefault="00AC3434" w:rsidP="00AC3434">
      <w:r>
        <w:lastRenderedPageBreak/>
        <w:t xml:space="preserve">Figure </w:t>
      </w:r>
      <w:r w:rsidR="000C62A2">
        <w:t>A</w:t>
      </w:r>
      <w:r w:rsidR="00C44E96">
        <w:t>2</w:t>
      </w:r>
      <w:bookmarkStart w:id="0" w:name="_GoBack"/>
      <w:bookmarkEnd w:id="0"/>
      <w:r>
        <w:t xml:space="preserve">. Case counts by month for surveillance data in three districts from 2013-2016, showing the annual periodicity of seasonal transmission. Grey shaded areas indicate times when MMPs report frequent travel back to Nepal. </w:t>
      </w:r>
    </w:p>
    <w:p w14:paraId="5DB73C02" w14:textId="77777777" w:rsidR="00AC3434" w:rsidRDefault="00AC3434" w:rsidP="00AC3434">
      <w:r>
        <w:rPr>
          <w:noProof/>
        </w:rPr>
        <w:drawing>
          <wp:inline distT="0" distB="0" distL="0" distR="0" wp14:anchorId="5986048C" wp14:editId="5EE2EB1C">
            <wp:extent cx="5772150" cy="3298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1_YearMonth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216" cy="330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76482" w14:textId="77777777" w:rsidR="00AC3434" w:rsidRDefault="00AC3434" w:rsidP="00C01CEB">
      <w:pPr>
        <w:rPr>
          <w:rFonts w:ascii="Calibri" w:hAnsi="Calibri" w:cs="Calibri"/>
          <w:b/>
        </w:rPr>
        <w:sectPr w:rsidR="00AC3434" w:rsidSect="001E34F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C78378" w14:textId="4682941F" w:rsidR="00E02CE5" w:rsidRDefault="00FF1687" w:rsidP="00C01CEB">
      <w:r w:rsidRPr="00FF5996">
        <w:rPr>
          <w:rFonts w:ascii="Calibri" w:hAnsi="Calibri" w:cs="Calibri"/>
          <w:b/>
        </w:rPr>
        <w:lastRenderedPageBreak/>
        <w:t xml:space="preserve"> </w:t>
      </w:r>
      <w:r w:rsidR="00642B79">
        <w:t xml:space="preserve">Table </w:t>
      </w:r>
      <w:r w:rsidR="000C62A2">
        <w:t>A</w:t>
      </w:r>
      <w:r w:rsidR="00740075">
        <w:t>2.1</w:t>
      </w:r>
      <w:r w:rsidR="0024597F">
        <w:t xml:space="preserve"> </w:t>
      </w:r>
      <w:r w:rsidR="00131BD5">
        <w:t>Comparison of four models</w:t>
      </w:r>
      <w:r w:rsidR="00F368F8">
        <w:t xml:space="preserve"> of the monthly incidence of indigenous malaria</w:t>
      </w:r>
      <w:r w:rsidR="00A73426">
        <w:t xml:space="preserve"> (all species)</w:t>
      </w:r>
      <w:r w:rsidR="00131BD5">
        <w:t>, with o</w:t>
      </w:r>
      <w:r w:rsidR="0024597F">
        <w:t xml:space="preserve">dds ratios of fixed effects and </w:t>
      </w:r>
      <w:r w:rsidR="00131BD5">
        <w:t xml:space="preserve">precision of </w:t>
      </w:r>
      <w:r w:rsidR="0024597F">
        <w:t>random effects</w:t>
      </w:r>
      <w:r w:rsidR="00131BD5">
        <w:t>.</w:t>
      </w:r>
      <w:r w:rsidR="0024597F">
        <w:t xml:space="preserve"> </w:t>
      </w:r>
    </w:p>
    <w:tbl>
      <w:tblPr>
        <w:tblStyle w:val="TableGrid"/>
        <w:tblW w:w="13009" w:type="dxa"/>
        <w:tblLook w:val="04A0" w:firstRow="1" w:lastRow="0" w:firstColumn="1" w:lastColumn="0" w:noHBand="0" w:noVBand="1"/>
      </w:tblPr>
      <w:tblGrid>
        <w:gridCol w:w="2436"/>
        <w:gridCol w:w="2079"/>
        <w:gridCol w:w="271"/>
        <w:gridCol w:w="2350"/>
        <w:gridCol w:w="271"/>
        <w:gridCol w:w="2622"/>
        <w:gridCol w:w="361"/>
        <w:gridCol w:w="2619"/>
      </w:tblGrid>
      <w:tr w:rsidR="003B0A0A" w:rsidRPr="00331512" w14:paraId="0EB00165" w14:textId="77777777" w:rsidTr="0031516D">
        <w:trPr>
          <w:trHeight w:val="294"/>
        </w:trPr>
        <w:tc>
          <w:tcPr>
            <w:tcW w:w="2436" w:type="dxa"/>
            <w:noWrap/>
          </w:tcPr>
          <w:p w14:paraId="6E0B6144" w14:textId="77777777" w:rsidR="003B0A0A" w:rsidRPr="00331512" w:rsidRDefault="003B0A0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73" w:type="dxa"/>
            <w:gridSpan w:val="7"/>
          </w:tcPr>
          <w:p w14:paraId="459F6344" w14:textId="77777777" w:rsidR="003B0A0A" w:rsidRPr="00331512" w:rsidRDefault="003B0A0A" w:rsidP="00D638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Posterior mean, (95% </w:t>
            </w:r>
            <w:proofErr w:type="spellStart"/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Crl</w:t>
            </w:r>
            <w:proofErr w:type="spellEnd"/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</w:tr>
      <w:tr w:rsidR="008E0CBA" w:rsidRPr="00331512" w14:paraId="5ED13AA2" w14:textId="77777777" w:rsidTr="0031516D">
        <w:trPr>
          <w:trHeight w:val="294"/>
        </w:trPr>
        <w:tc>
          <w:tcPr>
            <w:tcW w:w="2436" w:type="dxa"/>
            <w:noWrap/>
            <w:vAlign w:val="bottom"/>
            <w:hideMark/>
          </w:tcPr>
          <w:p w14:paraId="1132436E" w14:textId="7FA779B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Fixed effects (Odds ratios)</w:t>
            </w:r>
          </w:p>
        </w:tc>
        <w:tc>
          <w:tcPr>
            <w:tcW w:w="2079" w:type="dxa"/>
            <w:noWrap/>
            <w:hideMark/>
          </w:tcPr>
          <w:p w14:paraId="50518E3B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Model 1</w:t>
            </w:r>
          </w:p>
          <w:p w14:paraId="63CA3AE8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(Fixed effects only)</w:t>
            </w:r>
          </w:p>
        </w:tc>
        <w:tc>
          <w:tcPr>
            <w:tcW w:w="271" w:type="dxa"/>
          </w:tcPr>
          <w:p w14:paraId="6042CF70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7E1CF0DF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Model 2</w:t>
            </w:r>
          </w:p>
          <w:p w14:paraId="37519E83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(Unstructured RE)</w:t>
            </w:r>
          </w:p>
        </w:tc>
        <w:tc>
          <w:tcPr>
            <w:tcW w:w="271" w:type="dxa"/>
          </w:tcPr>
          <w:p w14:paraId="513AD909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59A5191E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Model 3</w:t>
            </w:r>
          </w:p>
          <w:p w14:paraId="2DC16E7D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proofErr w:type="spellStart"/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Spatio</w:t>
            </w:r>
            <w:proofErr w:type="spellEnd"/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-temporal, covariates)</w:t>
            </w:r>
          </w:p>
        </w:tc>
        <w:tc>
          <w:tcPr>
            <w:tcW w:w="361" w:type="dxa"/>
          </w:tcPr>
          <w:p w14:paraId="70B87C09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707B622C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Model 4</w:t>
            </w:r>
          </w:p>
          <w:p w14:paraId="48722A65" w14:textId="77777777" w:rsidR="008E0CBA" w:rsidRPr="00331512" w:rsidRDefault="008E0CBA" w:rsidP="008E0CB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proofErr w:type="spellStart"/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Spatio</w:t>
            </w:r>
            <w:proofErr w:type="spellEnd"/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-temporal null)</w:t>
            </w:r>
          </w:p>
        </w:tc>
      </w:tr>
      <w:tr w:rsidR="008E0CBA" w:rsidRPr="00331512" w14:paraId="7F50E4D2" w14:textId="77777777" w:rsidTr="0031516D">
        <w:trPr>
          <w:trHeight w:val="294"/>
        </w:trPr>
        <w:tc>
          <w:tcPr>
            <w:tcW w:w="2436" w:type="dxa"/>
            <w:noWrap/>
          </w:tcPr>
          <w:p w14:paraId="7114BF0C" w14:textId="411FC75F" w:rsidR="008E0CBA" w:rsidRPr="00331512" w:rsidRDefault="008E0CBA" w:rsidP="008E0CB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Lagged importation rate</w:t>
            </w:r>
            <w:r w:rsidRPr="003315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79" w:type="dxa"/>
            <w:noWrap/>
          </w:tcPr>
          <w:p w14:paraId="43F210C4" w14:textId="7C74962A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1.038 (1.031, 1.044)</w:t>
            </w:r>
          </w:p>
        </w:tc>
        <w:tc>
          <w:tcPr>
            <w:tcW w:w="271" w:type="dxa"/>
          </w:tcPr>
          <w:p w14:paraId="387A0E2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</w:tcPr>
          <w:p w14:paraId="3D7D33E0" w14:textId="157672B6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1.015 (1.006, 1.024)</w:t>
            </w:r>
          </w:p>
        </w:tc>
        <w:tc>
          <w:tcPr>
            <w:tcW w:w="271" w:type="dxa"/>
          </w:tcPr>
          <w:p w14:paraId="073BE614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</w:tcPr>
          <w:p w14:paraId="1FF64E9B" w14:textId="70C946FB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1.020 (1.009, 1.031)</w:t>
            </w:r>
          </w:p>
        </w:tc>
        <w:tc>
          <w:tcPr>
            <w:tcW w:w="361" w:type="dxa"/>
          </w:tcPr>
          <w:p w14:paraId="473252C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</w:tcPr>
          <w:p w14:paraId="709E2DD3" w14:textId="397E65EF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78A08A78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412302AF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LST (C°)</w:t>
            </w:r>
          </w:p>
        </w:tc>
        <w:tc>
          <w:tcPr>
            <w:tcW w:w="2079" w:type="dxa"/>
            <w:noWrap/>
            <w:hideMark/>
          </w:tcPr>
          <w:p w14:paraId="772AD7AD" w14:textId="1CC483F1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1.015 (1.002, 1.029)</w:t>
            </w:r>
          </w:p>
        </w:tc>
        <w:tc>
          <w:tcPr>
            <w:tcW w:w="271" w:type="dxa"/>
          </w:tcPr>
          <w:p w14:paraId="41A0FB7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57DBC232" w14:textId="6E69DCE2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1.027 (1.013, 1.041)</w:t>
            </w:r>
          </w:p>
        </w:tc>
        <w:tc>
          <w:tcPr>
            <w:tcW w:w="271" w:type="dxa"/>
          </w:tcPr>
          <w:p w14:paraId="24B5DA5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6F8553AD" w14:textId="583D6B48" w:rsidR="008E0CBA" w:rsidRPr="00331512" w:rsidRDefault="008E0CBA" w:rsidP="008E0CBA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1.016 (0.978, 1.049)</w:t>
            </w:r>
          </w:p>
        </w:tc>
        <w:tc>
          <w:tcPr>
            <w:tcW w:w="361" w:type="dxa"/>
          </w:tcPr>
          <w:p w14:paraId="68E8168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2AB4E421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43EB489F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41ED1E8C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Rainfall (mm): &lt;20</w:t>
            </w:r>
          </w:p>
        </w:tc>
        <w:tc>
          <w:tcPr>
            <w:tcW w:w="2079" w:type="dxa"/>
            <w:noWrap/>
            <w:hideMark/>
          </w:tcPr>
          <w:p w14:paraId="40B9AB9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71" w:type="dxa"/>
          </w:tcPr>
          <w:p w14:paraId="2DF790D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0D7BBC8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71" w:type="dxa"/>
          </w:tcPr>
          <w:p w14:paraId="5EFB702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6F09CF4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1" w:type="dxa"/>
          </w:tcPr>
          <w:p w14:paraId="6662759E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6A47148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7E7223D0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344DE3D7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20-119</w:t>
            </w:r>
          </w:p>
        </w:tc>
        <w:tc>
          <w:tcPr>
            <w:tcW w:w="2079" w:type="dxa"/>
            <w:noWrap/>
            <w:hideMark/>
          </w:tcPr>
          <w:p w14:paraId="2B2A6E0C" w14:textId="6C602D7A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1.237 (0.988, 1.556)</w:t>
            </w:r>
          </w:p>
        </w:tc>
        <w:tc>
          <w:tcPr>
            <w:tcW w:w="271" w:type="dxa"/>
          </w:tcPr>
          <w:p w14:paraId="15CC8C04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63243E22" w14:textId="0DF08F82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1.201 (0.961, 1.507)</w:t>
            </w:r>
          </w:p>
        </w:tc>
        <w:tc>
          <w:tcPr>
            <w:tcW w:w="271" w:type="dxa"/>
          </w:tcPr>
          <w:p w14:paraId="00707F8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76D974CC" w14:textId="41DA4DB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1.117 (0.757, 1.618)</w:t>
            </w:r>
          </w:p>
        </w:tc>
        <w:tc>
          <w:tcPr>
            <w:tcW w:w="361" w:type="dxa"/>
          </w:tcPr>
          <w:p w14:paraId="0F62A1A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55DF9C0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67DCC260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7BD4F04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120-1450</w:t>
            </w:r>
          </w:p>
        </w:tc>
        <w:tc>
          <w:tcPr>
            <w:tcW w:w="2079" w:type="dxa"/>
            <w:noWrap/>
            <w:hideMark/>
          </w:tcPr>
          <w:p w14:paraId="3311B3AC" w14:textId="585B43C1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1.645 (1.333, 2.040)</w:t>
            </w:r>
          </w:p>
        </w:tc>
        <w:tc>
          <w:tcPr>
            <w:tcW w:w="271" w:type="dxa"/>
          </w:tcPr>
          <w:p w14:paraId="4926A107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69FC77AF" w14:textId="459D6D23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1.619 (1.315, 2.005)</w:t>
            </w:r>
          </w:p>
        </w:tc>
        <w:tc>
          <w:tcPr>
            <w:tcW w:w="271" w:type="dxa"/>
          </w:tcPr>
          <w:p w14:paraId="1588753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2F060731" w14:textId="476EE6AA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1.334 (0.8, 2.065)</w:t>
            </w:r>
          </w:p>
        </w:tc>
        <w:tc>
          <w:tcPr>
            <w:tcW w:w="361" w:type="dxa"/>
          </w:tcPr>
          <w:p w14:paraId="154EA37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04E1DCB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0D91B259" w14:textId="77777777" w:rsidTr="0031516D">
        <w:trPr>
          <w:trHeight w:val="294"/>
        </w:trPr>
        <w:tc>
          <w:tcPr>
            <w:tcW w:w="2436" w:type="dxa"/>
            <w:noWrap/>
          </w:tcPr>
          <w:p w14:paraId="1B19C6AD" w14:textId="201C74E3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High population density</w:t>
            </w:r>
            <w:r w:rsidRPr="003315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79" w:type="dxa"/>
            <w:noWrap/>
          </w:tcPr>
          <w:p w14:paraId="46E7A09B" w14:textId="3F731256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0.534 (0.449, 0.663)</w:t>
            </w:r>
          </w:p>
        </w:tc>
        <w:tc>
          <w:tcPr>
            <w:tcW w:w="271" w:type="dxa"/>
          </w:tcPr>
          <w:p w14:paraId="3F09384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</w:tcPr>
          <w:p w14:paraId="5FC0805D" w14:textId="442F7315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0.586 (0.371, 0.923)</w:t>
            </w:r>
          </w:p>
        </w:tc>
        <w:tc>
          <w:tcPr>
            <w:tcW w:w="271" w:type="dxa"/>
          </w:tcPr>
          <w:p w14:paraId="77094CB1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</w:tcPr>
          <w:p w14:paraId="3AD02B7F" w14:textId="34A56CB8" w:rsidR="008E0CBA" w:rsidRPr="00331512" w:rsidRDefault="008E0CBA" w:rsidP="008E0CBA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0.614 (0.399, 0.947)</w:t>
            </w:r>
          </w:p>
        </w:tc>
        <w:tc>
          <w:tcPr>
            <w:tcW w:w="361" w:type="dxa"/>
          </w:tcPr>
          <w:p w14:paraId="5F217117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</w:tcPr>
          <w:p w14:paraId="20FC63E9" w14:textId="3A1CDFB4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0CBA" w:rsidRPr="00331512" w14:paraId="0632CDF8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2973A58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Year:        2013</w:t>
            </w:r>
          </w:p>
        </w:tc>
        <w:tc>
          <w:tcPr>
            <w:tcW w:w="2079" w:type="dxa"/>
            <w:noWrap/>
            <w:hideMark/>
          </w:tcPr>
          <w:p w14:paraId="54A0D69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71" w:type="dxa"/>
          </w:tcPr>
          <w:p w14:paraId="39548C4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7B969FE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71" w:type="dxa"/>
          </w:tcPr>
          <w:p w14:paraId="5C81B437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76EB848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1" w:type="dxa"/>
          </w:tcPr>
          <w:p w14:paraId="444769F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02B8CA3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7218DB8F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66144DB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2014</w:t>
            </w:r>
          </w:p>
        </w:tc>
        <w:tc>
          <w:tcPr>
            <w:tcW w:w="2079" w:type="dxa"/>
            <w:noWrap/>
            <w:hideMark/>
          </w:tcPr>
          <w:p w14:paraId="33F6D6F7" w14:textId="4F96E7E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0.669 (0.555, 0.804)</w:t>
            </w:r>
          </w:p>
        </w:tc>
        <w:tc>
          <w:tcPr>
            <w:tcW w:w="271" w:type="dxa"/>
          </w:tcPr>
          <w:p w14:paraId="1FA19CB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16051FC6" w14:textId="5A7631A2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0.649 (0.538, 0.781)</w:t>
            </w:r>
          </w:p>
        </w:tc>
        <w:tc>
          <w:tcPr>
            <w:tcW w:w="271" w:type="dxa"/>
          </w:tcPr>
          <w:p w14:paraId="5DA0B0DD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vAlign w:val="bottom"/>
            <w:hideMark/>
          </w:tcPr>
          <w:p w14:paraId="78AE087D" w14:textId="188221D5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0.635 (0.48, 0.838)</w:t>
            </w:r>
          </w:p>
        </w:tc>
        <w:tc>
          <w:tcPr>
            <w:tcW w:w="361" w:type="dxa"/>
          </w:tcPr>
          <w:p w14:paraId="4788AD6E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61721EE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60270B8A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3EABF40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2015</w:t>
            </w:r>
          </w:p>
        </w:tc>
        <w:tc>
          <w:tcPr>
            <w:tcW w:w="2079" w:type="dxa"/>
            <w:noWrap/>
            <w:hideMark/>
          </w:tcPr>
          <w:p w14:paraId="65BCE2B1" w14:textId="4DE684CC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0.426 (0.335, 0.537)</w:t>
            </w:r>
          </w:p>
        </w:tc>
        <w:tc>
          <w:tcPr>
            <w:tcW w:w="271" w:type="dxa"/>
          </w:tcPr>
          <w:p w14:paraId="1A5184B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445CD684" w14:textId="4BB04E4F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0.404 (0.317, 0.511)</w:t>
            </w:r>
          </w:p>
        </w:tc>
        <w:tc>
          <w:tcPr>
            <w:tcW w:w="271" w:type="dxa"/>
          </w:tcPr>
          <w:p w14:paraId="389E59B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vAlign w:val="bottom"/>
            <w:hideMark/>
          </w:tcPr>
          <w:p w14:paraId="2DE4EAE5" w14:textId="0A5FC6B9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0.442 (0.305, 0.64)</w:t>
            </w:r>
          </w:p>
        </w:tc>
        <w:tc>
          <w:tcPr>
            <w:tcW w:w="361" w:type="dxa"/>
          </w:tcPr>
          <w:p w14:paraId="4214211E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1947522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63456EF7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54F28C84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2016</w:t>
            </w:r>
          </w:p>
        </w:tc>
        <w:tc>
          <w:tcPr>
            <w:tcW w:w="2079" w:type="dxa"/>
            <w:noWrap/>
            <w:hideMark/>
          </w:tcPr>
          <w:p w14:paraId="7805868E" w14:textId="2DFA8963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0.721 (0.581, 0.890)</w:t>
            </w:r>
          </w:p>
        </w:tc>
        <w:tc>
          <w:tcPr>
            <w:tcW w:w="271" w:type="dxa"/>
          </w:tcPr>
          <w:p w14:paraId="0707F74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57A6958B" w14:textId="12999231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0.676 (0.542, 0.837)</w:t>
            </w:r>
          </w:p>
        </w:tc>
        <w:tc>
          <w:tcPr>
            <w:tcW w:w="271" w:type="dxa"/>
          </w:tcPr>
          <w:p w14:paraId="2CC3D02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vAlign w:val="bottom"/>
            <w:hideMark/>
          </w:tcPr>
          <w:p w14:paraId="6F15867D" w14:textId="0FB440ED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0.636 (0.436, 0.924)</w:t>
            </w:r>
          </w:p>
        </w:tc>
        <w:tc>
          <w:tcPr>
            <w:tcW w:w="361" w:type="dxa"/>
          </w:tcPr>
          <w:p w14:paraId="27D5623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4024EA8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550ABBA2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79BEEF97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District:   </w:t>
            </w:r>
            <w:proofErr w:type="spellStart"/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Kailali</w:t>
            </w:r>
            <w:proofErr w:type="spellEnd"/>
          </w:p>
        </w:tc>
        <w:tc>
          <w:tcPr>
            <w:tcW w:w="2079" w:type="dxa"/>
            <w:noWrap/>
            <w:hideMark/>
          </w:tcPr>
          <w:p w14:paraId="2CFA695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71" w:type="dxa"/>
          </w:tcPr>
          <w:p w14:paraId="1DA8279E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5704994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71" w:type="dxa"/>
          </w:tcPr>
          <w:p w14:paraId="66796AE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5B06CA2D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1" w:type="dxa"/>
          </w:tcPr>
          <w:p w14:paraId="2E870B4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0DC837A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06E76285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17CD0CC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proofErr w:type="spellStart"/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Kanchanpur</w:t>
            </w:r>
            <w:proofErr w:type="spellEnd"/>
          </w:p>
        </w:tc>
        <w:tc>
          <w:tcPr>
            <w:tcW w:w="2079" w:type="dxa"/>
            <w:noWrap/>
            <w:hideMark/>
          </w:tcPr>
          <w:p w14:paraId="306FB005" w14:textId="3294ED9C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0.596 (0.499, 0.709)</w:t>
            </w:r>
          </w:p>
        </w:tc>
        <w:tc>
          <w:tcPr>
            <w:tcW w:w="271" w:type="dxa"/>
          </w:tcPr>
          <w:p w14:paraId="47C06A1C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3BB39A26" w14:textId="21CF9ED6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0.494 (0.314, 0.780)</w:t>
            </w:r>
          </w:p>
        </w:tc>
        <w:tc>
          <w:tcPr>
            <w:tcW w:w="271" w:type="dxa"/>
          </w:tcPr>
          <w:p w14:paraId="742D85CF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vAlign w:val="bottom"/>
            <w:hideMark/>
          </w:tcPr>
          <w:p w14:paraId="11734685" w14:textId="0F9B542E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0.475 (0.308, 0.736)</w:t>
            </w:r>
          </w:p>
        </w:tc>
        <w:tc>
          <w:tcPr>
            <w:tcW w:w="361" w:type="dxa"/>
          </w:tcPr>
          <w:p w14:paraId="0E651A9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57B99DC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5821FA88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75BB3FC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proofErr w:type="spellStart"/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Bardiya</w:t>
            </w:r>
            <w:proofErr w:type="spellEnd"/>
          </w:p>
        </w:tc>
        <w:tc>
          <w:tcPr>
            <w:tcW w:w="2079" w:type="dxa"/>
            <w:noWrap/>
            <w:hideMark/>
          </w:tcPr>
          <w:p w14:paraId="2B8A0591" w14:textId="0A501F5A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0.845 (0.649, 1.085)</w:t>
            </w:r>
          </w:p>
        </w:tc>
        <w:tc>
          <w:tcPr>
            <w:tcW w:w="271" w:type="dxa"/>
          </w:tcPr>
          <w:p w14:paraId="69044A8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64AC792E" w14:textId="6336846B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0.746 (0.466, 1.184)</w:t>
            </w:r>
          </w:p>
        </w:tc>
        <w:tc>
          <w:tcPr>
            <w:tcW w:w="271" w:type="dxa"/>
          </w:tcPr>
          <w:p w14:paraId="47B1CCE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vAlign w:val="bottom"/>
            <w:hideMark/>
          </w:tcPr>
          <w:p w14:paraId="0B0D8E30" w14:textId="75113FB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0.768 (0.486, 1.205)</w:t>
            </w:r>
          </w:p>
        </w:tc>
        <w:tc>
          <w:tcPr>
            <w:tcW w:w="361" w:type="dxa"/>
          </w:tcPr>
          <w:p w14:paraId="22146EA1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04E4C9E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5EA43D23" w14:textId="77777777" w:rsidTr="0031516D">
        <w:trPr>
          <w:trHeight w:val="294"/>
        </w:trPr>
        <w:tc>
          <w:tcPr>
            <w:tcW w:w="2436" w:type="dxa"/>
            <w:noWrap/>
          </w:tcPr>
          <w:p w14:paraId="2A9510EB" w14:textId="77777777" w:rsidR="008E0CBA" w:rsidRPr="00331512" w:rsidRDefault="008E0CBA" w:rsidP="008E0CB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b/>
                <w:sz w:val="20"/>
                <w:szCs w:val="20"/>
              </w:rPr>
              <w:t>Random effects (Precision)</w:t>
            </w:r>
          </w:p>
        </w:tc>
        <w:tc>
          <w:tcPr>
            <w:tcW w:w="2079" w:type="dxa"/>
            <w:noWrap/>
          </w:tcPr>
          <w:p w14:paraId="33B6D53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1" w:type="dxa"/>
          </w:tcPr>
          <w:p w14:paraId="081EBAFC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</w:tcPr>
          <w:p w14:paraId="1DF80FC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1" w:type="dxa"/>
          </w:tcPr>
          <w:p w14:paraId="5081B13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</w:tcPr>
          <w:p w14:paraId="1A784ABF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1" w:type="dxa"/>
          </w:tcPr>
          <w:p w14:paraId="13D84AF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</w:tcPr>
          <w:p w14:paraId="6BC0CDCE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0CBA" w:rsidRPr="00331512" w14:paraId="395582E3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5DCA57B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Seasonal random effect</w:t>
            </w:r>
          </w:p>
        </w:tc>
        <w:tc>
          <w:tcPr>
            <w:tcW w:w="2079" w:type="dxa"/>
            <w:noWrap/>
            <w:hideMark/>
          </w:tcPr>
          <w:p w14:paraId="36948FFA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271" w:type="dxa"/>
          </w:tcPr>
          <w:p w14:paraId="7C644B0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2E9E2F6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271" w:type="dxa"/>
          </w:tcPr>
          <w:p w14:paraId="058CFAD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0C8049C7" w14:textId="1A2D688A" w:rsidR="008E0CBA" w:rsidRPr="00331512" w:rsidRDefault="008E0CBA" w:rsidP="008E0CBA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2.949 (0.052, 17.118)</w:t>
            </w:r>
          </w:p>
        </w:tc>
        <w:tc>
          <w:tcPr>
            <w:tcW w:w="361" w:type="dxa"/>
          </w:tcPr>
          <w:p w14:paraId="309AFCD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44E2514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0.782 (0.044, 3.234)</w:t>
            </w:r>
          </w:p>
        </w:tc>
      </w:tr>
      <w:tr w:rsidR="008E0CBA" w:rsidRPr="00331512" w14:paraId="5FA2F32E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208B13BC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Month effect unstructured</w:t>
            </w:r>
          </w:p>
        </w:tc>
        <w:tc>
          <w:tcPr>
            <w:tcW w:w="2079" w:type="dxa"/>
            <w:noWrap/>
            <w:hideMark/>
          </w:tcPr>
          <w:p w14:paraId="1280E1E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271" w:type="dxa"/>
          </w:tcPr>
          <w:p w14:paraId="7566FCC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0AFC88C2" w14:textId="29DB98DD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18347.737 (1203.659, 66292.779)</w:t>
            </w:r>
          </w:p>
        </w:tc>
        <w:tc>
          <w:tcPr>
            <w:tcW w:w="271" w:type="dxa"/>
          </w:tcPr>
          <w:p w14:paraId="151736F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36A3ABC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361" w:type="dxa"/>
          </w:tcPr>
          <w:p w14:paraId="4002685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376959B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8E0CBA" w:rsidRPr="00331512" w14:paraId="25345844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09580CAC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VDC effect unstructured</w:t>
            </w:r>
          </w:p>
        </w:tc>
        <w:tc>
          <w:tcPr>
            <w:tcW w:w="2079" w:type="dxa"/>
            <w:noWrap/>
            <w:hideMark/>
          </w:tcPr>
          <w:p w14:paraId="11EAD79D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271" w:type="dxa"/>
          </w:tcPr>
          <w:p w14:paraId="795E4D31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31C4429E" w14:textId="300F2621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3.741 (2.01, 6.364)</w:t>
            </w:r>
          </w:p>
        </w:tc>
        <w:tc>
          <w:tcPr>
            <w:tcW w:w="271" w:type="dxa"/>
          </w:tcPr>
          <w:p w14:paraId="513C7DF1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18B85886" w14:textId="02D8ABBB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2.25 (1.464, 3.329)</w:t>
            </w:r>
          </w:p>
        </w:tc>
        <w:tc>
          <w:tcPr>
            <w:tcW w:w="361" w:type="dxa"/>
          </w:tcPr>
          <w:p w14:paraId="7328DB94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017CA0E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1.422 (0.988, 1.993)</w:t>
            </w:r>
          </w:p>
        </w:tc>
      </w:tr>
      <w:tr w:rsidR="008E0CBA" w:rsidRPr="00331512" w14:paraId="6EA56306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642AE69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VDC effect structured</w:t>
            </w:r>
          </w:p>
        </w:tc>
        <w:tc>
          <w:tcPr>
            <w:tcW w:w="2079" w:type="dxa"/>
            <w:noWrap/>
            <w:hideMark/>
          </w:tcPr>
          <w:p w14:paraId="5CDD3BE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271" w:type="dxa"/>
          </w:tcPr>
          <w:p w14:paraId="2E501DFB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529AF2D6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271" w:type="dxa"/>
          </w:tcPr>
          <w:p w14:paraId="1D62CE9E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729D32D3" w14:textId="10291BE1" w:rsidR="008E0CBA" w:rsidRPr="00331512" w:rsidRDefault="008E0CBA" w:rsidP="008E0CBA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3013.549 (745.87, 7326.23</w:t>
            </w: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61" w:type="dxa"/>
          </w:tcPr>
          <w:p w14:paraId="13B3C80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730DACA6" w14:textId="241D84ED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2983.061 (743.79, 7403.18</w:t>
            </w: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8E0CBA" w:rsidRPr="00331512" w14:paraId="50DFD448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59D4CDCC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DIC</w:t>
            </w:r>
          </w:p>
        </w:tc>
        <w:tc>
          <w:tcPr>
            <w:tcW w:w="2079" w:type="dxa"/>
            <w:noWrap/>
            <w:hideMark/>
          </w:tcPr>
          <w:p w14:paraId="53E7E53F" w14:textId="53A77CA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2033.719</w:t>
            </w:r>
          </w:p>
        </w:tc>
        <w:tc>
          <w:tcPr>
            <w:tcW w:w="271" w:type="dxa"/>
          </w:tcPr>
          <w:p w14:paraId="02528F70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34555E3B" w14:textId="073BAF5F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1860.554</w:t>
            </w:r>
          </w:p>
        </w:tc>
        <w:tc>
          <w:tcPr>
            <w:tcW w:w="271" w:type="dxa"/>
          </w:tcPr>
          <w:p w14:paraId="4A0CCD2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68277290" w14:textId="69819FBB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1810.916</w:t>
            </w:r>
          </w:p>
        </w:tc>
        <w:tc>
          <w:tcPr>
            <w:tcW w:w="361" w:type="dxa"/>
          </w:tcPr>
          <w:p w14:paraId="4C62E1E4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0880D108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1816.487</w:t>
            </w:r>
          </w:p>
        </w:tc>
      </w:tr>
      <w:tr w:rsidR="008E0CBA" w:rsidRPr="00331512" w14:paraId="2FEE514F" w14:textId="77777777" w:rsidTr="0031516D">
        <w:trPr>
          <w:trHeight w:val="294"/>
        </w:trPr>
        <w:tc>
          <w:tcPr>
            <w:tcW w:w="2436" w:type="dxa"/>
            <w:noWrap/>
            <w:hideMark/>
          </w:tcPr>
          <w:p w14:paraId="35DFA6B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CPO</w:t>
            </w:r>
          </w:p>
        </w:tc>
        <w:tc>
          <w:tcPr>
            <w:tcW w:w="2079" w:type="dxa"/>
            <w:noWrap/>
            <w:hideMark/>
          </w:tcPr>
          <w:p w14:paraId="600BD581" w14:textId="1FFEA90D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-1022</w:t>
            </w:r>
          </w:p>
        </w:tc>
        <w:tc>
          <w:tcPr>
            <w:tcW w:w="271" w:type="dxa"/>
          </w:tcPr>
          <w:p w14:paraId="410AAEF3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0" w:type="dxa"/>
            <w:noWrap/>
            <w:hideMark/>
          </w:tcPr>
          <w:p w14:paraId="51E66822" w14:textId="37392B10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-931</w:t>
            </w:r>
          </w:p>
        </w:tc>
        <w:tc>
          <w:tcPr>
            <w:tcW w:w="271" w:type="dxa"/>
          </w:tcPr>
          <w:p w14:paraId="0F35C19D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1C514EAC" w14:textId="6998CCEC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-907</w:t>
            </w:r>
          </w:p>
        </w:tc>
        <w:tc>
          <w:tcPr>
            <w:tcW w:w="361" w:type="dxa"/>
          </w:tcPr>
          <w:p w14:paraId="7643DD85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17" w:type="dxa"/>
            <w:noWrap/>
            <w:hideMark/>
          </w:tcPr>
          <w:p w14:paraId="24962AA2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-962</w:t>
            </w:r>
          </w:p>
        </w:tc>
      </w:tr>
      <w:tr w:rsidR="008E0CBA" w:rsidRPr="00331512" w14:paraId="7084EA98" w14:textId="77777777" w:rsidTr="0031516D">
        <w:trPr>
          <w:trHeight w:val="1176"/>
        </w:trPr>
        <w:tc>
          <w:tcPr>
            <w:tcW w:w="13009" w:type="dxa"/>
            <w:gridSpan w:val="8"/>
          </w:tcPr>
          <w:p w14:paraId="64B20FF9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Crl</w:t>
            </w:r>
            <w:proofErr w:type="spellEnd"/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 Bayesian credible interval; C Celsius; mm millimeter; OR odds ratio; LST land surface temperature; VDC village development committee; DIC deviance information criteria; CPO conditional predictive ordinate</w:t>
            </w:r>
          </w:p>
          <w:p w14:paraId="1E1BC037" w14:textId="0576F483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1 </w:t>
            </w: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 xml:space="preserve">Monthly cases per 1000 population, </w:t>
            </w:r>
            <w:r w:rsidRPr="003315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2</w:t>
            </w: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Defined as the top quartile</w:t>
            </w:r>
          </w:p>
          <w:p w14:paraId="29A9C204" w14:textId="77777777" w:rsidR="008E0CBA" w:rsidRPr="00331512" w:rsidRDefault="008E0CBA" w:rsidP="008E0C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1512">
              <w:rPr>
                <w:rFonts w:asciiTheme="majorHAnsi" w:hAnsiTheme="majorHAnsi" w:cstheme="majorHAnsi"/>
                <w:sz w:val="20"/>
                <w:szCs w:val="20"/>
              </w:rPr>
              <w:t>Model 1: Fixed effects only; Model 2: Unstructured random effects for month and VDC; Model 3: Spatial VDC random effect within months, allowing for seasonal trend between months; Model 5: Without covariates  (Spatial VDC random effect within months, allowing for seasonal trend between months)</w:t>
            </w:r>
          </w:p>
        </w:tc>
      </w:tr>
    </w:tbl>
    <w:p w14:paraId="3628AC93" w14:textId="30CAC7F7" w:rsidR="00FC4C01" w:rsidRDefault="00FC4C01" w:rsidP="0031516D"/>
    <w:sectPr w:rsidR="00FC4C01" w:rsidSect="003151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1BA5D" w14:textId="77777777" w:rsidR="003F6F2F" w:rsidRDefault="003F6F2F" w:rsidP="00FF1687">
      <w:pPr>
        <w:spacing w:after="0" w:line="240" w:lineRule="auto"/>
      </w:pPr>
      <w:r>
        <w:separator/>
      </w:r>
    </w:p>
  </w:endnote>
  <w:endnote w:type="continuationSeparator" w:id="0">
    <w:p w14:paraId="1B82B9B1" w14:textId="77777777" w:rsidR="003F6F2F" w:rsidRDefault="003F6F2F" w:rsidP="00FF1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FC0F9" w14:textId="77777777" w:rsidR="003F6F2F" w:rsidRDefault="003F6F2F" w:rsidP="00FF1687">
      <w:pPr>
        <w:spacing w:after="0" w:line="240" w:lineRule="auto"/>
      </w:pPr>
      <w:r>
        <w:separator/>
      </w:r>
    </w:p>
  </w:footnote>
  <w:footnote w:type="continuationSeparator" w:id="0">
    <w:p w14:paraId="600FD8E8" w14:textId="77777777" w:rsidR="003F6F2F" w:rsidRDefault="003F6F2F" w:rsidP="00FF1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3248C" w14:textId="550B584E" w:rsidR="00D65D19" w:rsidRDefault="00D65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E"/>
    <w:rsid w:val="00002C79"/>
    <w:rsid w:val="00042E1E"/>
    <w:rsid w:val="000579A3"/>
    <w:rsid w:val="00072A3E"/>
    <w:rsid w:val="000C1DB1"/>
    <w:rsid w:val="000C62A2"/>
    <w:rsid w:val="000D0E7D"/>
    <w:rsid w:val="00131BD5"/>
    <w:rsid w:val="00134ECB"/>
    <w:rsid w:val="00145D0C"/>
    <w:rsid w:val="00153C04"/>
    <w:rsid w:val="00157274"/>
    <w:rsid w:val="00194FF6"/>
    <w:rsid w:val="001A57EC"/>
    <w:rsid w:val="001C295D"/>
    <w:rsid w:val="001C33B5"/>
    <w:rsid w:val="001D1910"/>
    <w:rsid w:val="001E2FA1"/>
    <w:rsid w:val="001E34FD"/>
    <w:rsid w:val="0020147F"/>
    <w:rsid w:val="002142E3"/>
    <w:rsid w:val="002402C7"/>
    <w:rsid w:val="0024154A"/>
    <w:rsid w:val="0024597F"/>
    <w:rsid w:val="00251349"/>
    <w:rsid w:val="00261E8F"/>
    <w:rsid w:val="00262241"/>
    <w:rsid w:val="00262B16"/>
    <w:rsid w:val="00265B4F"/>
    <w:rsid w:val="002A59A4"/>
    <w:rsid w:val="00307BD7"/>
    <w:rsid w:val="0031516D"/>
    <w:rsid w:val="00331512"/>
    <w:rsid w:val="00342619"/>
    <w:rsid w:val="00350E9D"/>
    <w:rsid w:val="003520C0"/>
    <w:rsid w:val="003604FD"/>
    <w:rsid w:val="003646ED"/>
    <w:rsid w:val="00364F78"/>
    <w:rsid w:val="00367A79"/>
    <w:rsid w:val="003823AA"/>
    <w:rsid w:val="00385101"/>
    <w:rsid w:val="00385282"/>
    <w:rsid w:val="003908F0"/>
    <w:rsid w:val="00397261"/>
    <w:rsid w:val="003A0B48"/>
    <w:rsid w:val="003B0A0A"/>
    <w:rsid w:val="003C320E"/>
    <w:rsid w:val="003F243F"/>
    <w:rsid w:val="003F2A5B"/>
    <w:rsid w:val="003F6626"/>
    <w:rsid w:val="003F6F2F"/>
    <w:rsid w:val="00421D49"/>
    <w:rsid w:val="00445A62"/>
    <w:rsid w:val="004617FC"/>
    <w:rsid w:val="004876BB"/>
    <w:rsid w:val="00491997"/>
    <w:rsid w:val="004A1E25"/>
    <w:rsid w:val="004A7028"/>
    <w:rsid w:val="004D14E3"/>
    <w:rsid w:val="004E3783"/>
    <w:rsid w:val="004F099B"/>
    <w:rsid w:val="005110EB"/>
    <w:rsid w:val="00515C3A"/>
    <w:rsid w:val="00533F34"/>
    <w:rsid w:val="0054639F"/>
    <w:rsid w:val="005A0803"/>
    <w:rsid w:val="005C134C"/>
    <w:rsid w:val="005D2F96"/>
    <w:rsid w:val="005E03C1"/>
    <w:rsid w:val="005E6B5B"/>
    <w:rsid w:val="006103B5"/>
    <w:rsid w:val="00614EF0"/>
    <w:rsid w:val="00642B79"/>
    <w:rsid w:val="00654D92"/>
    <w:rsid w:val="006561E7"/>
    <w:rsid w:val="00664C2C"/>
    <w:rsid w:val="00693A98"/>
    <w:rsid w:val="006A11EF"/>
    <w:rsid w:val="006A3D01"/>
    <w:rsid w:val="006B6B9F"/>
    <w:rsid w:val="006D484C"/>
    <w:rsid w:val="00723747"/>
    <w:rsid w:val="00723C79"/>
    <w:rsid w:val="00740075"/>
    <w:rsid w:val="007563F4"/>
    <w:rsid w:val="00756D3B"/>
    <w:rsid w:val="0076635E"/>
    <w:rsid w:val="007828C0"/>
    <w:rsid w:val="00783BB8"/>
    <w:rsid w:val="007A43C7"/>
    <w:rsid w:val="007C25F9"/>
    <w:rsid w:val="00800B8B"/>
    <w:rsid w:val="00801566"/>
    <w:rsid w:val="0080377A"/>
    <w:rsid w:val="00810028"/>
    <w:rsid w:val="00825866"/>
    <w:rsid w:val="00845CD5"/>
    <w:rsid w:val="00847E2A"/>
    <w:rsid w:val="0085349A"/>
    <w:rsid w:val="00866D74"/>
    <w:rsid w:val="008732C5"/>
    <w:rsid w:val="00887716"/>
    <w:rsid w:val="008B542F"/>
    <w:rsid w:val="008D1FBD"/>
    <w:rsid w:val="008E06FA"/>
    <w:rsid w:val="008E0CBA"/>
    <w:rsid w:val="00914850"/>
    <w:rsid w:val="00927442"/>
    <w:rsid w:val="009279A8"/>
    <w:rsid w:val="00935C91"/>
    <w:rsid w:val="00955E1F"/>
    <w:rsid w:val="0096418C"/>
    <w:rsid w:val="00972CCD"/>
    <w:rsid w:val="009759A3"/>
    <w:rsid w:val="0099542E"/>
    <w:rsid w:val="009961BF"/>
    <w:rsid w:val="009A3CAE"/>
    <w:rsid w:val="009C4EB4"/>
    <w:rsid w:val="009D3A34"/>
    <w:rsid w:val="009E66BC"/>
    <w:rsid w:val="00A027A5"/>
    <w:rsid w:val="00A10742"/>
    <w:rsid w:val="00A1425E"/>
    <w:rsid w:val="00A2756F"/>
    <w:rsid w:val="00A332C8"/>
    <w:rsid w:val="00A34D09"/>
    <w:rsid w:val="00A42B31"/>
    <w:rsid w:val="00A517C3"/>
    <w:rsid w:val="00A62106"/>
    <w:rsid w:val="00A73426"/>
    <w:rsid w:val="00A82180"/>
    <w:rsid w:val="00A873CE"/>
    <w:rsid w:val="00A9173C"/>
    <w:rsid w:val="00AA1482"/>
    <w:rsid w:val="00AB4561"/>
    <w:rsid w:val="00AB461E"/>
    <w:rsid w:val="00AC3434"/>
    <w:rsid w:val="00AC39B3"/>
    <w:rsid w:val="00AC7160"/>
    <w:rsid w:val="00AC744E"/>
    <w:rsid w:val="00AD27BF"/>
    <w:rsid w:val="00AD34FE"/>
    <w:rsid w:val="00AD6402"/>
    <w:rsid w:val="00B156DB"/>
    <w:rsid w:val="00B22E78"/>
    <w:rsid w:val="00B424C4"/>
    <w:rsid w:val="00B43441"/>
    <w:rsid w:val="00B664A0"/>
    <w:rsid w:val="00B754B5"/>
    <w:rsid w:val="00BB6DAD"/>
    <w:rsid w:val="00BC2A1F"/>
    <w:rsid w:val="00BC6F0F"/>
    <w:rsid w:val="00BD0858"/>
    <w:rsid w:val="00BE5F8F"/>
    <w:rsid w:val="00BF262B"/>
    <w:rsid w:val="00BF5501"/>
    <w:rsid w:val="00BF6B04"/>
    <w:rsid w:val="00C01CEB"/>
    <w:rsid w:val="00C03D67"/>
    <w:rsid w:val="00C05E5F"/>
    <w:rsid w:val="00C21856"/>
    <w:rsid w:val="00C25ABF"/>
    <w:rsid w:val="00C4006E"/>
    <w:rsid w:val="00C44E96"/>
    <w:rsid w:val="00C5083B"/>
    <w:rsid w:val="00C571DD"/>
    <w:rsid w:val="00CA02E1"/>
    <w:rsid w:val="00CA332B"/>
    <w:rsid w:val="00D03B19"/>
    <w:rsid w:val="00D21D78"/>
    <w:rsid w:val="00D30268"/>
    <w:rsid w:val="00D54A09"/>
    <w:rsid w:val="00D63880"/>
    <w:rsid w:val="00D65D19"/>
    <w:rsid w:val="00D90909"/>
    <w:rsid w:val="00DA2A4D"/>
    <w:rsid w:val="00DC0101"/>
    <w:rsid w:val="00DE22E7"/>
    <w:rsid w:val="00DE697F"/>
    <w:rsid w:val="00DF5C4B"/>
    <w:rsid w:val="00E02CE5"/>
    <w:rsid w:val="00E156CF"/>
    <w:rsid w:val="00E230E1"/>
    <w:rsid w:val="00E2353B"/>
    <w:rsid w:val="00E31B5F"/>
    <w:rsid w:val="00E41E9F"/>
    <w:rsid w:val="00E444F5"/>
    <w:rsid w:val="00E74496"/>
    <w:rsid w:val="00E915BE"/>
    <w:rsid w:val="00EA47DB"/>
    <w:rsid w:val="00ED2C62"/>
    <w:rsid w:val="00EF639F"/>
    <w:rsid w:val="00F251A9"/>
    <w:rsid w:val="00F368F8"/>
    <w:rsid w:val="00F37DF4"/>
    <w:rsid w:val="00F41461"/>
    <w:rsid w:val="00F43D87"/>
    <w:rsid w:val="00F671BC"/>
    <w:rsid w:val="00F671C4"/>
    <w:rsid w:val="00F728AE"/>
    <w:rsid w:val="00F93A2B"/>
    <w:rsid w:val="00FB277C"/>
    <w:rsid w:val="00FC4C01"/>
    <w:rsid w:val="00FD6884"/>
    <w:rsid w:val="00FF168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816EA"/>
  <w15:chartTrackingRefBased/>
  <w15:docId w15:val="{EA68547B-EF00-46FB-A9D6-7151FA03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1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87"/>
  </w:style>
  <w:style w:type="paragraph" w:styleId="Footer">
    <w:name w:val="footer"/>
    <w:basedOn w:val="Normal"/>
    <w:link w:val="FooterChar"/>
    <w:uiPriority w:val="99"/>
    <w:unhideWhenUsed/>
    <w:rsid w:val="00FF1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687"/>
  </w:style>
  <w:style w:type="character" w:styleId="PlaceholderText">
    <w:name w:val="Placeholder Text"/>
    <w:basedOn w:val="DefaultParagraphFont"/>
    <w:uiPriority w:val="99"/>
    <w:semiHidden/>
    <w:rsid w:val="00E744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2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4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4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Jennifer</dc:creator>
  <cp:keywords/>
  <dc:description/>
  <cp:lastModifiedBy>Smith, Jennifer</cp:lastModifiedBy>
  <cp:revision>2</cp:revision>
  <cp:lastPrinted>2018-09-13T20:18:00Z</cp:lastPrinted>
  <dcterms:created xsi:type="dcterms:W3CDTF">2019-04-19T16:43:00Z</dcterms:created>
  <dcterms:modified xsi:type="dcterms:W3CDTF">2019-04-19T16:43:00Z</dcterms:modified>
</cp:coreProperties>
</file>