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B4" w:rsidRDefault="00E21CB4" w:rsidP="00E21CB4">
      <w:pPr>
        <w:jc w:val="center"/>
        <w:rPr>
          <w:b/>
          <w:sz w:val="36"/>
          <w:szCs w:val="36"/>
          <w:lang w:val="en-US"/>
        </w:rPr>
      </w:pPr>
    </w:p>
    <w:p w:rsidR="005636BF" w:rsidRDefault="00EF7537" w:rsidP="00E21CB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Additional file 1</w:t>
      </w:r>
    </w:p>
    <w:p w:rsidR="00E21CB4" w:rsidRPr="003823A7" w:rsidRDefault="00E21CB4" w:rsidP="00E21CB4">
      <w:pPr>
        <w:pStyle w:val="ListParagraph"/>
        <w:jc w:val="center"/>
        <w:rPr>
          <w:b/>
          <w:lang w:val="en-GB"/>
        </w:rPr>
      </w:pPr>
      <w:r w:rsidRPr="003823A7">
        <w:rPr>
          <w:b/>
          <w:lang w:val="en-GB"/>
        </w:rPr>
        <w:t xml:space="preserve">A long-term follow-up study on otoacoustic emissions testing in </w:t>
      </w:r>
      <w:proofErr w:type="spellStart"/>
      <w:r w:rsidRPr="003823A7">
        <w:rPr>
          <w:b/>
          <w:lang w:val="en-GB"/>
        </w:rPr>
        <w:t>pediatric</w:t>
      </w:r>
      <w:proofErr w:type="spellEnd"/>
      <w:r w:rsidRPr="003823A7">
        <w:rPr>
          <w:b/>
          <w:lang w:val="en-GB"/>
        </w:rPr>
        <w:t xml:space="preserve"> patients with severe malaria in Gabon</w:t>
      </w:r>
    </w:p>
    <w:p w:rsidR="00E21CB4" w:rsidRPr="00C70512" w:rsidRDefault="00E21CB4" w:rsidP="00E21CB4">
      <w:pPr>
        <w:jc w:val="both"/>
      </w:pPr>
      <w:r w:rsidRPr="00562CA2">
        <w:t>Elisa Reiterer</w:t>
      </w:r>
      <w:r w:rsidR="004F0FDE" w:rsidRPr="004F0FDE">
        <w:rPr>
          <w:vertAlign w:val="superscript"/>
        </w:rPr>
        <w:t>1</w:t>
      </w:r>
      <w:r>
        <w:t>, Simon Reider</w:t>
      </w:r>
      <w:r w:rsidR="004F0FDE">
        <w:rPr>
          <w:vertAlign w:val="superscript"/>
        </w:rPr>
        <w:t>2</w:t>
      </w:r>
      <w:r>
        <w:t xml:space="preserve">, </w:t>
      </w:r>
      <w:r w:rsidRPr="00562CA2">
        <w:t>Peter Lackner</w:t>
      </w:r>
      <w:r w:rsidR="004F0FDE">
        <w:rPr>
          <w:vertAlign w:val="superscript"/>
        </w:rPr>
        <w:t>3</w:t>
      </w:r>
      <w:r w:rsidRPr="00562CA2">
        <w:t>, Natalie Fischer</w:t>
      </w:r>
      <w:r w:rsidR="004F0FDE">
        <w:rPr>
          <w:vertAlign w:val="superscript"/>
        </w:rPr>
        <w:t>1</w:t>
      </w:r>
      <w:r>
        <w:t>, Daniel Dejaco</w:t>
      </w:r>
      <w:r w:rsidR="004F0FDE">
        <w:rPr>
          <w:vertAlign w:val="superscript"/>
        </w:rPr>
        <w:t>1</w:t>
      </w:r>
      <w:r>
        <w:t>, Herbert Riechelmann</w:t>
      </w:r>
      <w:r w:rsidR="004F0FDE">
        <w:rPr>
          <w:vertAlign w:val="superscript"/>
        </w:rPr>
        <w:t>1</w:t>
      </w:r>
      <w:r>
        <w:t>, Patri</w:t>
      </w:r>
      <w:r w:rsidR="004F0FDE">
        <w:t>c</w:t>
      </w:r>
      <w:r>
        <w:t>k Zorowka</w:t>
      </w:r>
      <w:r w:rsidR="004F0FDE">
        <w:rPr>
          <w:vertAlign w:val="superscript"/>
        </w:rPr>
        <w:t>4</w:t>
      </w:r>
      <w:r>
        <w:t>, Peter Kremsner</w:t>
      </w:r>
      <w:r>
        <w:rPr>
          <w:vertAlign w:val="superscript"/>
        </w:rPr>
        <w:t>5</w:t>
      </w:r>
      <w:r w:rsidR="004F0FDE">
        <w:rPr>
          <w:vertAlign w:val="superscript"/>
        </w:rPr>
        <w:t>,6</w:t>
      </w:r>
      <w:r>
        <w:t>, Ayola Akim Adegnika</w:t>
      </w:r>
      <w:r w:rsidR="004F0FDE">
        <w:rPr>
          <w:vertAlign w:val="superscript"/>
        </w:rPr>
        <w:t>5</w:t>
      </w:r>
      <w:r>
        <w:t>, Erich Schmutzhard</w:t>
      </w:r>
      <w:r w:rsidR="004F0FDE">
        <w:rPr>
          <w:vertAlign w:val="superscript"/>
        </w:rPr>
        <w:t>3</w:t>
      </w:r>
      <w:r>
        <w:t>, Joachim Schmutzhard</w:t>
      </w:r>
      <w:r w:rsidR="004F0FDE">
        <w:rPr>
          <w:vertAlign w:val="superscript"/>
        </w:rPr>
        <w:t>1</w:t>
      </w:r>
      <w:r>
        <w:rPr>
          <w:vertAlign w:val="superscript"/>
        </w:rPr>
        <w:t>*</w:t>
      </w:r>
    </w:p>
    <w:p w:rsidR="00E21CB4" w:rsidRDefault="00E21CB4" w:rsidP="00E21CB4">
      <w:pPr>
        <w:rPr>
          <w:b/>
        </w:rPr>
      </w:pPr>
    </w:p>
    <w:p w:rsidR="00E21CB4" w:rsidRDefault="00E21CB4" w:rsidP="00E21CB4">
      <w:pPr>
        <w:rPr>
          <w:b/>
        </w:rPr>
      </w:pPr>
    </w:p>
    <w:p w:rsidR="00E21CB4" w:rsidRPr="00701A63" w:rsidRDefault="00EF7537" w:rsidP="00E21CB4">
      <w:pPr>
        <w:rPr>
          <w:b/>
          <w:lang w:val="en-US"/>
        </w:rPr>
      </w:pPr>
      <w:r>
        <w:rPr>
          <w:b/>
          <w:lang w:val="en-US"/>
        </w:rPr>
        <w:t>Additional</w:t>
      </w:r>
      <w:r w:rsidR="00E21CB4" w:rsidRPr="00701A63">
        <w:rPr>
          <w:b/>
          <w:lang w:val="en-US"/>
        </w:rPr>
        <w:t xml:space="preserve"> Figures</w:t>
      </w:r>
    </w:p>
    <w:p w:rsidR="00E21CB4" w:rsidRDefault="00E21CB4" w:rsidP="00E21C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en-GB"/>
        </w:rPr>
      </w:pPr>
    </w:p>
    <w:p w:rsidR="00E21CB4" w:rsidRPr="00701A63" w:rsidRDefault="002C03DC" w:rsidP="00E21CB4">
      <w:pPr>
        <w:rPr>
          <w:b/>
          <w:lang w:val="en-US"/>
        </w:rPr>
      </w:pPr>
      <w:r w:rsidRPr="00B85650">
        <w:rPr>
          <w:rFonts w:ascii="Arial" w:hAnsi="Arial" w:cs="Arial"/>
          <w:noProof/>
          <w:lang w:val="en-IN" w:eastAsia="en-IN"/>
        </w:rPr>
        <w:drawing>
          <wp:inline distT="0" distB="0" distL="0" distR="0">
            <wp:extent cx="5220586" cy="2785731"/>
            <wp:effectExtent l="0" t="0" r="18415" b="15240"/>
            <wp:docPr id="12" name="Diagram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03DC" w:rsidRPr="00A40656" w:rsidRDefault="002C03DC" w:rsidP="00E21CB4">
      <w:pPr>
        <w:rPr>
          <w:rFonts w:cs="Arial"/>
          <w:lang w:val="en-GB"/>
        </w:rPr>
      </w:pPr>
      <w:r w:rsidRPr="00A40656">
        <w:rPr>
          <w:rFonts w:cs="Arial"/>
          <w:lang w:val="en-GB"/>
        </w:rPr>
        <w:t>Fig</w:t>
      </w:r>
      <w:r w:rsidR="00EF7537" w:rsidRPr="00A40656">
        <w:rPr>
          <w:rFonts w:cs="Arial"/>
          <w:lang w:val="en-GB"/>
        </w:rPr>
        <w:t>ure</w:t>
      </w:r>
      <w:r w:rsidRPr="00A40656">
        <w:rPr>
          <w:rFonts w:cs="Arial"/>
          <w:lang w:val="en-GB"/>
        </w:rPr>
        <w:t xml:space="preserve"> </w:t>
      </w:r>
      <w:r w:rsidR="00EF7537" w:rsidRPr="00A40656">
        <w:rPr>
          <w:rFonts w:cs="Arial"/>
          <w:lang w:val="en-GB"/>
        </w:rPr>
        <w:t>S1.</w:t>
      </w:r>
      <w:r w:rsidRPr="00A40656">
        <w:rPr>
          <w:rFonts w:cs="Arial"/>
          <w:lang w:val="en-GB"/>
        </w:rPr>
        <w:t xml:space="preserve"> The results of the questionnaire regarding hearing and understanding in absolute numbers (n=31)</w:t>
      </w:r>
    </w:p>
    <w:p w:rsidR="009A1C29" w:rsidRDefault="009A1C29" w:rsidP="00E21CB4">
      <w:pPr>
        <w:rPr>
          <w:b/>
          <w:lang w:val="en-US"/>
        </w:rPr>
      </w:pPr>
    </w:p>
    <w:p w:rsidR="00EF7537" w:rsidRDefault="00EF7537" w:rsidP="00E21CB4">
      <w:pPr>
        <w:rPr>
          <w:b/>
          <w:lang w:val="en-US"/>
        </w:rPr>
      </w:pPr>
      <w:bookmarkStart w:id="0" w:name="_GoBack"/>
      <w:bookmarkEnd w:id="0"/>
    </w:p>
    <w:p w:rsidR="00EF7537" w:rsidRDefault="00EF7537" w:rsidP="00EF753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GB"/>
        </w:rPr>
      </w:pPr>
      <w:r>
        <w:rPr>
          <w:rFonts w:cs="Arial"/>
          <w:noProof/>
          <w:sz w:val="18"/>
          <w:szCs w:val="18"/>
          <w:lang w:val="en-IN" w:eastAsia="en-IN"/>
        </w:rPr>
        <w:lastRenderedPageBreak/>
        <w:drawing>
          <wp:inline distT="0" distB="0" distL="0" distR="0">
            <wp:extent cx="5760720" cy="2305050"/>
            <wp:effectExtent l="0" t="0" r="0" b="0"/>
            <wp:docPr id="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tting_fig_large_fin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6FF8">
        <w:rPr>
          <w:rFonts w:cs="Arial"/>
          <w:lang w:val="en-GB"/>
        </w:rPr>
        <w:t>Fig</w:t>
      </w:r>
      <w:r>
        <w:rPr>
          <w:rFonts w:cs="Arial"/>
          <w:lang w:val="en-GB"/>
        </w:rPr>
        <w:t>ure</w:t>
      </w:r>
      <w:r w:rsidRPr="000A6FF8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S2.</w:t>
      </w:r>
      <w:r w:rsidRPr="000A6FF8">
        <w:rPr>
          <w:lang w:val="en-US"/>
        </w:rPr>
        <w:t xml:space="preserve"> </w:t>
      </w:r>
      <w:r w:rsidRPr="000A6FF8">
        <w:rPr>
          <w:rFonts w:cs="Arial"/>
          <w:lang w:val="en-GB"/>
        </w:rPr>
        <w:t xml:space="preserve">The wave reproducibility rates of each ear (left and right) are compared according to the setting in which the measurement was taken: at the research facility (CERMEL, Centre des </w:t>
      </w:r>
      <w:proofErr w:type="spellStart"/>
      <w:r w:rsidRPr="000A6FF8">
        <w:rPr>
          <w:rFonts w:cs="Arial"/>
          <w:lang w:val="en-GB"/>
        </w:rPr>
        <w:t>Rechèrches</w:t>
      </w:r>
      <w:proofErr w:type="spellEnd"/>
      <w:r w:rsidRPr="000A6FF8">
        <w:rPr>
          <w:rFonts w:cs="Arial"/>
          <w:lang w:val="en-GB"/>
        </w:rPr>
        <w:t xml:space="preserve"> </w:t>
      </w:r>
      <w:proofErr w:type="spellStart"/>
      <w:r w:rsidRPr="000A6FF8">
        <w:rPr>
          <w:rFonts w:cs="Arial"/>
          <w:lang w:val="en-GB"/>
        </w:rPr>
        <w:t>Médicales</w:t>
      </w:r>
      <w:proofErr w:type="spellEnd"/>
      <w:r w:rsidRPr="000A6FF8">
        <w:rPr>
          <w:rFonts w:cs="Arial"/>
          <w:lang w:val="en-GB"/>
        </w:rPr>
        <w:t xml:space="preserve"> </w:t>
      </w:r>
      <w:proofErr w:type="spellStart"/>
      <w:r w:rsidRPr="000A6FF8">
        <w:rPr>
          <w:rFonts w:cs="Arial"/>
          <w:lang w:val="en-GB"/>
        </w:rPr>
        <w:t>Lambaréné</w:t>
      </w:r>
      <w:proofErr w:type="spellEnd"/>
      <w:r w:rsidRPr="000A6FF8">
        <w:rPr>
          <w:rFonts w:cs="Arial"/>
          <w:lang w:val="en-GB"/>
        </w:rPr>
        <w:t xml:space="preserve">, </w:t>
      </w:r>
      <w:r w:rsidRPr="00A40656">
        <w:rPr>
          <w:rFonts w:cs="Arial"/>
          <w:lang w:val="en-GB"/>
        </w:rPr>
        <w:t>n=15</w:t>
      </w:r>
      <w:r w:rsidRPr="000A6FF8">
        <w:rPr>
          <w:rFonts w:cs="Arial"/>
          <w:lang w:val="en-GB"/>
        </w:rPr>
        <w:t xml:space="preserve">) or at home </w:t>
      </w:r>
      <w:r w:rsidRPr="00A40656">
        <w:rPr>
          <w:rFonts w:cs="Arial"/>
          <w:lang w:val="en-GB"/>
        </w:rPr>
        <w:t>(n=16).</w:t>
      </w:r>
      <w:r w:rsidRPr="000A6FF8">
        <w:rPr>
          <w:rFonts w:cs="Arial"/>
          <w:lang w:val="en-GB"/>
        </w:rPr>
        <w:t xml:space="preserve"> Statistical significance is assessed using independent samples t-test.</w:t>
      </w:r>
    </w:p>
    <w:p w:rsidR="000A6FF8" w:rsidRDefault="000A6FF8" w:rsidP="00E21CB4">
      <w:pPr>
        <w:rPr>
          <w:b/>
          <w:lang w:val="en-US"/>
        </w:rPr>
      </w:pPr>
    </w:p>
    <w:p w:rsidR="00EF7537" w:rsidRPr="00701A63" w:rsidRDefault="00EF7537" w:rsidP="00EF7537">
      <w:pPr>
        <w:rPr>
          <w:b/>
          <w:lang w:val="en-US"/>
        </w:rPr>
      </w:pPr>
      <w:r>
        <w:rPr>
          <w:b/>
          <w:lang w:val="en-US"/>
        </w:rPr>
        <w:t>Additional Table</w:t>
      </w:r>
    </w:p>
    <w:p w:rsidR="009630E3" w:rsidRPr="00A40656" w:rsidRDefault="00EF7537" w:rsidP="00E21C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GB"/>
        </w:rPr>
      </w:pPr>
      <w:r w:rsidRPr="00A40656">
        <w:rPr>
          <w:rFonts w:cs="Arial"/>
          <w:lang w:val="en-GB"/>
        </w:rPr>
        <w:t>Table S</w:t>
      </w:r>
      <w:r w:rsidR="002B3BFA" w:rsidRPr="00A40656">
        <w:rPr>
          <w:rFonts w:cs="Arial"/>
          <w:lang w:val="en-GB"/>
        </w:rPr>
        <w:t>1</w:t>
      </w:r>
      <w:r w:rsidRPr="00A40656">
        <w:rPr>
          <w:rFonts w:cs="Arial"/>
          <w:lang w:val="en-GB"/>
        </w:rPr>
        <w:t>.</w:t>
      </w:r>
      <w:r w:rsidR="002B3BFA" w:rsidRPr="00A40656">
        <w:rPr>
          <w:rFonts w:cs="Arial"/>
          <w:lang w:val="en-GB"/>
        </w:rPr>
        <w:t xml:space="preserve"> </w:t>
      </w:r>
      <w:r w:rsidR="00103590" w:rsidRPr="00A40656">
        <w:rPr>
          <w:rFonts w:cs="Arial"/>
          <w:lang w:val="en-GB"/>
        </w:rPr>
        <w:t>Of the 31 patients that could be included in the follow-up study, 15 were assessed in the research facility and 16 at home.</w:t>
      </w:r>
    </w:p>
    <w:p w:rsidR="009630E3" w:rsidRDefault="009630E3" w:rsidP="00E21C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508"/>
        <w:gridCol w:w="2082"/>
        <w:gridCol w:w="1295"/>
        <w:gridCol w:w="607"/>
      </w:tblGrid>
      <w:tr w:rsidR="007D00E5" w:rsidTr="007D00E5"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3096" w:type="dxa"/>
            <w:gridSpan w:val="3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TEOAE pass rates</w:t>
            </w:r>
          </w:p>
        </w:tc>
        <w:tc>
          <w:tcPr>
            <w:tcW w:w="3685" w:type="dxa"/>
            <w:gridSpan w:val="3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best wave reproducibility rate</w:t>
            </w:r>
          </w:p>
        </w:tc>
      </w:tr>
      <w:tr w:rsidR="007D00E5" w:rsidTr="007D00E5"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facility</w:t>
            </w:r>
          </w:p>
        </w:tc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home</w:t>
            </w:r>
          </w:p>
        </w:tc>
        <w:tc>
          <w:tcPr>
            <w:tcW w:w="508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p</w:t>
            </w:r>
          </w:p>
        </w:tc>
        <w:tc>
          <w:tcPr>
            <w:tcW w:w="2082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facility</w:t>
            </w:r>
          </w:p>
        </w:tc>
        <w:tc>
          <w:tcPr>
            <w:tcW w:w="1295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home</w:t>
            </w:r>
          </w:p>
        </w:tc>
        <w:tc>
          <w:tcPr>
            <w:tcW w:w="308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p</w:t>
            </w:r>
          </w:p>
        </w:tc>
      </w:tr>
      <w:tr w:rsidR="007D00E5" w:rsidTr="007D00E5"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left ear</w:t>
            </w:r>
          </w:p>
        </w:tc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13/15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(86.7 %)</w:t>
            </w:r>
          </w:p>
        </w:tc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15/16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(93.8 %)</w:t>
            </w:r>
          </w:p>
        </w:tc>
        <w:tc>
          <w:tcPr>
            <w:tcW w:w="508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0.6</w:t>
            </w:r>
          </w:p>
        </w:tc>
        <w:tc>
          <w:tcPr>
            <w:tcW w:w="2082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81.60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(+/- 20.2)</w:t>
            </w:r>
          </w:p>
        </w:tc>
        <w:tc>
          <w:tcPr>
            <w:tcW w:w="1295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84.13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(+/- 17.7)</w:t>
            </w:r>
          </w:p>
        </w:tc>
        <w:tc>
          <w:tcPr>
            <w:tcW w:w="308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0.71</w:t>
            </w:r>
          </w:p>
        </w:tc>
      </w:tr>
      <w:tr w:rsidR="007D00E5" w:rsidTr="007D00E5"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GB"/>
              </w:rPr>
            </w:pPr>
            <w:r w:rsidRPr="007D00E5">
              <w:rPr>
                <w:rFonts w:cs="Arial"/>
                <w:b/>
                <w:lang w:val="en-GB"/>
              </w:rPr>
              <w:t>right ear</w:t>
            </w:r>
          </w:p>
        </w:tc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14/15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(93.3 %)</w:t>
            </w:r>
          </w:p>
        </w:tc>
        <w:tc>
          <w:tcPr>
            <w:tcW w:w="1294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14/16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(87.5 %)</w:t>
            </w:r>
          </w:p>
        </w:tc>
        <w:tc>
          <w:tcPr>
            <w:tcW w:w="508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1</w:t>
            </w:r>
          </w:p>
        </w:tc>
        <w:tc>
          <w:tcPr>
            <w:tcW w:w="2082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87.33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(+/- 15.0)</w:t>
            </w:r>
          </w:p>
        </w:tc>
        <w:tc>
          <w:tcPr>
            <w:tcW w:w="1295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82.70</w:t>
            </w:r>
          </w:p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(+/- 16.5)</w:t>
            </w:r>
          </w:p>
        </w:tc>
        <w:tc>
          <w:tcPr>
            <w:tcW w:w="308" w:type="dxa"/>
            <w:vAlign w:val="center"/>
          </w:tcPr>
          <w:p w:rsidR="007D00E5" w:rsidRPr="007D00E5" w:rsidRDefault="007D00E5" w:rsidP="007D00E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  <w:r w:rsidRPr="007D00E5">
              <w:rPr>
                <w:rFonts w:cs="Arial"/>
                <w:lang w:val="en-GB"/>
              </w:rPr>
              <w:t>0.42</w:t>
            </w:r>
          </w:p>
        </w:tc>
      </w:tr>
    </w:tbl>
    <w:p w:rsidR="00E21CB4" w:rsidRDefault="00E21CB4" w:rsidP="00E21C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en-GB"/>
        </w:rPr>
      </w:pPr>
    </w:p>
    <w:sectPr w:rsidR="00E21CB4" w:rsidSect="0021143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CB4" w:rsidRDefault="00E21CB4" w:rsidP="00E21CB4">
      <w:pPr>
        <w:spacing w:after="0" w:line="240" w:lineRule="auto"/>
      </w:pPr>
      <w:r>
        <w:separator/>
      </w:r>
    </w:p>
  </w:endnote>
  <w:endnote w:type="continuationSeparator" w:id="0">
    <w:p w:rsidR="00E21CB4" w:rsidRDefault="00E21CB4" w:rsidP="00E2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697461"/>
      <w:docPartObj>
        <w:docPartGallery w:val="Page Numbers (Bottom of Page)"/>
        <w:docPartUnique/>
      </w:docPartObj>
    </w:sdtPr>
    <w:sdtEndPr/>
    <w:sdtContent>
      <w:p w:rsidR="00E21CB4" w:rsidRDefault="00931CCB">
        <w:pPr>
          <w:pStyle w:val="Footer"/>
          <w:jc w:val="right"/>
        </w:pPr>
        <w:r>
          <w:fldChar w:fldCharType="begin"/>
        </w:r>
        <w:r w:rsidR="00E21CB4">
          <w:instrText>PAGE   \* MERGEFORMAT</w:instrText>
        </w:r>
        <w:r>
          <w:fldChar w:fldCharType="separate"/>
        </w:r>
        <w:r w:rsidR="00A40656">
          <w:rPr>
            <w:noProof/>
          </w:rPr>
          <w:t>1</w:t>
        </w:r>
        <w:r>
          <w:fldChar w:fldCharType="end"/>
        </w:r>
      </w:p>
    </w:sdtContent>
  </w:sdt>
  <w:p w:rsidR="00E21CB4" w:rsidRDefault="00E21C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CB4" w:rsidRDefault="00E21CB4" w:rsidP="00E21CB4">
      <w:pPr>
        <w:spacing w:after="0" w:line="240" w:lineRule="auto"/>
      </w:pPr>
      <w:r>
        <w:separator/>
      </w:r>
    </w:p>
  </w:footnote>
  <w:footnote w:type="continuationSeparator" w:id="0">
    <w:p w:rsidR="00E21CB4" w:rsidRDefault="00E21CB4" w:rsidP="00E2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B4" w:rsidRPr="00E21CB4" w:rsidRDefault="00E21CB4" w:rsidP="00E21CB4">
    <w:pPr>
      <w:pStyle w:val="Header"/>
      <w:pBdr>
        <w:bottom w:val="single" w:sz="4" w:space="1" w:color="auto"/>
      </w:pBdr>
      <w:rPr>
        <w:lang w:val="en-US"/>
      </w:rPr>
    </w:pPr>
    <w:r w:rsidRPr="00E21CB4">
      <w:rPr>
        <w:lang w:val="en-US"/>
      </w:rPr>
      <w:t xml:space="preserve">A long-term follow-up study on otoacoustic emissions </w:t>
    </w:r>
    <w:r>
      <w:rPr>
        <w:lang w:val="en-US"/>
      </w:rPr>
      <w:br/>
    </w:r>
    <w:r w:rsidRPr="00E21CB4">
      <w:rPr>
        <w:lang w:val="en-US"/>
      </w:rPr>
      <w:t>testing in pediatric patients with severe malaria in Gabon</w:t>
    </w:r>
    <w:r w:rsidRPr="00E21CB4">
      <w:rPr>
        <w:lang w:val="en-US"/>
      </w:rPr>
      <w:ptab w:relativeTo="margin" w:alignment="right" w:leader="none"/>
    </w:r>
    <w:r>
      <w:rPr>
        <w:lang w:val="en-US"/>
      </w:rPr>
      <w:t>Supplementary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W2NDExMja3NDIzNbFU0lEKTi0uzszPAykwrAUAhsK+wCwAAAA="/>
  </w:docVars>
  <w:rsids>
    <w:rsidRoot w:val="00E21CB4"/>
    <w:rsid w:val="0006502E"/>
    <w:rsid w:val="000A6FF8"/>
    <w:rsid w:val="00103590"/>
    <w:rsid w:val="001B30B4"/>
    <w:rsid w:val="00211433"/>
    <w:rsid w:val="002139F9"/>
    <w:rsid w:val="00245F52"/>
    <w:rsid w:val="002A0532"/>
    <w:rsid w:val="002B3BFA"/>
    <w:rsid w:val="002C03DC"/>
    <w:rsid w:val="003B0C45"/>
    <w:rsid w:val="00435B43"/>
    <w:rsid w:val="004F0FDE"/>
    <w:rsid w:val="00656540"/>
    <w:rsid w:val="00701A63"/>
    <w:rsid w:val="007D00E5"/>
    <w:rsid w:val="00805BD7"/>
    <w:rsid w:val="0087730A"/>
    <w:rsid w:val="008C49CC"/>
    <w:rsid w:val="00931CCB"/>
    <w:rsid w:val="009630E3"/>
    <w:rsid w:val="00972A4E"/>
    <w:rsid w:val="009A1C29"/>
    <w:rsid w:val="00A40656"/>
    <w:rsid w:val="00BF6E66"/>
    <w:rsid w:val="00D44923"/>
    <w:rsid w:val="00D44A8A"/>
    <w:rsid w:val="00DD44B3"/>
    <w:rsid w:val="00DE74C8"/>
    <w:rsid w:val="00E21CB4"/>
    <w:rsid w:val="00E86F91"/>
    <w:rsid w:val="00E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CB4"/>
    <w:pPr>
      <w:spacing w:after="200" w:line="276" w:lineRule="auto"/>
      <w:ind w:left="720"/>
      <w:contextualSpacing/>
    </w:pPr>
    <w:rPr>
      <w:lang w:val="de-AT"/>
    </w:rPr>
  </w:style>
  <w:style w:type="paragraph" w:styleId="Caption">
    <w:name w:val="caption"/>
    <w:basedOn w:val="Normal"/>
    <w:next w:val="Normal"/>
    <w:uiPriority w:val="35"/>
    <w:unhideWhenUsed/>
    <w:qFormat/>
    <w:rsid w:val="00E21C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1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CB4"/>
  </w:style>
  <w:style w:type="paragraph" w:styleId="Footer">
    <w:name w:val="footer"/>
    <w:basedOn w:val="Normal"/>
    <w:link w:val="FooterChar"/>
    <w:uiPriority w:val="99"/>
    <w:unhideWhenUsed/>
    <w:rsid w:val="00E21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CB4"/>
  </w:style>
  <w:style w:type="paragraph" w:styleId="BalloonText">
    <w:name w:val="Balloon Text"/>
    <w:basedOn w:val="Normal"/>
    <w:link w:val="BalloonTextChar"/>
    <w:uiPriority w:val="99"/>
    <w:semiHidden/>
    <w:unhideWhenUsed/>
    <w:rsid w:val="002C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D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A6FF8"/>
    <w:pPr>
      <w:spacing w:after="0" w:line="240" w:lineRule="auto"/>
    </w:pPr>
  </w:style>
  <w:style w:type="table" w:styleId="TableGrid">
    <w:name w:val="Table Grid"/>
    <w:basedOn w:val="TableNormal"/>
    <w:uiPriority w:val="39"/>
    <w:rsid w:val="000A6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999999"/>
            <w:right w:val="none" w:sz="0" w:space="0" w:color="auto"/>
          </w:divBdr>
          <w:divsChild>
            <w:div w:id="13311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Verkauf</c:v>
                </c:pt>
              </c:strCache>
            </c:strRef>
          </c:tx>
          <c:dLbls>
            <c:spPr>
              <a:solidFill>
                <a:schemeClr val="bg1">
                  <a:lumMod val="95000"/>
                  <a:alpha val="60000"/>
                </a:schemeClr>
              </a:solidFill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Tabelle1!$A$2:$A$6</c:f>
              <c:strCache>
                <c:ptCount val="5"/>
                <c:pt idx="0">
                  <c:v>No subjective impairment of hearing or understanding</c:v>
                </c:pt>
                <c:pt idx="1">
                  <c:v>Subjective impairment of hearing and understanding</c:v>
                </c:pt>
                <c:pt idx="2">
                  <c:v>Started to talk later than siblings</c:v>
                </c:pt>
                <c:pt idx="3">
                  <c:v>unclear information</c:v>
                </c:pt>
                <c:pt idx="4">
                  <c:v>no information</c:v>
                </c:pt>
              </c:strCache>
            </c:strRef>
          </c:cat>
          <c:val>
            <c:numRef>
              <c:f>Tabelle1!$B$2:$B$6</c:f>
              <c:numCache>
                <c:formatCode>General</c:formatCode>
                <c:ptCount val="5"/>
                <c:pt idx="0">
                  <c:v>15</c:v>
                </c:pt>
                <c:pt idx="1">
                  <c:v>12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56-4720-B447-2EF6C817AF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84FE7-1178-4D8E-81D7-445BB47D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REITERER Elisa,Dr.</dc:creator>
  <cp:lastModifiedBy>Shine David S.A.</cp:lastModifiedBy>
  <cp:revision>5</cp:revision>
  <dcterms:created xsi:type="dcterms:W3CDTF">2019-04-23T20:11:00Z</dcterms:created>
  <dcterms:modified xsi:type="dcterms:W3CDTF">2019-06-21T06:39:00Z</dcterms:modified>
</cp:coreProperties>
</file>