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DB4" w:rsidRDefault="00232B4E" w:rsidP="00C96577">
      <w:pPr>
        <w:jc w:val="both"/>
        <w:rPr>
          <w:rFonts w:ascii="Times New Roman" w:hAnsi="Times New Roman" w:cs="Times New Roman"/>
          <w:szCs w:val="22"/>
        </w:rPr>
      </w:pPr>
      <w:bookmarkStart w:id="0" w:name="_GoBack"/>
      <w:bookmarkEnd w:id="0"/>
      <w:r w:rsidRPr="00E11D39">
        <w:rPr>
          <w:rFonts w:ascii="Times New Roman" w:hAnsi="Times New Roman" w:cs="Times New Roman"/>
          <w:noProof/>
          <w:szCs w:val="22"/>
          <w:lang w:val="en-IN" w:eastAsia="en-IN" w:bidi="ar-SA"/>
        </w:rPr>
        <w:drawing>
          <wp:inline distT="0" distB="0" distL="0" distR="0">
            <wp:extent cx="5731510" cy="3820795"/>
            <wp:effectExtent l="0" t="0" r="254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imeSeries_pf_ta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6577" w:rsidRPr="00E11D39">
        <w:rPr>
          <w:rFonts w:ascii="Times New Roman" w:hAnsi="Times New Roman" w:cs="Times New Roman"/>
          <w:szCs w:val="22"/>
        </w:rPr>
        <w:t>Fig</w:t>
      </w:r>
      <w:r w:rsidR="007A2A57" w:rsidRPr="00E11D39">
        <w:rPr>
          <w:rFonts w:ascii="Times New Roman" w:hAnsi="Times New Roman" w:cs="Times New Roman"/>
          <w:szCs w:val="22"/>
        </w:rPr>
        <w:t>.</w:t>
      </w:r>
      <w:r w:rsidR="00C96577" w:rsidRPr="00E11D39">
        <w:rPr>
          <w:rFonts w:ascii="Times New Roman" w:hAnsi="Times New Roman" w:cs="Times New Roman"/>
          <w:szCs w:val="22"/>
        </w:rPr>
        <w:t xml:space="preserve"> S1 Time series decomposition of total confirmed </w:t>
      </w:r>
      <w:r w:rsidR="00C96577" w:rsidRPr="00E11D39">
        <w:rPr>
          <w:rFonts w:ascii="Times New Roman" w:hAnsi="Times New Roman" w:cs="Times New Roman"/>
          <w:i/>
          <w:iCs/>
          <w:szCs w:val="22"/>
        </w:rPr>
        <w:t xml:space="preserve">P. falciparum </w:t>
      </w:r>
      <w:r w:rsidR="00C96577" w:rsidRPr="00E11D39">
        <w:rPr>
          <w:rFonts w:ascii="Times New Roman" w:hAnsi="Times New Roman" w:cs="Times New Roman"/>
          <w:szCs w:val="22"/>
        </w:rPr>
        <w:t>malaria cases in Tak Province, 2012-2015.</w:t>
      </w:r>
      <w:r w:rsidR="00E27217" w:rsidRPr="00E11D39">
        <w:rPr>
          <w:rFonts w:ascii="Times New Roman" w:hAnsi="Times New Roman" w:cs="Times New Roman"/>
          <w:szCs w:val="22"/>
        </w:rPr>
        <w:t xml:space="preserve"> Top plot is decomposed into seasonal, trend and irregular components.</w:t>
      </w:r>
      <w:r w:rsidR="003D6567" w:rsidRPr="00E11D39">
        <w:rPr>
          <w:rFonts w:ascii="Times New Roman" w:hAnsi="Times New Roman" w:cs="Times New Roman"/>
          <w:szCs w:val="22"/>
        </w:rPr>
        <w:t xml:space="preserve"> </w:t>
      </w:r>
      <w:r w:rsidR="003D6567" w:rsidRPr="00EE1D4D">
        <w:rPr>
          <w:rFonts w:ascii="Times New Roman" w:hAnsi="Times New Roman" w:cs="Times New Roman"/>
          <w:szCs w:val="22"/>
        </w:rPr>
        <w:t>The grey bar on the right indicates the relative magnitude of each of the decomposed components (length of bar = relative magnitude).</w:t>
      </w:r>
    </w:p>
    <w:p w:rsidR="00BF1DB4" w:rsidRDefault="00BF1DB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page"/>
      </w:r>
    </w:p>
    <w:p w:rsidR="00232B4E" w:rsidRPr="00E11D39" w:rsidRDefault="008C3176">
      <w:pPr>
        <w:jc w:val="both"/>
        <w:rPr>
          <w:rFonts w:ascii="Times New Roman" w:hAnsi="Times New Roman" w:cs="Times New Roman"/>
          <w:szCs w:val="22"/>
        </w:rPr>
      </w:pPr>
      <w:r w:rsidRPr="00E11D39">
        <w:rPr>
          <w:rFonts w:ascii="Times New Roman" w:hAnsi="Times New Roman" w:cs="Times New Roman"/>
          <w:noProof/>
          <w:szCs w:val="22"/>
          <w:lang w:val="en-IN" w:eastAsia="en-IN" w:bidi="ar-SA"/>
        </w:rPr>
        <w:lastRenderedPageBreak/>
        <w:drawing>
          <wp:inline distT="0" distB="0" distL="0" distR="0">
            <wp:extent cx="5731510" cy="3820795"/>
            <wp:effectExtent l="0" t="0" r="254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imeSeries_pv_ta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577" w:rsidRPr="00E11D39" w:rsidRDefault="00C96577" w:rsidP="00C96577">
      <w:pPr>
        <w:jc w:val="both"/>
        <w:rPr>
          <w:rFonts w:ascii="Times New Roman" w:hAnsi="Times New Roman" w:cs="Times New Roman"/>
          <w:szCs w:val="22"/>
        </w:rPr>
      </w:pPr>
      <w:r w:rsidRPr="00E11D39">
        <w:rPr>
          <w:rFonts w:ascii="Times New Roman" w:hAnsi="Times New Roman" w:cs="Times New Roman"/>
          <w:szCs w:val="22"/>
        </w:rPr>
        <w:t>Fig</w:t>
      </w:r>
      <w:r w:rsidR="007A2A57" w:rsidRPr="00E11D39">
        <w:rPr>
          <w:rFonts w:ascii="Times New Roman" w:hAnsi="Times New Roman" w:cs="Times New Roman"/>
          <w:szCs w:val="22"/>
        </w:rPr>
        <w:t>.</w:t>
      </w:r>
      <w:r w:rsidRPr="00E11D39">
        <w:rPr>
          <w:rFonts w:ascii="Times New Roman" w:hAnsi="Times New Roman" w:cs="Times New Roman"/>
          <w:szCs w:val="22"/>
        </w:rPr>
        <w:t xml:space="preserve"> S2 Time series decomposition of total confirmed </w:t>
      </w:r>
      <w:r w:rsidRPr="00E11D39">
        <w:rPr>
          <w:rFonts w:ascii="Times New Roman" w:hAnsi="Times New Roman" w:cs="Times New Roman"/>
          <w:i/>
          <w:iCs/>
          <w:szCs w:val="22"/>
        </w:rPr>
        <w:t xml:space="preserve">P. vivax </w:t>
      </w:r>
      <w:r w:rsidRPr="00E11D39">
        <w:rPr>
          <w:rFonts w:ascii="Times New Roman" w:hAnsi="Times New Roman" w:cs="Times New Roman"/>
          <w:szCs w:val="22"/>
        </w:rPr>
        <w:t>malaria cases in Tak Province, 2012-2015.</w:t>
      </w:r>
      <w:r w:rsidR="00E27217" w:rsidRPr="00E11D39">
        <w:rPr>
          <w:rFonts w:ascii="Times New Roman" w:hAnsi="Times New Roman" w:cs="Times New Roman"/>
          <w:szCs w:val="22"/>
        </w:rPr>
        <w:t xml:space="preserve"> Top plot is decomposed into seasonal, trend and irregular components.</w:t>
      </w:r>
      <w:r w:rsidR="003D6567" w:rsidRPr="00E11D39">
        <w:rPr>
          <w:rFonts w:ascii="Times New Roman" w:hAnsi="Times New Roman" w:cs="Times New Roman"/>
          <w:szCs w:val="22"/>
        </w:rPr>
        <w:t xml:space="preserve"> </w:t>
      </w:r>
      <w:r w:rsidR="003D6567" w:rsidRPr="00EE1D4D">
        <w:rPr>
          <w:rFonts w:ascii="Times New Roman" w:hAnsi="Times New Roman" w:cs="Times New Roman"/>
          <w:szCs w:val="22"/>
        </w:rPr>
        <w:t>The grey bar on the right indicates the relative magnitude of each of the decomposed components (length of bar = relative magnitude).</w:t>
      </w:r>
    </w:p>
    <w:p w:rsidR="00BF1DB4" w:rsidRDefault="00BF1DB4">
      <w:pPr>
        <w:jc w:val="both"/>
        <w:rPr>
          <w:rFonts w:ascii="Times New Roman" w:hAnsi="Times New Roman" w:cs="Times New Roman"/>
          <w:szCs w:val="22"/>
        </w:rPr>
      </w:pPr>
    </w:p>
    <w:p w:rsidR="00BF1DB4" w:rsidRDefault="00BF1DB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page"/>
      </w:r>
    </w:p>
    <w:p w:rsidR="00B30247" w:rsidRPr="00E11D39" w:rsidRDefault="00B30247" w:rsidP="00C5717D">
      <w:pPr>
        <w:jc w:val="both"/>
        <w:rPr>
          <w:rFonts w:ascii="Times New Roman" w:hAnsi="Times New Roman" w:cs="Times New Roman"/>
          <w:szCs w:val="22"/>
          <w:highlight w:val="cyan"/>
        </w:rPr>
      </w:pPr>
      <w:r w:rsidRPr="00E11D39">
        <w:rPr>
          <w:rFonts w:ascii="Times New Roman" w:hAnsi="Times New Roman" w:cs="Times New Roman"/>
          <w:noProof/>
          <w:szCs w:val="22"/>
          <w:lang w:val="en-IN" w:eastAsia="en-IN" w:bidi="ar-SA"/>
        </w:rPr>
        <w:lastRenderedPageBreak/>
        <w:drawing>
          <wp:inline distT="0" distB="0" distL="0" distR="0">
            <wp:extent cx="5731510" cy="36004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sesMap_ta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247" w:rsidRPr="00E11D39" w:rsidRDefault="00FC6E97" w:rsidP="003A48A4">
      <w:pPr>
        <w:jc w:val="both"/>
        <w:rPr>
          <w:rFonts w:ascii="Times New Roman" w:hAnsi="Times New Roman" w:cs="Times New Roman"/>
          <w:szCs w:val="22"/>
        </w:rPr>
      </w:pPr>
      <w:r w:rsidRPr="00E11D39">
        <w:rPr>
          <w:rFonts w:ascii="Times New Roman" w:hAnsi="Times New Roman" w:cs="Times New Roman"/>
          <w:szCs w:val="22"/>
        </w:rPr>
        <w:t>Fig</w:t>
      </w:r>
      <w:r w:rsidR="007A2A57" w:rsidRPr="00E11D39">
        <w:rPr>
          <w:rFonts w:ascii="Times New Roman" w:hAnsi="Times New Roman" w:cs="Times New Roman"/>
          <w:szCs w:val="22"/>
        </w:rPr>
        <w:t xml:space="preserve">. </w:t>
      </w:r>
      <w:r w:rsidRPr="00E11D39">
        <w:rPr>
          <w:rFonts w:ascii="Times New Roman" w:hAnsi="Times New Roman" w:cs="Times New Roman"/>
          <w:szCs w:val="22"/>
        </w:rPr>
        <w:t>S3</w:t>
      </w:r>
      <w:r w:rsidR="00B30247" w:rsidRPr="00E11D39">
        <w:rPr>
          <w:rFonts w:ascii="Times New Roman" w:hAnsi="Times New Roman" w:cs="Times New Roman"/>
          <w:szCs w:val="22"/>
        </w:rPr>
        <w:t xml:space="preserve"> </w:t>
      </w:r>
      <w:r w:rsidR="002B5FAF" w:rsidRPr="00E11D39">
        <w:rPr>
          <w:rFonts w:ascii="Times New Roman" w:hAnsi="Times New Roman" w:cs="Times New Roman"/>
          <w:szCs w:val="22"/>
        </w:rPr>
        <w:t>N</w:t>
      </w:r>
      <w:r w:rsidR="00B30247" w:rsidRPr="00E11D39">
        <w:rPr>
          <w:rFonts w:ascii="Times New Roman" w:hAnsi="Times New Roman" w:cs="Times New Roman"/>
          <w:szCs w:val="22"/>
        </w:rPr>
        <w:t xml:space="preserve">umber of confirmed malaria cases (top panel: </w:t>
      </w:r>
      <w:r w:rsidR="00637BA9" w:rsidRPr="00E11D39">
        <w:rPr>
          <w:rFonts w:ascii="Times New Roman" w:hAnsi="Times New Roman" w:cs="Times New Roman"/>
          <w:i/>
          <w:iCs/>
          <w:szCs w:val="22"/>
        </w:rPr>
        <w:t xml:space="preserve">P. </w:t>
      </w:r>
      <w:r w:rsidR="00B30247" w:rsidRPr="00E11D39">
        <w:rPr>
          <w:rFonts w:ascii="Times New Roman" w:hAnsi="Times New Roman" w:cs="Times New Roman"/>
          <w:i/>
          <w:iCs/>
          <w:szCs w:val="22"/>
        </w:rPr>
        <w:t>falciparum</w:t>
      </w:r>
      <w:r w:rsidR="00B30247" w:rsidRPr="00E11D39">
        <w:rPr>
          <w:rFonts w:ascii="Times New Roman" w:hAnsi="Times New Roman" w:cs="Times New Roman"/>
          <w:szCs w:val="22"/>
        </w:rPr>
        <w:t xml:space="preserve"> plus mixed infections, lower panel: </w:t>
      </w:r>
      <w:r w:rsidR="00B30247" w:rsidRPr="00E11D39">
        <w:rPr>
          <w:rFonts w:ascii="Times New Roman" w:hAnsi="Times New Roman" w:cs="Times New Roman"/>
          <w:i/>
          <w:iCs/>
          <w:szCs w:val="22"/>
        </w:rPr>
        <w:t>P</w:t>
      </w:r>
      <w:r w:rsidR="00637BA9" w:rsidRPr="00E11D39">
        <w:rPr>
          <w:rFonts w:ascii="Times New Roman" w:hAnsi="Times New Roman" w:cs="Times New Roman"/>
          <w:i/>
          <w:iCs/>
          <w:szCs w:val="22"/>
        </w:rPr>
        <w:t>.</w:t>
      </w:r>
      <w:r w:rsidR="00B30247" w:rsidRPr="00E11D39">
        <w:rPr>
          <w:rFonts w:ascii="Times New Roman" w:hAnsi="Times New Roman" w:cs="Times New Roman"/>
          <w:i/>
          <w:iCs/>
          <w:szCs w:val="22"/>
        </w:rPr>
        <w:t xml:space="preserve"> vivax</w:t>
      </w:r>
      <w:r w:rsidR="00B30247" w:rsidRPr="00E11D39">
        <w:rPr>
          <w:rFonts w:ascii="Times New Roman" w:hAnsi="Times New Roman" w:cs="Times New Roman"/>
          <w:szCs w:val="22"/>
        </w:rPr>
        <w:t xml:space="preserve"> plus mixed infections) at subdistrict (</w:t>
      </w:r>
      <w:r w:rsidR="00B30247" w:rsidRPr="00E11D39">
        <w:rPr>
          <w:rFonts w:ascii="Times New Roman" w:hAnsi="Times New Roman" w:cs="Times New Roman"/>
          <w:i/>
          <w:iCs/>
          <w:szCs w:val="22"/>
        </w:rPr>
        <w:t>tambon</w:t>
      </w:r>
      <w:r w:rsidR="00B30247" w:rsidRPr="00E11D39">
        <w:rPr>
          <w:rFonts w:ascii="Times New Roman" w:hAnsi="Times New Roman" w:cs="Times New Roman"/>
          <w:szCs w:val="22"/>
        </w:rPr>
        <w:t>) level in Tak Province, 2012-2015.</w:t>
      </w:r>
    </w:p>
    <w:p w:rsidR="00BF1DB4" w:rsidRDefault="00BF1DB4">
      <w:pPr>
        <w:jc w:val="both"/>
        <w:rPr>
          <w:rFonts w:ascii="Times New Roman" w:hAnsi="Times New Roman" w:cs="Times New Roman"/>
          <w:szCs w:val="22"/>
        </w:rPr>
      </w:pPr>
    </w:p>
    <w:p w:rsidR="00D937DF" w:rsidRPr="00E11D39" w:rsidRDefault="00D937DF">
      <w:pPr>
        <w:jc w:val="both"/>
        <w:rPr>
          <w:rFonts w:ascii="Times New Roman" w:hAnsi="Times New Roman" w:cs="Times New Roman"/>
          <w:szCs w:val="22"/>
          <w:highlight w:val="red"/>
        </w:rPr>
      </w:pPr>
      <w:r w:rsidRPr="00E11D39">
        <w:rPr>
          <w:rFonts w:ascii="Times New Roman" w:hAnsi="Times New Roman" w:cs="Times New Roman"/>
          <w:noProof/>
          <w:szCs w:val="22"/>
          <w:lang w:val="en-IN" w:eastAsia="en-IN" w:bidi="ar-SA"/>
        </w:rPr>
        <w:drawing>
          <wp:inline distT="0" distB="0" distL="0" distR="0">
            <wp:extent cx="5731510" cy="360045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ationality_pf+mixed_tak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048" w:rsidRPr="00E11D39" w:rsidRDefault="006B6048">
      <w:pPr>
        <w:jc w:val="both"/>
        <w:rPr>
          <w:rFonts w:ascii="Times New Roman" w:hAnsi="Times New Roman" w:cs="Times New Roman"/>
          <w:szCs w:val="22"/>
        </w:rPr>
      </w:pPr>
      <w:r w:rsidRPr="00E11D39">
        <w:rPr>
          <w:rFonts w:ascii="Times New Roman" w:hAnsi="Times New Roman" w:cs="Times New Roman"/>
          <w:szCs w:val="22"/>
        </w:rPr>
        <w:t>Fig</w:t>
      </w:r>
      <w:r w:rsidR="007A2A57" w:rsidRPr="00E11D39">
        <w:rPr>
          <w:rFonts w:ascii="Times New Roman" w:hAnsi="Times New Roman" w:cs="Times New Roman"/>
          <w:szCs w:val="22"/>
        </w:rPr>
        <w:t xml:space="preserve">. </w:t>
      </w:r>
      <w:r w:rsidR="0062042A" w:rsidRPr="00E11D39">
        <w:rPr>
          <w:rFonts w:ascii="Times New Roman" w:hAnsi="Times New Roman" w:cs="Times New Roman"/>
          <w:szCs w:val="22"/>
        </w:rPr>
        <w:t>S</w:t>
      </w:r>
      <w:r w:rsidR="00FC6E97" w:rsidRPr="00E11D39">
        <w:rPr>
          <w:rFonts w:ascii="Times New Roman" w:hAnsi="Times New Roman" w:cs="Times New Roman"/>
          <w:szCs w:val="22"/>
        </w:rPr>
        <w:t>4</w:t>
      </w:r>
      <w:r w:rsidRPr="00E11D39">
        <w:rPr>
          <w:rFonts w:ascii="Times New Roman" w:hAnsi="Times New Roman" w:cs="Times New Roman"/>
          <w:szCs w:val="22"/>
        </w:rPr>
        <w:t xml:space="preserve"> </w:t>
      </w:r>
      <w:r w:rsidR="002B5FAF" w:rsidRPr="00E11D39">
        <w:rPr>
          <w:rFonts w:ascii="Times New Roman" w:hAnsi="Times New Roman" w:cs="Times New Roman"/>
          <w:szCs w:val="22"/>
        </w:rPr>
        <w:t>Number of c</w:t>
      </w:r>
      <w:r w:rsidR="00637BA9" w:rsidRPr="00E11D39">
        <w:rPr>
          <w:rFonts w:ascii="Times New Roman" w:hAnsi="Times New Roman" w:cs="Times New Roman"/>
          <w:szCs w:val="22"/>
        </w:rPr>
        <w:t xml:space="preserve">onfirmed </w:t>
      </w:r>
      <w:r w:rsidRPr="00E11D39">
        <w:rPr>
          <w:rFonts w:ascii="Times New Roman" w:hAnsi="Times New Roman" w:cs="Times New Roman"/>
          <w:szCs w:val="22"/>
        </w:rPr>
        <w:t>malaria</w:t>
      </w:r>
      <w:r w:rsidR="00637BA9" w:rsidRPr="00E11D39">
        <w:rPr>
          <w:rFonts w:ascii="Times New Roman" w:hAnsi="Times New Roman" w:cs="Times New Roman"/>
          <w:szCs w:val="22"/>
        </w:rPr>
        <w:t xml:space="preserve"> cases</w:t>
      </w:r>
      <w:r w:rsidRPr="00E11D39">
        <w:rPr>
          <w:rFonts w:ascii="Times New Roman" w:hAnsi="Times New Roman" w:cs="Times New Roman"/>
          <w:szCs w:val="22"/>
        </w:rPr>
        <w:t xml:space="preserve"> (</w:t>
      </w:r>
      <w:r w:rsidR="002F6A78" w:rsidRPr="00E11D39">
        <w:rPr>
          <w:rFonts w:ascii="Times New Roman" w:hAnsi="Times New Roman" w:cs="Times New Roman"/>
          <w:i/>
          <w:iCs/>
          <w:szCs w:val="22"/>
        </w:rPr>
        <w:t xml:space="preserve">P. </w:t>
      </w:r>
      <w:r w:rsidRPr="00E11D39">
        <w:rPr>
          <w:rFonts w:ascii="Times New Roman" w:hAnsi="Times New Roman" w:cs="Times New Roman"/>
          <w:i/>
          <w:iCs/>
          <w:szCs w:val="22"/>
        </w:rPr>
        <w:t>falciparum</w:t>
      </w:r>
      <w:r w:rsidRPr="00E11D39">
        <w:rPr>
          <w:rFonts w:ascii="Times New Roman" w:hAnsi="Times New Roman" w:cs="Times New Roman"/>
          <w:szCs w:val="22"/>
        </w:rPr>
        <w:t xml:space="preserve"> plus mixed infections)</w:t>
      </w:r>
      <w:r w:rsidR="00637BA9" w:rsidRPr="00E11D39">
        <w:rPr>
          <w:rFonts w:ascii="Times New Roman" w:hAnsi="Times New Roman" w:cs="Times New Roman"/>
          <w:szCs w:val="22"/>
        </w:rPr>
        <w:t xml:space="preserve"> by nationality</w:t>
      </w:r>
      <w:r w:rsidRPr="00E11D39">
        <w:rPr>
          <w:rFonts w:ascii="Times New Roman" w:hAnsi="Times New Roman" w:cs="Times New Roman"/>
          <w:szCs w:val="22"/>
        </w:rPr>
        <w:t xml:space="preserve"> at subdistrict (</w:t>
      </w:r>
      <w:r w:rsidRPr="00E11D39">
        <w:rPr>
          <w:rFonts w:ascii="Times New Roman" w:hAnsi="Times New Roman" w:cs="Times New Roman"/>
          <w:i/>
          <w:iCs/>
          <w:szCs w:val="22"/>
        </w:rPr>
        <w:t>tambon</w:t>
      </w:r>
      <w:r w:rsidRPr="00E11D39">
        <w:rPr>
          <w:rFonts w:ascii="Times New Roman" w:hAnsi="Times New Roman" w:cs="Times New Roman"/>
          <w:szCs w:val="22"/>
        </w:rPr>
        <w:t>) level in Tak Province, 2012-2015. Top panel maps show</w:t>
      </w:r>
      <w:r w:rsidR="002B5FAF" w:rsidRPr="00E11D39">
        <w:rPr>
          <w:rFonts w:ascii="Times New Roman" w:hAnsi="Times New Roman" w:cs="Times New Roman"/>
          <w:szCs w:val="22"/>
        </w:rPr>
        <w:t xml:space="preserve"> </w:t>
      </w:r>
      <w:r w:rsidR="006B6D21" w:rsidRPr="00E11D39">
        <w:rPr>
          <w:rFonts w:ascii="Times New Roman" w:hAnsi="Times New Roman" w:cs="Times New Roman"/>
          <w:szCs w:val="22"/>
        </w:rPr>
        <w:t>Myanma</w:t>
      </w:r>
      <w:r w:rsidR="00CC104C" w:rsidRPr="00E11D39">
        <w:rPr>
          <w:rFonts w:ascii="Times New Roman" w:hAnsi="Times New Roman" w:cs="Times New Roman"/>
          <w:szCs w:val="22"/>
        </w:rPr>
        <w:t>r</w:t>
      </w:r>
      <w:r w:rsidR="006B6D21" w:rsidRPr="00E11D39">
        <w:rPr>
          <w:rFonts w:ascii="Times New Roman" w:hAnsi="Times New Roman" w:cs="Times New Roman"/>
          <w:szCs w:val="22"/>
        </w:rPr>
        <w:t xml:space="preserve"> </w:t>
      </w:r>
      <w:r w:rsidRPr="00E11D39">
        <w:rPr>
          <w:rFonts w:ascii="Times New Roman" w:hAnsi="Times New Roman" w:cs="Times New Roman"/>
          <w:szCs w:val="22"/>
        </w:rPr>
        <w:t>cases, while bottom panel maps depict Thai cases.</w:t>
      </w:r>
    </w:p>
    <w:p w:rsidR="00EE53F9" w:rsidRPr="00E11D39" w:rsidRDefault="00EE53F9" w:rsidP="00DB0A1D">
      <w:pPr>
        <w:jc w:val="both"/>
        <w:rPr>
          <w:rFonts w:ascii="Times New Roman" w:hAnsi="Times New Roman" w:cs="Times New Roman"/>
          <w:szCs w:val="22"/>
          <w:highlight w:val="red"/>
        </w:rPr>
      </w:pPr>
      <w:r w:rsidRPr="00E11D39">
        <w:rPr>
          <w:rFonts w:ascii="Times New Roman" w:hAnsi="Times New Roman" w:cs="Times New Roman"/>
          <w:noProof/>
          <w:szCs w:val="22"/>
          <w:lang w:val="en-IN" w:eastAsia="en-IN" w:bidi="ar-SA"/>
        </w:rPr>
        <w:lastRenderedPageBreak/>
        <w:drawing>
          <wp:inline distT="0" distB="0" distL="0" distR="0">
            <wp:extent cx="5731510" cy="360045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ationality_pv+mixed_tak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048" w:rsidRPr="00E11D39" w:rsidRDefault="006B6048" w:rsidP="00DB0A1D">
      <w:pPr>
        <w:jc w:val="both"/>
        <w:rPr>
          <w:rFonts w:ascii="Times New Roman" w:hAnsi="Times New Roman" w:cs="Times New Roman"/>
          <w:szCs w:val="22"/>
          <w:highlight w:val="cyan"/>
        </w:rPr>
      </w:pPr>
      <w:r w:rsidRPr="00E11D39">
        <w:rPr>
          <w:rFonts w:ascii="Times New Roman" w:hAnsi="Times New Roman" w:cs="Times New Roman"/>
          <w:szCs w:val="22"/>
        </w:rPr>
        <w:t>Fig</w:t>
      </w:r>
      <w:r w:rsidR="007A2A57" w:rsidRPr="00E11D39">
        <w:rPr>
          <w:rFonts w:ascii="Times New Roman" w:hAnsi="Times New Roman" w:cs="Times New Roman"/>
          <w:szCs w:val="22"/>
        </w:rPr>
        <w:t xml:space="preserve">. </w:t>
      </w:r>
      <w:r w:rsidR="0062042A" w:rsidRPr="00E11D39">
        <w:rPr>
          <w:rFonts w:ascii="Times New Roman" w:hAnsi="Times New Roman" w:cs="Times New Roman"/>
          <w:szCs w:val="22"/>
        </w:rPr>
        <w:t>S</w:t>
      </w:r>
      <w:r w:rsidR="00FC6E97" w:rsidRPr="00E11D39">
        <w:rPr>
          <w:rFonts w:ascii="Times New Roman" w:hAnsi="Times New Roman" w:cs="Times New Roman"/>
          <w:szCs w:val="22"/>
        </w:rPr>
        <w:t>5</w:t>
      </w:r>
      <w:r w:rsidRPr="00E11D39">
        <w:rPr>
          <w:rFonts w:ascii="Times New Roman" w:hAnsi="Times New Roman" w:cs="Times New Roman"/>
          <w:szCs w:val="22"/>
        </w:rPr>
        <w:t xml:space="preserve"> </w:t>
      </w:r>
      <w:r w:rsidR="002B5FAF" w:rsidRPr="00E11D39">
        <w:rPr>
          <w:rFonts w:ascii="Times New Roman" w:hAnsi="Times New Roman" w:cs="Times New Roman"/>
          <w:szCs w:val="22"/>
        </w:rPr>
        <w:t>Number of</w:t>
      </w:r>
      <w:r w:rsidRPr="00E11D39">
        <w:rPr>
          <w:rFonts w:ascii="Times New Roman" w:hAnsi="Times New Roman" w:cs="Times New Roman"/>
          <w:szCs w:val="22"/>
        </w:rPr>
        <w:t xml:space="preserve"> </w:t>
      </w:r>
      <w:r w:rsidR="00637BA9" w:rsidRPr="00E11D39">
        <w:rPr>
          <w:rFonts w:ascii="Times New Roman" w:hAnsi="Times New Roman" w:cs="Times New Roman"/>
          <w:szCs w:val="22"/>
        </w:rPr>
        <w:t xml:space="preserve">confirmed </w:t>
      </w:r>
      <w:r w:rsidRPr="00E11D39">
        <w:rPr>
          <w:rFonts w:ascii="Times New Roman" w:hAnsi="Times New Roman" w:cs="Times New Roman"/>
          <w:szCs w:val="22"/>
        </w:rPr>
        <w:t>malaria</w:t>
      </w:r>
      <w:r w:rsidR="00637BA9" w:rsidRPr="00E11D39">
        <w:rPr>
          <w:rFonts w:ascii="Times New Roman" w:hAnsi="Times New Roman" w:cs="Times New Roman"/>
          <w:szCs w:val="22"/>
        </w:rPr>
        <w:t xml:space="preserve"> cases</w:t>
      </w:r>
      <w:r w:rsidRPr="00E11D39">
        <w:rPr>
          <w:rFonts w:ascii="Times New Roman" w:hAnsi="Times New Roman" w:cs="Times New Roman"/>
          <w:szCs w:val="22"/>
        </w:rPr>
        <w:t xml:space="preserve"> (</w:t>
      </w:r>
      <w:r w:rsidRPr="00E11D39">
        <w:rPr>
          <w:rFonts w:ascii="Times New Roman" w:hAnsi="Times New Roman" w:cs="Times New Roman"/>
          <w:i/>
          <w:iCs/>
          <w:szCs w:val="22"/>
        </w:rPr>
        <w:t>P</w:t>
      </w:r>
      <w:r w:rsidR="002F6A78" w:rsidRPr="00E11D39">
        <w:rPr>
          <w:rFonts w:ascii="Times New Roman" w:hAnsi="Times New Roman" w:cs="Times New Roman"/>
          <w:i/>
          <w:iCs/>
          <w:szCs w:val="22"/>
        </w:rPr>
        <w:t>.</w:t>
      </w:r>
      <w:r w:rsidRPr="00E11D39">
        <w:rPr>
          <w:rFonts w:ascii="Times New Roman" w:hAnsi="Times New Roman" w:cs="Times New Roman"/>
          <w:i/>
          <w:iCs/>
          <w:szCs w:val="22"/>
        </w:rPr>
        <w:t xml:space="preserve"> vivax</w:t>
      </w:r>
      <w:r w:rsidRPr="00E11D39">
        <w:rPr>
          <w:rFonts w:ascii="Times New Roman" w:hAnsi="Times New Roman" w:cs="Times New Roman"/>
          <w:szCs w:val="22"/>
        </w:rPr>
        <w:t xml:space="preserve"> plus mixed infections)</w:t>
      </w:r>
      <w:r w:rsidR="00637BA9" w:rsidRPr="00E11D39">
        <w:rPr>
          <w:rFonts w:ascii="Times New Roman" w:hAnsi="Times New Roman" w:cs="Times New Roman"/>
          <w:szCs w:val="22"/>
        </w:rPr>
        <w:t xml:space="preserve"> by nationality</w:t>
      </w:r>
      <w:r w:rsidRPr="00E11D39">
        <w:rPr>
          <w:rFonts w:ascii="Times New Roman" w:hAnsi="Times New Roman" w:cs="Times New Roman"/>
          <w:szCs w:val="22"/>
        </w:rPr>
        <w:t xml:space="preserve"> at subdistrict (</w:t>
      </w:r>
      <w:r w:rsidRPr="00E11D39">
        <w:rPr>
          <w:rFonts w:ascii="Times New Roman" w:hAnsi="Times New Roman" w:cs="Times New Roman"/>
          <w:i/>
          <w:iCs/>
          <w:szCs w:val="22"/>
        </w:rPr>
        <w:t>tambon</w:t>
      </w:r>
      <w:r w:rsidRPr="00E11D39">
        <w:rPr>
          <w:rFonts w:ascii="Times New Roman" w:hAnsi="Times New Roman" w:cs="Times New Roman"/>
          <w:szCs w:val="22"/>
        </w:rPr>
        <w:t xml:space="preserve">) level in Tak Province, 2012-2015. Top panel maps show </w:t>
      </w:r>
      <w:r w:rsidR="006B6D21" w:rsidRPr="00E11D39">
        <w:rPr>
          <w:rFonts w:ascii="Times New Roman" w:hAnsi="Times New Roman" w:cs="Times New Roman"/>
          <w:szCs w:val="22"/>
        </w:rPr>
        <w:t>Myanma</w:t>
      </w:r>
      <w:r w:rsidR="00CC104C" w:rsidRPr="00E11D39">
        <w:rPr>
          <w:rFonts w:ascii="Times New Roman" w:hAnsi="Times New Roman" w:cs="Times New Roman"/>
          <w:szCs w:val="22"/>
        </w:rPr>
        <w:t>r</w:t>
      </w:r>
      <w:r w:rsidR="006B6D21" w:rsidRPr="00E11D39">
        <w:rPr>
          <w:rFonts w:ascii="Times New Roman" w:hAnsi="Times New Roman" w:cs="Times New Roman"/>
          <w:szCs w:val="22"/>
        </w:rPr>
        <w:t xml:space="preserve"> </w:t>
      </w:r>
      <w:r w:rsidRPr="00E11D39">
        <w:rPr>
          <w:rFonts w:ascii="Times New Roman" w:hAnsi="Times New Roman" w:cs="Times New Roman"/>
          <w:szCs w:val="22"/>
        </w:rPr>
        <w:t>cases, while bottom panel maps depict Thai cases.</w:t>
      </w:r>
    </w:p>
    <w:p w:rsidR="000C3F94" w:rsidRPr="00E11D39" w:rsidRDefault="000C3F94" w:rsidP="00DB0A1D">
      <w:pPr>
        <w:jc w:val="both"/>
        <w:rPr>
          <w:rFonts w:ascii="Times New Roman" w:hAnsi="Times New Roman" w:cs="Times New Roman"/>
          <w:szCs w:val="22"/>
        </w:rPr>
      </w:pPr>
    </w:p>
    <w:p w:rsidR="000C3F94" w:rsidRPr="00E11D39" w:rsidRDefault="000C3F94">
      <w:pPr>
        <w:jc w:val="both"/>
        <w:rPr>
          <w:rFonts w:ascii="Times New Roman" w:hAnsi="Times New Roman" w:cs="Times New Roman"/>
          <w:szCs w:val="22"/>
        </w:rPr>
      </w:pPr>
      <w:r w:rsidRPr="00E11D39">
        <w:rPr>
          <w:rFonts w:ascii="Times New Roman" w:hAnsi="Times New Roman" w:cs="Times New Roman"/>
          <w:noProof/>
          <w:szCs w:val="22"/>
          <w:lang w:val="en-IN" w:eastAsia="en-IN" w:bidi="ar-SA"/>
        </w:rPr>
        <w:drawing>
          <wp:inline distT="0" distB="0" distL="0" distR="0">
            <wp:extent cx="5731510" cy="31051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est_tak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F94" w:rsidRPr="00E11D39" w:rsidRDefault="00FC6E97" w:rsidP="003A48A4">
      <w:pPr>
        <w:jc w:val="both"/>
        <w:rPr>
          <w:rFonts w:ascii="Times New Roman" w:hAnsi="Times New Roman" w:cs="Times New Roman"/>
          <w:szCs w:val="22"/>
        </w:rPr>
      </w:pPr>
      <w:r w:rsidRPr="00E11D39">
        <w:rPr>
          <w:rFonts w:ascii="Times New Roman" w:hAnsi="Times New Roman" w:cs="Times New Roman"/>
          <w:szCs w:val="22"/>
        </w:rPr>
        <w:t>Fig</w:t>
      </w:r>
      <w:r w:rsidR="007A2A57" w:rsidRPr="00E11D39">
        <w:rPr>
          <w:rFonts w:ascii="Times New Roman" w:hAnsi="Times New Roman" w:cs="Times New Roman"/>
          <w:szCs w:val="22"/>
        </w:rPr>
        <w:t xml:space="preserve">. </w:t>
      </w:r>
      <w:r w:rsidRPr="00E11D39">
        <w:rPr>
          <w:rFonts w:ascii="Times New Roman" w:hAnsi="Times New Roman" w:cs="Times New Roman"/>
          <w:szCs w:val="22"/>
        </w:rPr>
        <w:t>S6</w:t>
      </w:r>
      <w:r w:rsidR="000C3F94" w:rsidRPr="00E11D39">
        <w:rPr>
          <w:rFonts w:ascii="Times New Roman" w:hAnsi="Times New Roman" w:cs="Times New Roman"/>
          <w:szCs w:val="22"/>
        </w:rPr>
        <w:t xml:space="preserve"> Scatterplots (logarithmic scale) of percent forest cover </w:t>
      </w:r>
      <w:r w:rsidR="00B4199E" w:rsidRPr="00E11D39">
        <w:rPr>
          <w:rFonts w:ascii="Times New Roman" w:hAnsi="Times New Roman" w:cs="Times New Roman"/>
          <w:szCs w:val="22"/>
        </w:rPr>
        <w:t xml:space="preserve">and </w:t>
      </w:r>
      <w:r w:rsidR="00DC5A05" w:rsidRPr="00E11D39">
        <w:rPr>
          <w:rFonts w:ascii="Times New Roman" w:hAnsi="Times New Roman" w:cs="Times New Roman"/>
          <w:szCs w:val="22"/>
        </w:rPr>
        <w:t>API</w:t>
      </w:r>
      <w:r w:rsidR="00B4199E" w:rsidRPr="00E11D39">
        <w:rPr>
          <w:rFonts w:ascii="Times New Roman" w:hAnsi="Times New Roman" w:cs="Times New Roman"/>
          <w:szCs w:val="22"/>
        </w:rPr>
        <w:t xml:space="preserve"> </w:t>
      </w:r>
      <w:r w:rsidR="000C3F94" w:rsidRPr="00E11D39">
        <w:rPr>
          <w:rFonts w:ascii="Times New Roman" w:hAnsi="Times New Roman" w:cs="Times New Roman"/>
          <w:szCs w:val="22"/>
        </w:rPr>
        <w:t>at subdistrict (</w:t>
      </w:r>
      <w:r w:rsidR="000C3F94" w:rsidRPr="00E11D39">
        <w:rPr>
          <w:rFonts w:ascii="Times New Roman" w:hAnsi="Times New Roman" w:cs="Times New Roman"/>
          <w:i/>
          <w:iCs/>
          <w:szCs w:val="22"/>
        </w:rPr>
        <w:t>tambon</w:t>
      </w:r>
      <w:r w:rsidR="000C3F94" w:rsidRPr="00E11D39">
        <w:rPr>
          <w:rFonts w:ascii="Times New Roman" w:hAnsi="Times New Roman" w:cs="Times New Roman"/>
          <w:szCs w:val="22"/>
        </w:rPr>
        <w:t xml:space="preserve">) level in Tak Province, 2012-2015. Rows represent species of malaria (mixed infections </w:t>
      </w:r>
      <w:r w:rsidR="00B4199E" w:rsidRPr="00E11D39">
        <w:rPr>
          <w:rFonts w:ascii="Times New Roman" w:hAnsi="Times New Roman" w:cs="Times New Roman"/>
          <w:szCs w:val="22"/>
        </w:rPr>
        <w:t>we</w:t>
      </w:r>
      <w:r w:rsidR="000C3F94" w:rsidRPr="00E11D39">
        <w:rPr>
          <w:rFonts w:ascii="Times New Roman" w:hAnsi="Times New Roman" w:cs="Times New Roman"/>
          <w:szCs w:val="22"/>
        </w:rPr>
        <w:t xml:space="preserve">re added to both </w:t>
      </w:r>
      <w:r w:rsidR="007D25E7" w:rsidRPr="00E11D39">
        <w:rPr>
          <w:rFonts w:ascii="Times New Roman" w:hAnsi="Times New Roman" w:cs="Times New Roman"/>
          <w:i/>
          <w:iCs/>
          <w:szCs w:val="22"/>
        </w:rPr>
        <w:t>P.</w:t>
      </w:r>
      <w:r w:rsidR="000C3F94" w:rsidRPr="00E11D39">
        <w:rPr>
          <w:rFonts w:ascii="Times New Roman" w:hAnsi="Times New Roman" w:cs="Times New Roman"/>
          <w:i/>
          <w:iCs/>
          <w:szCs w:val="22"/>
        </w:rPr>
        <w:t xml:space="preserve"> falciparum</w:t>
      </w:r>
      <w:r w:rsidR="000C3F94" w:rsidRPr="00E11D39">
        <w:rPr>
          <w:rFonts w:ascii="Times New Roman" w:hAnsi="Times New Roman" w:cs="Times New Roman"/>
          <w:szCs w:val="22"/>
        </w:rPr>
        <w:t xml:space="preserve"> and </w:t>
      </w:r>
      <w:r w:rsidR="007D25E7" w:rsidRPr="00E11D39">
        <w:rPr>
          <w:rFonts w:ascii="Times New Roman" w:hAnsi="Times New Roman" w:cs="Times New Roman"/>
          <w:i/>
          <w:iCs/>
          <w:szCs w:val="22"/>
        </w:rPr>
        <w:t>P.</w:t>
      </w:r>
      <w:r w:rsidR="007D25E7" w:rsidRPr="00E11D39">
        <w:rPr>
          <w:rFonts w:ascii="Times New Roman" w:hAnsi="Times New Roman" w:cs="Times New Roman"/>
          <w:szCs w:val="22"/>
        </w:rPr>
        <w:t xml:space="preserve"> </w:t>
      </w:r>
      <w:r w:rsidR="000C3F94" w:rsidRPr="00E11D39">
        <w:rPr>
          <w:rFonts w:ascii="Times New Roman" w:hAnsi="Times New Roman" w:cs="Times New Roman"/>
          <w:i/>
          <w:iCs/>
          <w:szCs w:val="22"/>
        </w:rPr>
        <w:t>vivax</w:t>
      </w:r>
      <w:r w:rsidR="000C3F94" w:rsidRPr="00E11D39">
        <w:rPr>
          <w:rFonts w:ascii="Times New Roman" w:hAnsi="Times New Roman" w:cs="Times New Roman"/>
          <w:szCs w:val="22"/>
        </w:rPr>
        <w:t xml:space="preserve"> cases), while columns represent year</w:t>
      </w:r>
      <w:r w:rsidR="00C956DF" w:rsidRPr="00E11D39">
        <w:rPr>
          <w:rFonts w:ascii="Times New Roman" w:hAnsi="Times New Roman" w:cs="Times New Roman"/>
          <w:szCs w:val="22"/>
        </w:rPr>
        <w:t>s</w:t>
      </w:r>
      <w:r w:rsidR="000C3F94" w:rsidRPr="00E11D39">
        <w:rPr>
          <w:rFonts w:ascii="Times New Roman" w:hAnsi="Times New Roman" w:cs="Times New Roman"/>
          <w:szCs w:val="22"/>
        </w:rPr>
        <w:t xml:space="preserve"> of surveillance. </w:t>
      </w:r>
      <w:bookmarkStart w:id="1" w:name="OLE_LINK1"/>
      <w:r w:rsidR="000C3F94" w:rsidRPr="00E11D39">
        <w:rPr>
          <w:rFonts w:ascii="Times New Roman" w:hAnsi="Times New Roman" w:cs="Times New Roman"/>
          <w:szCs w:val="22"/>
        </w:rPr>
        <w:t>Each plot shows the results of Pearson’s correlation test.</w:t>
      </w:r>
      <w:bookmarkEnd w:id="1"/>
    </w:p>
    <w:p w:rsidR="002F6A78" w:rsidRDefault="002F6A78" w:rsidP="003A48A4">
      <w:pPr>
        <w:jc w:val="both"/>
        <w:rPr>
          <w:rFonts w:ascii="Times New Roman" w:hAnsi="Times New Roman" w:cs="Times New Roman"/>
          <w:szCs w:val="22"/>
        </w:rPr>
      </w:pPr>
    </w:p>
    <w:p w:rsidR="00683DB7" w:rsidRDefault="00683DB7" w:rsidP="003A48A4">
      <w:pPr>
        <w:jc w:val="both"/>
        <w:rPr>
          <w:rFonts w:ascii="Times New Roman" w:hAnsi="Times New Roman" w:cs="Times New Roman"/>
          <w:szCs w:val="22"/>
        </w:rPr>
      </w:pPr>
    </w:p>
    <w:p w:rsidR="00683DB7" w:rsidRDefault="00683DB7" w:rsidP="003A48A4">
      <w:pPr>
        <w:jc w:val="both"/>
        <w:rPr>
          <w:rFonts w:ascii="Times New Roman" w:hAnsi="Times New Roman" w:cs="Times New Roman"/>
          <w:szCs w:val="22"/>
        </w:rPr>
      </w:pPr>
    </w:p>
    <w:p w:rsidR="00683DB7" w:rsidRDefault="00683DB7" w:rsidP="003A48A4">
      <w:pPr>
        <w:jc w:val="both"/>
        <w:rPr>
          <w:rFonts w:ascii="Times New Roman" w:hAnsi="Times New Roman" w:cs="Times New Roman"/>
          <w:szCs w:val="22"/>
        </w:rPr>
      </w:pPr>
    </w:p>
    <w:p w:rsidR="00683DB7" w:rsidRPr="00E11D39" w:rsidRDefault="00683DB7" w:rsidP="003A48A4">
      <w:pPr>
        <w:jc w:val="both"/>
        <w:rPr>
          <w:rFonts w:ascii="Times New Roman" w:hAnsi="Times New Roman" w:cs="Times New Roman"/>
          <w:szCs w:val="22"/>
        </w:rPr>
      </w:pPr>
    </w:p>
    <w:p w:rsidR="00930FA3" w:rsidRPr="00E11D39" w:rsidRDefault="00373947" w:rsidP="003A48A4">
      <w:pPr>
        <w:jc w:val="both"/>
        <w:rPr>
          <w:rFonts w:ascii="Times New Roman" w:hAnsi="Times New Roman" w:cs="Times New Roman"/>
          <w:szCs w:val="22"/>
        </w:rPr>
      </w:pPr>
      <w:r w:rsidRPr="00E11D39">
        <w:rPr>
          <w:rFonts w:ascii="Times New Roman" w:hAnsi="Times New Roman" w:cs="Times New Roman"/>
          <w:szCs w:val="22"/>
        </w:rPr>
        <w:lastRenderedPageBreak/>
        <w:t>Table S</w:t>
      </w:r>
      <w:r w:rsidR="007F59DD" w:rsidRPr="00E11D39">
        <w:rPr>
          <w:rFonts w:ascii="Times New Roman" w:hAnsi="Times New Roman" w:cs="Times New Roman"/>
          <w:szCs w:val="22"/>
        </w:rPr>
        <w:t>1</w:t>
      </w:r>
      <w:r w:rsidRPr="00E11D39">
        <w:rPr>
          <w:rFonts w:ascii="Times New Roman" w:hAnsi="Times New Roman" w:cs="Times New Roman"/>
          <w:szCs w:val="22"/>
        </w:rPr>
        <w:t xml:space="preserve"> Number of confirmed malaria cases in SMRU for Tak Province, 2012-2015.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1"/>
        <w:gridCol w:w="1701"/>
        <w:gridCol w:w="1583"/>
        <w:gridCol w:w="1487"/>
        <w:gridCol w:w="1487"/>
        <w:gridCol w:w="1487"/>
      </w:tblGrid>
      <w:tr w:rsidR="00B34E6E" w:rsidRPr="00EE1D4D" w:rsidTr="001C105C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B34E6E" w:rsidRPr="00E11D39" w:rsidRDefault="00B34E6E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Year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E6E" w:rsidRPr="00E11D39" w:rsidRDefault="00B34E6E" w:rsidP="001C105C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E11D39">
              <w:rPr>
                <w:rFonts w:ascii="Times New Roman" w:hAnsi="Times New Roman" w:cs="Times New Roman"/>
                <w:i/>
                <w:iCs/>
                <w:szCs w:val="22"/>
              </w:rPr>
              <w:t>P</w:t>
            </w:r>
            <w:r w:rsidR="00B91CB9" w:rsidRPr="00E11D39">
              <w:rPr>
                <w:rFonts w:ascii="Times New Roman" w:hAnsi="Times New Roman" w:cs="Times New Roman"/>
                <w:i/>
                <w:iCs/>
                <w:szCs w:val="22"/>
              </w:rPr>
              <w:t xml:space="preserve">. </w:t>
            </w:r>
            <w:r w:rsidRPr="00E11D39">
              <w:rPr>
                <w:rFonts w:ascii="Times New Roman" w:hAnsi="Times New Roman" w:cs="Times New Roman"/>
                <w:i/>
                <w:iCs/>
                <w:szCs w:val="22"/>
              </w:rPr>
              <w:t>f</w:t>
            </w:r>
            <w:r w:rsidR="00B91CB9" w:rsidRPr="00E11D39">
              <w:rPr>
                <w:rFonts w:ascii="Times New Roman" w:hAnsi="Times New Roman" w:cs="Times New Roman"/>
                <w:i/>
                <w:iCs/>
                <w:szCs w:val="22"/>
              </w:rPr>
              <w:t>alciparum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B34E6E" w:rsidRPr="00E11D39" w:rsidRDefault="00B34E6E" w:rsidP="001C105C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E11D39">
              <w:rPr>
                <w:rFonts w:ascii="Times New Roman" w:hAnsi="Times New Roman" w:cs="Times New Roman"/>
                <w:i/>
                <w:iCs/>
                <w:szCs w:val="22"/>
              </w:rPr>
              <w:t>P</w:t>
            </w:r>
            <w:r w:rsidR="00B91CB9" w:rsidRPr="00E11D39">
              <w:rPr>
                <w:rFonts w:ascii="Times New Roman" w:hAnsi="Times New Roman" w:cs="Times New Roman"/>
                <w:i/>
                <w:iCs/>
                <w:szCs w:val="22"/>
              </w:rPr>
              <w:t xml:space="preserve">. </w:t>
            </w:r>
            <w:r w:rsidRPr="00E11D39">
              <w:rPr>
                <w:rFonts w:ascii="Times New Roman" w:hAnsi="Times New Roman" w:cs="Times New Roman"/>
                <w:i/>
                <w:iCs/>
                <w:szCs w:val="22"/>
              </w:rPr>
              <w:t>v</w:t>
            </w:r>
            <w:r w:rsidR="00B91CB9" w:rsidRPr="00E11D39">
              <w:rPr>
                <w:rFonts w:ascii="Times New Roman" w:hAnsi="Times New Roman" w:cs="Times New Roman"/>
                <w:i/>
                <w:iCs/>
                <w:szCs w:val="22"/>
              </w:rPr>
              <w:t>ivax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:rsidR="00B34E6E" w:rsidRPr="00E11D39" w:rsidRDefault="00B34E6E" w:rsidP="001C105C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E11D39">
              <w:rPr>
                <w:rFonts w:ascii="Times New Roman" w:hAnsi="Times New Roman" w:cs="Times New Roman"/>
                <w:i/>
                <w:iCs/>
                <w:szCs w:val="22"/>
              </w:rPr>
              <w:t>P</w:t>
            </w:r>
            <w:r w:rsidR="00B91CB9" w:rsidRPr="00E11D39">
              <w:rPr>
                <w:rFonts w:ascii="Times New Roman" w:hAnsi="Times New Roman" w:cs="Times New Roman"/>
                <w:i/>
                <w:iCs/>
                <w:szCs w:val="22"/>
              </w:rPr>
              <w:t xml:space="preserve">. </w:t>
            </w:r>
            <w:r w:rsidRPr="00E11D39">
              <w:rPr>
                <w:rFonts w:ascii="Times New Roman" w:hAnsi="Times New Roman" w:cs="Times New Roman"/>
                <w:i/>
                <w:iCs/>
                <w:szCs w:val="22"/>
              </w:rPr>
              <w:t>m</w:t>
            </w:r>
            <w:r w:rsidR="00B91CB9" w:rsidRPr="00E11D39">
              <w:rPr>
                <w:rFonts w:ascii="Times New Roman" w:hAnsi="Times New Roman" w:cs="Times New Roman"/>
                <w:i/>
                <w:iCs/>
                <w:szCs w:val="22"/>
              </w:rPr>
              <w:t>alariae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:rsidR="00B34E6E" w:rsidRPr="00E11D39" w:rsidRDefault="00B34E6E" w:rsidP="001C105C">
            <w:pPr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E11D39">
              <w:rPr>
                <w:rFonts w:ascii="Times New Roman" w:hAnsi="Times New Roman" w:cs="Times New Roman"/>
                <w:i/>
                <w:iCs/>
                <w:szCs w:val="22"/>
              </w:rPr>
              <w:t>P</w:t>
            </w:r>
            <w:r w:rsidR="00B91CB9" w:rsidRPr="00E11D39">
              <w:rPr>
                <w:rFonts w:ascii="Times New Roman" w:hAnsi="Times New Roman" w:cs="Times New Roman"/>
                <w:i/>
                <w:iCs/>
                <w:szCs w:val="22"/>
              </w:rPr>
              <w:t xml:space="preserve">. </w:t>
            </w:r>
            <w:r w:rsidRPr="00E11D39">
              <w:rPr>
                <w:rFonts w:ascii="Times New Roman" w:hAnsi="Times New Roman" w:cs="Times New Roman"/>
                <w:i/>
                <w:iCs/>
                <w:szCs w:val="22"/>
              </w:rPr>
              <w:t>o</w:t>
            </w:r>
            <w:r w:rsidR="00B91CB9" w:rsidRPr="00E11D39">
              <w:rPr>
                <w:rFonts w:ascii="Times New Roman" w:hAnsi="Times New Roman" w:cs="Times New Roman"/>
                <w:i/>
                <w:iCs/>
                <w:szCs w:val="22"/>
              </w:rPr>
              <w:t>vale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</w:tcPr>
          <w:p w:rsidR="00B34E6E" w:rsidRPr="00E11D39" w:rsidRDefault="00B34E6E" w:rsidP="00B34E6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Total</w:t>
            </w:r>
          </w:p>
        </w:tc>
      </w:tr>
      <w:tr w:rsidR="00813605" w:rsidRPr="00EE1D4D" w:rsidTr="001C105C">
        <w:tc>
          <w:tcPr>
            <w:tcW w:w="1271" w:type="dxa"/>
            <w:tcBorders>
              <w:top w:val="single" w:sz="4" w:space="0" w:color="auto"/>
            </w:tcBorders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2012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3,820 </w:t>
            </w:r>
          </w:p>
        </w:tc>
        <w:tc>
          <w:tcPr>
            <w:tcW w:w="1583" w:type="dxa"/>
            <w:tcBorders>
              <w:top w:val="single" w:sz="4" w:space="0" w:color="auto"/>
            </w:tcBorders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4,768 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234 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1 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8,823</w:t>
            </w:r>
          </w:p>
        </w:tc>
      </w:tr>
      <w:tr w:rsidR="00813605" w:rsidRPr="00EE1D4D" w:rsidTr="001C105C">
        <w:tc>
          <w:tcPr>
            <w:tcW w:w="1271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2013</w:t>
            </w:r>
          </w:p>
        </w:tc>
        <w:tc>
          <w:tcPr>
            <w:tcW w:w="1701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1,762 </w:t>
            </w:r>
          </w:p>
        </w:tc>
        <w:tc>
          <w:tcPr>
            <w:tcW w:w="1583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3,558 </w:t>
            </w:r>
          </w:p>
        </w:tc>
        <w:tc>
          <w:tcPr>
            <w:tcW w:w="1487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11 </w:t>
            </w:r>
          </w:p>
        </w:tc>
        <w:tc>
          <w:tcPr>
            <w:tcW w:w="1487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0 </w:t>
            </w:r>
          </w:p>
        </w:tc>
        <w:tc>
          <w:tcPr>
            <w:tcW w:w="1487" w:type="dxa"/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5,331</w:t>
            </w:r>
          </w:p>
        </w:tc>
      </w:tr>
      <w:tr w:rsidR="00813605" w:rsidRPr="00EE1D4D" w:rsidTr="001C105C">
        <w:tc>
          <w:tcPr>
            <w:tcW w:w="1271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2014</w:t>
            </w:r>
          </w:p>
        </w:tc>
        <w:tc>
          <w:tcPr>
            <w:tcW w:w="1701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245 </w:t>
            </w:r>
          </w:p>
        </w:tc>
        <w:tc>
          <w:tcPr>
            <w:tcW w:w="1583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1,770 </w:t>
            </w:r>
          </w:p>
        </w:tc>
        <w:tc>
          <w:tcPr>
            <w:tcW w:w="1487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9 </w:t>
            </w:r>
          </w:p>
        </w:tc>
        <w:tc>
          <w:tcPr>
            <w:tcW w:w="1487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1 </w:t>
            </w:r>
          </w:p>
        </w:tc>
        <w:tc>
          <w:tcPr>
            <w:tcW w:w="1487" w:type="dxa"/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2,025</w:t>
            </w:r>
          </w:p>
        </w:tc>
      </w:tr>
      <w:tr w:rsidR="00813605" w:rsidRPr="00EE1D4D" w:rsidTr="001C105C">
        <w:tc>
          <w:tcPr>
            <w:tcW w:w="1271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2015</w:t>
            </w:r>
          </w:p>
        </w:tc>
        <w:tc>
          <w:tcPr>
            <w:tcW w:w="1701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94 </w:t>
            </w:r>
          </w:p>
        </w:tc>
        <w:tc>
          <w:tcPr>
            <w:tcW w:w="1583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1,169 </w:t>
            </w:r>
          </w:p>
        </w:tc>
        <w:tc>
          <w:tcPr>
            <w:tcW w:w="1487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1487" w:type="dxa"/>
          </w:tcPr>
          <w:p w:rsidR="00813605" w:rsidRPr="00E11D39" w:rsidRDefault="00813605" w:rsidP="001C105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 xml:space="preserve">0 </w:t>
            </w:r>
          </w:p>
        </w:tc>
        <w:tc>
          <w:tcPr>
            <w:tcW w:w="1487" w:type="dxa"/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1,267</w:t>
            </w:r>
          </w:p>
        </w:tc>
      </w:tr>
      <w:tr w:rsidR="00813605" w:rsidRPr="00EE1D4D" w:rsidTr="001C105C">
        <w:tc>
          <w:tcPr>
            <w:tcW w:w="1271" w:type="dxa"/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Total</w:t>
            </w:r>
          </w:p>
        </w:tc>
        <w:tc>
          <w:tcPr>
            <w:tcW w:w="1701" w:type="dxa"/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5,921</w:t>
            </w:r>
          </w:p>
        </w:tc>
        <w:tc>
          <w:tcPr>
            <w:tcW w:w="1583" w:type="dxa"/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11,265</w:t>
            </w:r>
          </w:p>
        </w:tc>
        <w:tc>
          <w:tcPr>
            <w:tcW w:w="1487" w:type="dxa"/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258</w:t>
            </w:r>
          </w:p>
        </w:tc>
        <w:tc>
          <w:tcPr>
            <w:tcW w:w="1487" w:type="dxa"/>
          </w:tcPr>
          <w:p w:rsidR="00813605" w:rsidRPr="00E11D39" w:rsidRDefault="00813605" w:rsidP="0081360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487" w:type="dxa"/>
          </w:tcPr>
          <w:p w:rsidR="00813605" w:rsidRPr="00E11D39" w:rsidRDefault="000F34EF" w:rsidP="0081360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17,446</w:t>
            </w:r>
          </w:p>
        </w:tc>
      </w:tr>
    </w:tbl>
    <w:p w:rsidR="00930FA3" w:rsidRPr="00E11D39" w:rsidRDefault="00930FA3" w:rsidP="003A48A4">
      <w:pPr>
        <w:jc w:val="both"/>
        <w:rPr>
          <w:rFonts w:ascii="Times New Roman" w:hAnsi="Times New Roman" w:cs="Times New Roman"/>
          <w:szCs w:val="22"/>
        </w:rPr>
      </w:pPr>
    </w:p>
    <w:p w:rsidR="007F59DD" w:rsidRPr="00E11D39" w:rsidRDefault="007F59DD" w:rsidP="007F59DD">
      <w:pPr>
        <w:jc w:val="both"/>
        <w:rPr>
          <w:rFonts w:ascii="Times New Roman" w:hAnsi="Times New Roman" w:cs="Times New Roman"/>
          <w:szCs w:val="22"/>
        </w:rPr>
      </w:pPr>
      <w:r w:rsidRPr="00E11D39">
        <w:rPr>
          <w:rFonts w:ascii="Times New Roman" w:hAnsi="Times New Roman" w:cs="Times New Roman"/>
          <w:szCs w:val="22"/>
        </w:rPr>
        <w:t>Table S2 Summary of missing information in the malaria dataset for Tak Province, 2012-2015.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9"/>
        <w:gridCol w:w="998"/>
        <w:gridCol w:w="1000"/>
        <w:gridCol w:w="1001"/>
        <w:gridCol w:w="1000"/>
        <w:gridCol w:w="997"/>
        <w:gridCol w:w="997"/>
        <w:gridCol w:w="997"/>
        <w:gridCol w:w="997"/>
      </w:tblGrid>
      <w:tr w:rsidR="007F59DD" w:rsidRPr="00EE1D4D" w:rsidTr="00F71CE6">
        <w:tc>
          <w:tcPr>
            <w:tcW w:w="1029" w:type="dxa"/>
            <w:vMerge w:val="restart"/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Year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Age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Nationality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Species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Subdistrict code</w:t>
            </w:r>
          </w:p>
        </w:tc>
      </w:tr>
      <w:tr w:rsidR="007F59DD" w:rsidRPr="00EE1D4D" w:rsidTr="00F71CE6">
        <w:tc>
          <w:tcPr>
            <w:tcW w:w="1029" w:type="dxa"/>
            <w:vMerge/>
          </w:tcPr>
          <w:p w:rsidR="007F59DD" w:rsidRPr="00E11D39" w:rsidRDefault="007F59DD" w:rsidP="00F71CE6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001" w:type="dxa"/>
            <w:tcBorders>
              <w:top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%</w:t>
            </w:r>
          </w:p>
        </w:tc>
      </w:tr>
      <w:tr w:rsidR="007F59DD" w:rsidRPr="00EE1D4D" w:rsidTr="00F71CE6">
        <w:tc>
          <w:tcPr>
            <w:tcW w:w="1029" w:type="dxa"/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2012</w:t>
            </w:r>
          </w:p>
        </w:tc>
        <w:tc>
          <w:tcPr>
            <w:tcW w:w="998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2,038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14.70</w:t>
            </w:r>
          </w:p>
        </w:tc>
        <w:tc>
          <w:tcPr>
            <w:tcW w:w="1001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606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4.37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353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2.55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98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0.71</w:t>
            </w:r>
          </w:p>
        </w:tc>
      </w:tr>
      <w:tr w:rsidR="007F59DD" w:rsidRPr="00EE1D4D" w:rsidTr="00F71CE6">
        <w:tc>
          <w:tcPr>
            <w:tcW w:w="1029" w:type="dxa"/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2013</w:t>
            </w:r>
          </w:p>
        </w:tc>
        <w:tc>
          <w:tcPr>
            <w:tcW w:w="998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1,727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13.38</w:t>
            </w:r>
          </w:p>
        </w:tc>
        <w:tc>
          <w:tcPr>
            <w:tcW w:w="1001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470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3.64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253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1.96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197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1.53</w:t>
            </w:r>
          </w:p>
        </w:tc>
      </w:tr>
      <w:tr w:rsidR="007F59DD" w:rsidRPr="00EE1D4D" w:rsidTr="00F71CE6">
        <w:tc>
          <w:tcPr>
            <w:tcW w:w="1029" w:type="dxa"/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2014</w:t>
            </w:r>
          </w:p>
        </w:tc>
        <w:tc>
          <w:tcPr>
            <w:tcW w:w="998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712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11.10</w:t>
            </w:r>
          </w:p>
        </w:tc>
        <w:tc>
          <w:tcPr>
            <w:tcW w:w="1001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233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3.63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101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1.58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176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2.74</w:t>
            </w:r>
          </w:p>
        </w:tc>
      </w:tr>
      <w:tr w:rsidR="007F59DD" w:rsidRPr="00EE1D4D" w:rsidTr="00F71CE6">
        <w:tc>
          <w:tcPr>
            <w:tcW w:w="1029" w:type="dxa"/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2015</w:t>
            </w:r>
          </w:p>
        </w:tc>
        <w:tc>
          <w:tcPr>
            <w:tcW w:w="998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595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17.72</w:t>
            </w:r>
          </w:p>
        </w:tc>
        <w:tc>
          <w:tcPr>
            <w:tcW w:w="1001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180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5.36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171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5.09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0.12</w:t>
            </w:r>
          </w:p>
        </w:tc>
      </w:tr>
      <w:tr w:rsidR="007F59DD" w:rsidRPr="00EE1D4D" w:rsidTr="00F71CE6">
        <w:tc>
          <w:tcPr>
            <w:tcW w:w="1029" w:type="dxa"/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Overall</w:t>
            </w:r>
          </w:p>
        </w:tc>
        <w:tc>
          <w:tcPr>
            <w:tcW w:w="998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5,072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13.88</w:t>
            </w:r>
          </w:p>
        </w:tc>
        <w:tc>
          <w:tcPr>
            <w:tcW w:w="1001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1,489</w:t>
            </w:r>
          </w:p>
        </w:tc>
        <w:tc>
          <w:tcPr>
            <w:tcW w:w="1000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4.08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878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2.40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475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1.30</w:t>
            </w:r>
          </w:p>
        </w:tc>
      </w:tr>
      <w:tr w:rsidR="007F59DD" w:rsidRPr="00EE1D4D" w:rsidTr="00F71CE6">
        <w:tc>
          <w:tcPr>
            <w:tcW w:w="1029" w:type="dxa"/>
          </w:tcPr>
          <w:p w:rsidR="007F59DD" w:rsidRPr="00E11D39" w:rsidRDefault="007F59DD" w:rsidP="00F71CE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Average</w:t>
            </w:r>
          </w:p>
        </w:tc>
        <w:tc>
          <w:tcPr>
            <w:tcW w:w="998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1,268</w:t>
            </w:r>
          </w:p>
        </w:tc>
        <w:tc>
          <w:tcPr>
            <w:tcW w:w="1000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14.23</w:t>
            </w:r>
          </w:p>
        </w:tc>
        <w:tc>
          <w:tcPr>
            <w:tcW w:w="1001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372.25</w:t>
            </w:r>
          </w:p>
        </w:tc>
        <w:tc>
          <w:tcPr>
            <w:tcW w:w="1000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4.25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219.50</w:t>
            </w:r>
          </w:p>
        </w:tc>
        <w:tc>
          <w:tcPr>
            <w:tcW w:w="997" w:type="dxa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2.79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118.75</w:t>
            </w:r>
          </w:p>
        </w:tc>
        <w:tc>
          <w:tcPr>
            <w:tcW w:w="997" w:type="dxa"/>
            <w:vAlign w:val="bottom"/>
          </w:tcPr>
          <w:p w:rsidR="007F59DD" w:rsidRPr="00E11D39" w:rsidRDefault="007F59DD" w:rsidP="00F71CE6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color w:val="000000"/>
                <w:szCs w:val="22"/>
              </w:rPr>
              <w:t>1.27</w:t>
            </w:r>
          </w:p>
        </w:tc>
      </w:tr>
    </w:tbl>
    <w:p w:rsidR="007F59DD" w:rsidRDefault="007F59DD">
      <w:pPr>
        <w:jc w:val="both"/>
        <w:rPr>
          <w:rFonts w:ascii="Times New Roman" w:hAnsi="Times New Roman" w:cs="Times New Roman"/>
          <w:szCs w:val="22"/>
        </w:rPr>
      </w:pPr>
    </w:p>
    <w:p w:rsidR="00523300" w:rsidRDefault="00523300">
      <w:pPr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Table S3 </w:t>
      </w:r>
      <w:r w:rsidR="00C75F42">
        <w:rPr>
          <w:rFonts w:ascii="Times New Roman" w:hAnsi="Times New Roman" w:cs="Times New Roman"/>
          <w:szCs w:val="22"/>
        </w:rPr>
        <w:t>M</w:t>
      </w:r>
      <w:r>
        <w:rPr>
          <w:rFonts w:ascii="Times New Roman" w:hAnsi="Times New Roman" w:cs="Times New Roman"/>
          <w:szCs w:val="22"/>
        </w:rPr>
        <w:t>alaria cases by detection method in Tak Province, 2012-2015.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9"/>
        <w:gridCol w:w="998"/>
        <w:gridCol w:w="1000"/>
        <w:gridCol w:w="1001"/>
        <w:gridCol w:w="1000"/>
        <w:gridCol w:w="997"/>
        <w:gridCol w:w="997"/>
        <w:gridCol w:w="997"/>
        <w:gridCol w:w="997"/>
      </w:tblGrid>
      <w:tr w:rsidR="00523300" w:rsidRPr="006367A1" w:rsidTr="007F6032">
        <w:tc>
          <w:tcPr>
            <w:tcW w:w="1029" w:type="dxa"/>
            <w:vMerge w:val="restart"/>
          </w:tcPr>
          <w:p w:rsidR="00523300" w:rsidRPr="006E5F9D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E5F9D">
              <w:rPr>
                <w:rFonts w:ascii="Times New Roman" w:hAnsi="Times New Roman" w:cs="Times New Roman"/>
                <w:szCs w:val="22"/>
              </w:rPr>
              <w:t>Year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Passive case</w:t>
            </w:r>
          </w:p>
          <w:p w:rsidR="00523300" w:rsidRPr="006E5F9D" w:rsidRDefault="006367A1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</w:t>
            </w:r>
            <w:r w:rsidR="00523300" w:rsidRPr="006E5F9D">
              <w:rPr>
                <w:rFonts w:ascii="Times New Roman" w:hAnsi="Times New Roman" w:cs="Times New Roman"/>
                <w:szCs w:val="22"/>
              </w:rPr>
              <w:t>etection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Active case detection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Follow-up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3300" w:rsidRPr="006367A1" w:rsidRDefault="00261231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Total</w:t>
            </w:r>
          </w:p>
        </w:tc>
      </w:tr>
      <w:tr w:rsidR="00523300" w:rsidRPr="006367A1" w:rsidTr="007F6032">
        <w:tc>
          <w:tcPr>
            <w:tcW w:w="1029" w:type="dxa"/>
            <w:vMerge/>
          </w:tcPr>
          <w:p w:rsidR="00523300" w:rsidRPr="006367A1" w:rsidRDefault="00523300" w:rsidP="007F6032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001" w:type="dxa"/>
            <w:tcBorders>
              <w:top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N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523300" w:rsidRPr="006367A1" w:rsidRDefault="00523300" w:rsidP="007F603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367A1">
              <w:rPr>
                <w:rFonts w:ascii="Times New Roman" w:hAnsi="Times New Roman" w:cs="Times New Roman"/>
                <w:szCs w:val="22"/>
              </w:rPr>
              <w:t>%</w:t>
            </w:r>
          </w:p>
        </w:tc>
      </w:tr>
      <w:tr w:rsidR="00AD2447" w:rsidRPr="006367A1" w:rsidTr="00E11D39">
        <w:tc>
          <w:tcPr>
            <w:tcW w:w="1029" w:type="dxa"/>
          </w:tcPr>
          <w:p w:rsidR="00AD2447" w:rsidRPr="006E5F9D" w:rsidRDefault="00AD2447" w:rsidP="00AD244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E5F9D">
              <w:rPr>
                <w:rFonts w:ascii="Times New Roman" w:hAnsi="Times New Roman" w:cs="Times New Roman"/>
                <w:szCs w:val="22"/>
              </w:rPr>
              <w:t>2012</w:t>
            </w:r>
          </w:p>
        </w:tc>
        <w:tc>
          <w:tcPr>
            <w:tcW w:w="998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13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074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94.31</w:t>
            </w:r>
          </w:p>
        </w:tc>
        <w:tc>
          <w:tcPr>
            <w:tcW w:w="1001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543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3.92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246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1.77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13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863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100.00</w:t>
            </w:r>
          </w:p>
        </w:tc>
      </w:tr>
      <w:tr w:rsidR="00AD2447" w:rsidRPr="006367A1" w:rsidTr="00E11D39">
        <w:tc>
          <w:tcPr>
            <w:tcW w:w="1029" w:type="dxa"/>
          </w:tcPr>
          <w:p w:rsidR="00AD2447" w:rsidRPr="006E5F9D" w:rsidRDefault="00AD2447" w:rsidP="00AD244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E5F9D">
              <w:rPr>
                <w:rFonts w:ascii="Times New Roman" w:hAnsi="Times New Roman" w:cs="Times New Roman"/>
                <w:szCs w:val="22"/>
              </w:rPr>
              <w:t>2013</w:t>
            </w:r>
          </w:p>
        </w:tc>
        <w:tc>
          <w:tcPr>
            <w:tcW w:w="998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12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139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94.08</w:t>
            </w:r>
          </w:p>
        </w:tc>
        <w:tc>
          <w:tcPr>
            <w:tcW w:w="1001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539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4.18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225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1.74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12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903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100.00</w:t>
            </w:r>
          </w:p>
        </w:tc>
      </w:tr>
      <w:tr w:rsidR="00AD2447" w:rsidRPr="006367A1" w:rsidTr="00E11D39">
        <w:tc>
          <w:tcPr>
            <w:tcW w:w="1029" w:type="dxa"/>
          </w:tcPr>
          <w:p w:rsidR="00AD2447" w:rsidRPr="006E5F9D" w:rsidRDefault="00AD2447" w:rsidP="00AD244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E5F9D">
              <w:rPr>
                <w:rFonts w:ascii="Times New Roman" w:hAnsi="Times New Roman" w:cs="Times New Roman"/>
                <w:szCs w:val="22"/>
              </w:rPr>
              <w:t>2014</w:t>
            </w:r>
          </w:p>
        </w:tc>
        <w:tc>
          <w:tcPr>
            <w:tcW w:w="998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5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918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92.30</w:t>
            </w:r>
          </w:p>
        </w:tc>
        <w:tc>
          <w:tcPr>
            <w:tcW w:w="1001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349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5.44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145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2.26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6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412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100.00</w:t>
            </w:r>
          </w:p>
        </w:tc>
      </w:tr>
      <w:tr w:rsidR="00AD2447" w:rsidRPr="006367A1" w:rsidTr="00E11D39">
        <w:tc>
          <w:tcPr>
            <w:tcW w:w="1029" w:type="dxa"/>
          </w:tcPr>
          <w:p w:rsidR="00AD2447" w:rsidRPr="006E5F9D" w:rsidRDefault="00AD2447" w:rsidP="00AD244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E5F9D">
              <w:rPr>
                <w:rFonts w:ascii="Times New Roman" w:hAnsi="Times New Roman" w:cs="Times New Roman"/>
                <w:szCs w:val="22"/>
              </w:rPr>
              <w:t>2015</w:t>
            </w:r>
          </w:p>
        </w:tc>
        <w:tc>
          <w:tcPr>
            <w:tcW w:w="998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3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075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91.57</w:t>
            </w:r>
          </w:p>
        </w:tc>
        <w:tc>
          <w:tcPr>
            <w:tcW w:w="1001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213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6.34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70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2.08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3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358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100.00</w:t>
            </w:r>
          </w:p>
        </w:tc>
      </w:tr>
      <w:tr w:rsidR="00AD2447" w:rsidRPr="006367A1" w:rsidTr="00E11D39">
        <w:tc>
          <w:tcPr>
            <w:tcW w:w="1029" w:type="dxa"/>
          </w:tcPr>
          <w:p w:rsidR="00AD2447" w:rsidRPr="006E5F9D" w:rsidRDefault="00AD2447" w:rsidP="00AD244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E5F9D">
              <w:rPr>
                <w:rFonts w:ascii="Times New Roman" w:hAnsi="Times New Roman" w:cs="Times New Roman"/>
                <w:szCs w:val="22"/>
              </w:rPr>
              <w:t>Total</w:t>
            </w:r>
          </w:p>
        </w:tc>
        <w:tc>
          <w:tcPr>
            <w:tcW w:w="998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34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206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93.62</w:t>
            </w:r>
          </w:p>
        </w:tc>
        <w:tc>
          <w:tcPr>
            <w:tcW w:w="1001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644</w:t>
            </w:r>
          </w:p>
        </w:tc>
        <w:tc>
          <w:tcPr>
            <w:tcW w:w="1000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4.50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686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1.88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36</w:t>
            </w:r>
            <w:r w:rsidR="001A630A">
              <w:rPr>
                <w:rFonts w:ascii="Times New Roman" w:hAnsi="Times New Roman" w:cs="Times New Roman"/>
                <w:szCs w:val="22"/>
              </w:rPr>
              <w:t>,</w:t>
            </w:r>
            <w:r w:rsidRPr="00E11D39">
              <w:rPr>
                <w:rFonts w:ascii="Times New Roman" w:hAnsi="Times New Roman" w:cs="Times New Roman"/>
                <w:szCs w:val="22"/>
              </w:rPr>
              <w:t>536</w:t>
            </w:r>
          </w:p>
        </w:tc>
        <w:tc>
          <w:tcPr>
            <w:tcW w:w="997" w:type="dxa"/>
          </w:tcPr>
          <w:p w:rsidR="00AD2447" w:rsidRPr="006E5F9D" w:rsidRDefault="00AD2447" w:rsidP="00AD2447">
            <w:pPr>
              <w:jc w:val="right"/>
              <w:rPr>
                <w:rFonts w:ascii="Times New Roman" w:hAnsi="Times New Roman" w:cs="Times New Roman"/>
                <w:szCs w:val="22"/>
              </w:rPr>
            </w:pPr>
            <w:r w:rsidRPr="00E11D39">
              <w:rPr>
                <w:rFonts w:ascii="Times New Roman" w:hAnsi="Times New Roman" w:cs="Times New Roman"/>
                <w:szCs w:val="22"/>
              </w:rPr>
              <w:t>100.00</w:t>
            </w:r>
          </w:p>
        </w:tc>
      </w:tr>
    </w:tbl>
    <w:p w:rsidR="00961DE5" w:rsidRPr="00E11D39" w:rsidRDefault="00017729">
      <w:pPr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Note: </w:t>
      </w:r>
      <w:r w:rsidR="005A03CB">
        <w:rPr>
          <w:rFonts w:ascii="Times New Roman" w:hAnsi="Times New Roman" w:cs="Times New Roman"/>
          <w:szCs w:val="22"/>
        </w:rPr>
        <w:t>Row percentages</w:t>
      </w:r>
      <w:r>
        <w:rPr>
          <w:rFonts w:ascii="Times New Roman" w:hAnsi="Times New Roman" w:cs="Times New Roman"/>
          <w:szCs w:val="22"/>
        </w:rPr>
        <w:t xml:space="preserve"> are presented.</w:t>
      </w:r>
      <w:r w:rsidR="00B607D9">
        <w:rPr>
          <w:rFonts w:ascii="Times New Roman" w:hAnsi="Times New Roman" w:cs="Times New Roman"/>
          <w:szCs w:val="22"/>
        </w:rPr>
        <w:t xml:space="preserve"> “Follow-up” refer</w:t>
      </w:r>
      <w:r w:rsidR="000E6AA5">
        <w:rPr>
          <w:rFonts w:ascii="Times New Roman" w:hAnsi="Times New Roman" w:cs="Times New Roman"/>
          <w:szCs w:val="22"/>
        </w:rPr>
        <w:t>s</w:t>
      </w:r>
      <w:r w:rsidR="00B607D9">
        <w:rPr>
          <w:rFonts w:ascii="Times New Roman" w:hAnsi="Times New Roman" w:cs="Times New Roman"/>
          <w:szCs w:val="22"/>
        </w:rPr>
        <w:t xml:space="preserve"> to cases on follow-up visits after treatment, which are likely to be duplicated from passive and active case detection methods. </w:t>
      </w:r>
    </w:p>
    <w:sectPr w:rsidR="00961DE5" w:rsidRPr="00E11D39" w:rsidSect="00DB48EC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A00" w:rsidRDefault="00107A00" w:rsidP="00A86E87">
      <w:r>
        <w:separator/>
      </w:r>
    </w:p>
  </w:endnote>
  <w:endnote w:type="continuationSeparator" w:id="0">
    <w:p w:rsidR="00107A00" w:rsidRDefault="00107A00" w:rsidP="00A86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A00" w:rsidRDefault="00107A00" w:rsidP="00A86E87">
      <w:r>
        <w:separator/>
      </w:r>
    </w:p>
  </w:footnote>
  <w:footnote w:type="continuationSeparator" w:id="0">
    <w:p w:rsidR="00107A00" w:rsidRDefault="00107A00" w:rsidP="00A86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87" w:rsidRPr="00A86E87" w:rsidRDefault="00A86E87">
    <w:pPr>
      <w:pStyle w:val="Header"/>
      <w:jc w:val="right"/>
      <w:rPr>
        <w:rFonts w:ascii="Times New Roman" w:hAnsi="Times New Roman" w:cs="Times New Roman"/>
      </w:rPr>
    </w:pPr>
  </w:p>
  <w:p w:rsidR="00A86E87" w:rsidRDefault="00A86E8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13D55"/>
    <w:multiLevelType w:val="hybridMultilevel"/>
    <w:tmpl w:val="38405254"/>
    <w:lvl w:ilvl="0" w:tplc="A1F025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B6048"/>
    <w:rsid w:val="00005B32"/>
    <w:rsid w:val="00017729"/>
    <w:rsid w:val="000234F7"/>
    <w:rsid w:val="0002728C"/>
    <w:rsid w:val="00031396"/>
    <w:rsid w:val="00044453"/>
    <w:rsid w:val="00065757"/>
    <w:rsid w:val="00090D49"/>
    <w:rsid w:val="000C3F94"/>
    <w:rsid w:val="000D5366"/>
    <w:rsid w:val="000D7272"/>
    <w:rsid w:val="000E6AA5"/>
    <w:rsid w:val="000F34EF"/>
    <w:rsid w:val="000F42EA"/>
    <w:rsid w:val="00107A00"/>
    <w:rsid w:val="0014425D"/>
    <w:rsid w:val="00151B15"/>
    <w:rsid w:val="00177445"/>
    <w:rsid w:val="00195760"/>
    <w:rsid w:val="001A630A"/>
    <w:rsid w:val="001B781E"/>
    <w:rsid w:val="001C105C"/>
    <w:rsid w:val="001D3433"/>
    <w:rsid w:val="001E2474"/>
    <w:rsid w:val="00215CD6"/>
    <w:rsid w:val="00232B4E"/>
    <w:rsid w:val="002419A8"/>
    <w:rsid w:val="00254350"/>
    <w:rsid w:val="002547C8"/>
    <w:rsid w:val="00261231"/>
    <w:rsid w:val="00275A8D"/>
    <w:rsid w:val="00286995"/>
    <w:rsid w:val="00294B25"/>
    <w:rsid w:val="002A2AF9"/>
    <w:rsid w:val="002B5FAF"/>
    <w:rsid w:val="002F6A78"/>
    <w:rsid w:val="003021FC"/>
    <w:rsid w:val="00323B0E"/>
    <w:rsid w:val="00325D21"/>
    <w:rsid w:val="003604F8"/>
    <w:rsid w:val="00373947"/>
    <w:rsid w:val="003833A6"/>
    <w:rsid w:val="003A48A4"/>
    <w:rsid w:val="003C72AB"/>
    <w:rsid w:val="003C773D"/>
    <w:rsid w:val="003D6567"/>
    <w:rsid w:val="0041339A"/>
    <w:rsid w:val="00426665"/>
    <w:rsid w:val="00430ED5"/>
    <w:rsid w:val="00435AAB"/>
    <w:rsid w:val="00437C8E"/>
    <w:rsid w:val="00440114"/>
    <w:rsid w:val="004607FD"/>
    <w:rsid w:val="00476368"/>
    <w:rsid w:val="004F176F"/>
    <w:rsid w:val="004F75B1"/>
    <w:rsid w:val="00523300"/>
    <w:rsid w:val="00587826"/>
    <w:rsid w:val="005A03CB"/>
    <w:rsid w:val="005D5B82"/>
    <w:rsid w:val="005D6B80"/>
    <w:rsid w:val="0062042A"/>
    <w:rsid w:val="006367A1"/>
    <w:rsid w:val="00637BA9"/>
    <w:rsid w:val="00664095"/>
    <w:rsid w:val="00672D90"/>
    <w:rsid w:val="00683DB7"/>
    <w:rsid w:val="0069082C"/>
    <w:rsid w:val="006A47DB"/>
    <w:rsid w:val="006B6048"/>
    <w:rsid w:val="006B6D21"/>
    <w:rsid w:val="006D0100"/>
    <w:rsid w:val="006D0FAC"/>
    <w:rsid w:val="006D4819"/>
    <w:rsid w:val="006E5F9D"/>
    <w:rsid w:val="007158C6"/>
    <w:rsid w:val="00727BDB"/>
    <w:rsid w:val="0073185B"/>
    <w:rsid w:val="0074627F"/>
    <w:rsid w:val="0074750F"/>
    <w:rsid w:val="00750710"/>
    <w:rsid w:val="0078725B"/>
    <w:rsid w:val="007A2A57"/>
    <w:rsid w:val="007B6444"/>
    <w:rsid w:val="007D25E7"/>
    <w:rsid w:val="007D50D7"/>
    <w:rsid w:val="007F59DD"/>
    <w:rsid w:val="00806241"/>
    <w:rsid w:val="00812E65"/>
    <w:rsid w:val="00813605"/>
    <w:rsid w:val="00814F43"/>
    <w:rsid w:val="00825394"/>
    <w:rsid w:val="00871036"/>
    <w:rsid w:val="008C3176"/>
    <w:rsid w:val="008D3B6C"/>
    <w:rsid w:val="008E0620"/>
    <w:rsid w:val="00917C64"/>
    <w:rsid w:val="00930FA3"/>
    <w:rsid w:val="00961DE5"/>
    <w:rsid w:val="009C0A20"/>
    <w:rsid w:val="009D0ED5"/>
    <w:rsid w:val="009D7941"/>
    <w:rsid w:val="00A71577"/>
    <w:rsid w:val="00A74B1B"/>
    <w:rsid w:val="00A86E87"/>
    <w:rsid w:val="00AD2447"/>
    <w:rsid w:val="00AF3965"/>
    <w:rsid w:val="00B30247"/>
    <w:rsid w:val="00B34E6E"/>
    <w:rsid w:val="00B4199E"/>
    <w:rsid w:val="00B607D9"/>
    <w:rsid w:val="00B644C7"/>
    <w:rsid w:val="00B8404C"/>
    <w:rsid w:val="00B91CB9"/>
    <w:rsid w:val="00BB7FEF"/>
    <w:rsid w:val="00BD7F2B"/>
    <w:rsid w:val="00BF1DB4"/>
    <w:rsid w:val="00C004F1"/>
    <w:rsid w:val="00C07762"/>
    <w:rsid w:val="00C2153F"/>
    <w:rsid w:val="00C23BB1"/>
    <w:rsid w:val="00C54B08"/>
    <w:rsid w:val="00C5717D"/>
    <w:rsid w:val="00C75F42"/>
    <w:rsid w:val="00C93E1E"/>
    <w:rsid w:val="00C956DF"/>
    <w:rsid w:val="00C96577"/>
    <w:rsid w:val="00CA58C6"/>
    <w:rsid w:val="00CB6DE9"/>
    <w:rsid w:val="00CC104C"/>
    <w:rsid w:val="00D04A58"/>
    <w:rsid w:val="00D11C5B"/>
    <w:rsid w:val="00D27BDD"/>
    <w:rsid w:val="00D4696A"/>
    <w:rsid w:val="00D52DAB"/>
    <w:rsid w:val="00D57F1F"/>
    <w:rsid w:val="00D80A7C"/>
    <w:rsid w:val="00D9262A"/>
    <w:rsid w:val="00D937DF"/>
    <w:rsid w:val="00DB0A1D"/>
    <w:rsid w:val="00DB48EC"/>
    <w:rsid w:val="00DC5A05"/>
    <w:rsid w:val="00DC7B36"/>
    <w:rsid w:val="00E11D39"/>
    <w:rsid w:val="00E27217"/>
    <w:rsid w:val="00E320FC"/>
    <w:rsid w:val="00E527ED"/>
    <w:rsid w:val="00E55C75"/>
    <w:rsid w:val="00E917D0"/>
    <w:rsid w:val="00EB71CB"/>
    <w:rsid w:val="00EC3761"/>
    <w:rsid w:val="00EE1016"/>
    <w:rsid w:val="00EE1D4D"/>
    <w:rsid w:val="00EE53F9"/>
    <w:rsid w:val="00F10369"/>
    <w:rsid w:val="00F21D67"/>
    <w:rsid w:val="00F83A9D"/>
    <w:rsid w:val="00FC6E97"/>
    <w:rsid w:val="00FD1010"/>
    <w:rsid w:val="00FE1B0A"/>
    <w:rsid w:val="00FE4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0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462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627F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627F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2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27F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27F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27F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BD7F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A74B1B"/>
  </w:style>
  <w:style w:type="paragraph" w:styleId="Header">
    <w:name w:val="header"/>
    <w:basedOn w:val="Normal"/>
    <w:link w:val="HeaderChar"/>
    <w:uiPriority w:val="99"/>
    <w:unhideWhenUsed/>
    <w:rsid w:val="00A86E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6E87"/>
  </w:style>
  <w:style w:type="paragraph" w:styleId="Footer">
    <w:name w:val="footer"/>
    <w:basedOn w:val="Normal"/>
    <w:link w:val="FooterChar"/>
    <w:uiPriority w:val="99"/>
    <w:unhideWhenUsed/>
    <w:rsid w:val="00A86E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6E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7F442-6C12-407E-AD61-73E90B05F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5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0013358</cp:lastModifiedBy>
  <cp:revision>148</cp:revision>
  <dcterms:created xsi:type="dcterms:W3CDTF">2018-09-18T05:33:00Z</dcterms:created>
  <dcterms:modified xsi:type="dcterms:W3CDTF">2019-07-09T06:47:00Z</dcterms:modified>
</cp:coreProperties>
</file>