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9B4FF" w14:textId="4BC2E68F" w:rsidR="0043782A" w:rsidRDefault="0043782A" w:rsidP="0043782A">
      <w:pPr>
        <w:spacing w:line="480" w:lineRule="auto"/>
        <w:rPr>
          <w:rFonts w:eastAsia="Times New Roman" w:cstheme="minorHAnsi"/>
          <w:b/>
          <w:color w:val="000000"/>
          <w:shd w:val="clear" w:color="auto" w:fill="FFFFFF"/>
        </w:rPr>
      </w:pPr>
      <w:r>
        <w:rPr>
          <w:rFonts w:eastAsia="Times New Roman" w:cstheme="minorHAnsi"/>
          <w:b/>
          <w:color w:val="000000"/>
          <w:shd w:val="clear" w:color="auto" w:fill="FFFFFF"/>
        </w:rPr>
        <w:t xml:space="preserve">Additional File </w:t>
      </w:r>
      <w:r w:rsidR="005528FC">
        <w:rPr>
          <w:rFonts w:eastAsia="Times New Roman" w:cstheme="minorHAnsi"/>
          <w:b/>
          <w:color w:val="000000"/>
          <w:shd w:val="clear" w:color="auto" w:fill="FFFFFF"/>
        </w:rPr>
        <w:t>2</w:t>
      </w:r>
      <w:r>
        <w:rPr>
          <w:rFonts w:eastAsia="Times New Roman" w:cstheme="minorHAnsi"/>
          <w:b/>
          <w:color w:val="000000"/>
          <w:shd w:val="clear" w:color="auto" w:fill="FFFFFF"/>
        </w:rPr>
        <w:t>:</w:t>
      </w:r>
    </w:p>
    <w:p w14:paraId="63AC501E" w14:textId="77777777" w:rsidR="0043782A" w:rsidRPr="0043782A" w:rsidRDefault="0043782A" w:rsidP="0043782A">
      <w:pPr>
        <w:pStyle w:val="ListParagraph"/>
        <w:numPr>
          <w:ilvl w:val="0"/>
          <w:numId w:val="1"/>
        </w:numPr>
        <w:spacing w:line="480" w:lineRule="auto"/>
        <w:rPr>
          <w:rFonts w:eastAsia="Times New Roman" w:cstheme="minorHAnsi"/>
          <w:b/>
          <w:color w:val="000000"/>
          <w:shd w:val="clear" w:color="auto" w:fill="FFFFFF"/>
        </w:rPr>
      </w:pPr>
      <w:r w:rsidRPr="0043782A">
        <w:rPr>
          <w:rFonts w:eastAsia="Times New Roman" w:cstheme="minorHAnsi"/>
          <w:b/>
          <w:i/>
          <w:color w:val="000000"/>
          <w:shd w:val="clear" w:color="auto" w:fill="FFFFFF"/>
        </w:rPr>
        <w:t>Assessment of a method to limit ex vivo conversion of ELQ-331 to ELQ-300</w:t>
      </w:r>
    </w:p>
    <w:p w14:paraId="76E60EBD" w14:textId="77777777" w:rsidR="0043782A" w:rsidRPr="0043782A" w:rsidRDefault="0043782A" w:rsidP="0043782A">
      <w:pPr>
        <w:pStyle w:val="ListParagraph"/>
        <w:numPr>
          <w:ilvl w:val="0"/>
          <w:numId w:val="1"/>
        </w:numPr>
        <w:spacing w:line="480" w:lineRule="auto"/>
        <w:rPr>
          <w:rFonts w:eastAsia="Times New Roman" w:cstheme="minorHAnsi"/>
          <w:b/>
          <w:color w:val="000000"/>
          <w:shd w:val="clear" w:color="auto" w:fill="FFFFFF"/>
        </w:rPr>
      </w:pPr>
      <w:r w:rsidRPr="0043782A">
        <w:rPr>
          <w:rFonts w:cstheme="minorHAnsi"/>
          <w:b/>
          <w:bCs/>
          <w:i/>
        </w:rPr>
        <w:t>Generalized method for estimation of compound solubility in sesame oil</w:t>
      </w:r>
    </w:p>
    <w:p w14:paraId="1A437A88" w14:textId="77777777" w:rsidR="00EA18DB" w:rsidRPr="00EA18DB" w:rsidRDefault="0043782A" w:rsidP="0043782A">
      <w:pPr>
        <w:pStyle w:val="ListParagraph"/>
        <w:numPr>
          <w:ilvl w:val="0"/>
          <w:numId w:val="1"/>
        </w:numPr>
        <w:spacing w:line="480" w:lineRule="auto"/>
        <w:rPr>
          <w:rFonts w:eastAsia="Times New Roman" w:cstheme="minorHAnsi"/>
          <w:b/>
          <w:color w:val="000000"/>
          <w:shd w:val="clear" w:color="auto" w:fill="FFFFFF"/>
        </w:rPr>
      </w:pPr>
      <w:r w:rsidRPr="0043782A">
        <w:rPr>
          <w:rFonts w:cstheme="minorHAnsi"/>
          <w:b/>
          <w:i/>
        </w:rPr>
        <w:t>ELQ-331 solubility in several solubilizing excipients</w:t>
      </w:r>
    </w:p>
    <w:p w14:paraId="233E1B13" w14:textId="29025209" w:rsidR="0043782A" w:rsidRPr="0043782A" w:rsidRDefault="00EA18DB" w:rsidP="0043782A">
      <w:pPr>
        <w:pStyle w:val="ListParagraph"/>
        <w:numPr>
          <w:ilvl w:val="0"/>
          <w:numId w:val="1"/>
        </w:numPr>
        <w:spacing w:line="480" w:lineRule="auto"/>
        <w:rPr>
          <w:rFonts w:eastAsia="Times New Roman" w:cstheme="minorHAnsi"/>
          <w:b/>
          <w:color w:val="000000"/>
          <w:shd w:val="clear" w:color="auto" w:fill="FFFFFF"/>
        </w:rPr>
      </w:pPr>
      <w:r>
        <w:rPr>
          <w:rFonts w:cstheme="minorHAnsi"/>
          <w:b/>
          <w:i/>
        </w:rPr>
        <w:t xml:space="preserve">Quantitation of radiance data from IVIS imaging displayed in Table </w:t>
      </w:r>
      <w:r w:rsidR="00490463">
        <w:rPr>
          <w:rFonts w:cstheme="minorHAnsi"/>
          <w:b/>
          <w:i/>
        </w:rPr>
        <w:t>4</w:t>
      </w:r>
      <w:r>
        <w:rPr>
          <w:rFonts w:cstheme="minorHAnsi"/>
          <w:b/>
          <w:i/>
        </w:rPr>
        <w:t xml:space="preserve"> of the main paper</w:t>
      </w:r>
      <w:r w:rsidR="0043782A" w:rsidRPr="0043782A">
        <w:rPr>
          <w:rFonts w:eastAsia="Times New Roman" w:cstheme="minorHAnsi"/>
          <w:b/>
          <w:i/>
          <w:color w:val="000000"/>
          <w:shd w:val="clear" w:color="auto" w:fill="FFFFFF"/>
        </w:rPr>
        <w:t xml:space="preserve"> </w:t>
      </w:r>
    </w:p>
    <w:p w14:paraId="1BB8196E" w14:textId="76BBF1F4" w:rsidR="0043782A" w:rsidRDefault="0043782A" w:rsidP="00DA0ECF">
      <w:pPr>
        <w:spacing w:before="160" w:line="480" w:lineRule="auto"/>
        <w:rPr>
          <w:rFonts w:eastAsia="Times New Roman" w:cstheme="minorHAnsi"/>
          <w:color w:val="000000"/>
          <w:shd w:val="clear" w:color="auto" w:fill="FFFFFF"/>
        </w:rPr>
      </w:pPr>
      <w:r w:rsidRPr="0043782A">
        <w:rPr>
          <w:rFonts w:eastAsia="Times New Roman" w:cstheme="minorHAnsi"/>
          <w:b/>
          <w:i/>
          <w:color w:val="000000"/>
          <w:shd w:val="clear" w:color="auto" w:fill="FFFFFF"/>
        </w:rPr>
        <w:t>Assessment of a method to limit ex vivo conversion of ELQ-331 to ELQ-300</w:t>
      </w:r>
      <w:r>
        <w:rPr>
          <w:rFonts w:eastAsia="Times New Roman" w:cstheme="minorHAnsi"/>
          <w:i/>
          <w:color w:val="000000"/>
          <w:shd w:val="clear" w:color="auto" w:fill="FFFFFF"/>
        </w:rPr>
        <w:t xml:space="preserve">: </w:t>
      </w:r>
      <w:r>
        <w:rPr>
          <w:rFonts w:eastAsia="Times New Roman" w:cstheme="minorHAnsi"/>
          <w:color w:val="000000"/>
          <w:shd w:val="clear" w:color="auto" w:fill="FFFFFF"/>
        </w:rPr>
        <w:t xml:space="preserve">Using a heparinized syringe, 1 mL of blood was obtained from a female CFW mouse by cardiac puncture, immediately spiked with 1 µL of 10 mM ELQ-331 in </w:t>
      </w:r>
      <w:proofErr w:type="gramStart"/>
      <w:r>
        <w:rPr>
          <w:rFonts w:eastAsia="Times New Roman" w:cstheme="minorHAnsi"/>
          <w:color w:val="000000"/>
          <w:shd w:val="clear" w:color="auto" w:fill="FFFFFF"/>
        </w:rPr>
        <w:t>DMSO, and</w:t>
      </w:r>
      <w:proofErr w:type="gramEnd"/>
      <w:r>
        <w:rPr>
          <w:rFonts w:eastAsia="Times New Roman" w:cstheme="minorHAnsi"/>
          <w:color w:val="000000"/>
          <w:shd w:val="clear" w:color="auto" w:fill="FFFFFF"/>
        </w:rPr>
        <w:t xml:space="preserve"> mixed thoroughly. From this sample, 300 µL aliquots were transferred to three microfuge tubes: one at room temperature, one on ice, and one containing 34.2 µL of 500 mM sodium fluoride (</w:t>
      </w:r>
      <w:proofErr w:type="spellStart"/>
      <w:r>
        <w:rPr>
          <w:rFonts w:eastAsia="Times New Roman" w:cstheme="minorHAnsi"/>
          <w:color w:val="000000"/>
          <w:shd w:val="clear" w:color="auto" w:fill="FFFFFF"/>
        </w:rPr>
        <w:t>NaF</w:t>
      </w:r>
      <w:proofErr w:type="spellEnd"/>
      <w:r>
        <w:rPr>
          <w:rFonts w:eastAsia="Times New Roman" w:cstheme="minorHAnsi"/>
          <w:color w:val="000000"/>
          <w:shd w:val="clear" w:color="auto" w:fill="FFFFFF"/>
        </w:rPr>
        <w:t xml:space="preserve">) on ice. Tubes were left under these conditions for one hour, then centrifuged at high speed for one minute. Aliquots of supernatant plasma were removed from each tube, and immediately frozen at -80° C until determination of plasma ELQ-300 concentration ([ELQ-300]). The results summarized below indicate that ex vivo hydrolysis of ELQ-331 to ELQ-300 is effectively limited by the combination of cold and </w:t>
      </w:r>
      <w:proofErr w:type="spellStart"/>
      <w:proofErr w:type="gramStart"/>
      <w:r>
        <w:rPr>
          <w:rFonts w:eastAsia="Times New Roman" w:cstheme="minorHAnsi"/>
          <w:color w:val="000000"/>
          <w:shd w:val="clear" w:color="auto" w:fill="FFFFFF"/>
        </w:rPr>
        <w:t>NaF</w:t>
      </w:r>
      <w:proofErr w:type="spellEnd"/>
      <w:r>
        <w:rPr>
          <w:rFonts w:eastAsia="Times New Roman" w:cstheme="minorHAnsi"/>
          <w:color w:val="000000"/>
          <w:shd w:val="clear" w:color="auto" w:fill="FFFFFF"/>
        </w:rPr>
        <w:t>, and</w:t>
      </w:r>
      <w:proofErr w:type="gramEnd"/>
      <w:r>
        <w:rPr>
          <w:rFonts w:eastAsia="Times New Roman" w:cstheme="minorHAnsi"/>
          <w:color w:val="000000"/>
          <w:shd w:val="clear" w:color="auto" w:fill="FFFFFF"/>
        </w:rPr>
        <w:t xml:space="preserve"> has little or no impact on plasma [ELQ-331] and [ELQ-300] values determined during our PK analysis. </w:t>
      </w:r>
    </w:p>
    <w:tbl>
      <w:tblPr>
        <w:tblStyle w:val="TableGrid"/>
        <w:tblW w:w="0" w:type="auto"/>
        <w:jc w:val="center"/>
        <w:tblLook w:val="04A0" w:firstRow="1" w:lastRow="0" w:firstColumn="1" w:lastColumn="0" w:noHBand="0" w:noVBand="1"/>
      </w:tblPr>
      <w:tblGrid>
        <w:gridCol w:w="2337"/>
        <w:gridCol w:w="2337"/>
        <w:gridCol w:w="2338"/>
        <w:gridCol w:w="2338"/>
      </w:tblGrid>
      <w:tr w:rsidR="0043782A" w14:paraId="1C176A94" w14:textId="77777777" w:rsidTr="00B65CF2">
        <w:trPr>
          <w:jc w:val="center"/>
        </w:trPr>
        <w:tc>
          <w:tcPr>
            <w:tcW w:w="2337" w:type="dxa"/>
            <w:vAlign w:val="center"/>
          </w:tcPr>
          <w:p w14:paraId="00B44EDB"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Condition tested</w:t>
            </w:r>
          </w:p>
        </w:tc>
        <w:tc>
          <w:tcPr>
            <w:tcW w:w="2337" w:type="dxa"/>
            <w:vAlign w:val="center"/>
          </w:tcPr>
          <w:p w14:paraId="2041DC63" w14:textId="77777777" w:rsidR="0043782A" w:rsidRPr="00AC3930" w:rsidRDefault="0043782A" w:rsidP="00B65CF2">
            <w:pPr>
              <w:jc w:val="center"/>
              <w:rPr>
                <w:rFonts w:eastAsia="Times New Roman" w:cstheme="minorHAnsi"/>
                <w:color w:val="000000"/>
                <w:shd w:val="clear" w:color="auto" w:fill="FFFFFF"/>
                <w:vertAlign w:val="subscript"/>
              </w:rPr>
            </w:pPr>
            <w:r>
              <w:rPr>
                <w:rFonts w:eastAsia="Times New Roman" w:cstheme="minorHAnsi"/>
                <w:color w:val="000000"/>
                <w:shd w:val="clear" w:color="auto" w:fill="FFFFFF"/>
              </w:rPr>
              <w:t>Initial [ELQ-</w:t>
            </w:r>
            <w:proofErr w:type="gramStart"/>
            <w:r>
              <w:rPr>
                <w:rFonts w:eastAsia="Times New Roman" w:cstheme="minorHAnsi"/>
                <w:color w:val="000000"/>
                <w:shd w:val="clear" w:color="auto" w:fill="FFFFFF"/>
              </w:rPr>
              <w:t>331]</w:t>
            </w:r>
            <w:r>
              <w:rPr>
                <w:rFonts w:eastAsia="Times New Roman" w:cstheme="minorHAnsi"/>
                <w:color w:val="000000"/>
                <w:shd w:val="clear" w:color="auto" w:fill="FFFFFF"/>
                <w:vertAlign w:val="subscript"/>
              </w:rPr>
              <w:t>calculated</w:t>
            </w:r>
            <w:proofErr w:type="gramEnd"/>
          </w:p>
        </w:tc>
        <w:tc>
          <w:tcPr>
            <w:tcW w:w="2338" w:type="dxa"/>
            <w:vAlign w:val="center"/>
          </w:tcPr>
          <w:p w14:paraId="19B0779E" w14:textId="77777777" w:rsidR="0043782A" w:rsidRPr="00AC3930" w:rsidRDefault="0043782A" w:rsidP="00B65CF2">
            <w:pPr>
              <w:jc w:val="center"/>
              <w:rPr>
                <w:rFonts w:eastAsia="Times New Roman" w:cstheme="minorHAnsi"/>
                <w:color w:val="000000"/>
                <w:shd w:val="clear" w:color="auto" w:fill="FFFFFF"/>
                <w:vertAlign w:val="subscript"/>
              </w:rPr>
            </w:pPr>
            <w:r>
              <w:rPr>
                <w:rFonts w:eastAsia="Times New Roman" w:cstheme="minorHAnsi"/>
                <w:color w:val="000000"/>
                <w:shd w:val="clear" w:color="auto" w:fill="FFFFFF"/>
              </w:rPr>
              <w:t>Final [ELQ-</w:t>
            </w:r>
            <w:proofErr w:type="gramStart"/>
            <w:r>
              <w:rPr>
                <w:rFonts w:eastAsia="Times New Roman" w:cstheme="minorHAnsi"/>
                <w:color w:val="000000"/>
                <w:shd w:val="clear" w:color="auto" w:fill="FFFFFF"/>
              </w:rPr>
              <w:t>300]</w:t>
            </w:r>
            <w:r>
              <w:rPr>
                <w:rFonts w:eastAsia="Times New Roman" w:cstheme="minorHAnsi"/>
                <w:color w:val="000000"/>
                <w:shd w:val="clear" w:color="auto" w:fill="FFFFFF"/>
                <w:vertAlign w:val="subscript"/>
              </w:rPr>
              <w:t>measured</w:t>
            </w:r>
            <w:proofErr w:type="gramEnd"/>
          </w:p>
        </w:tc>
        <w:tc>
          <w:tcPr>
            <w:tcW w:w="2338" w:type="dxa"/>
            <w:vAlign w:val="center"/>
          </w:tcPr>
          <w:p w14:paraId="21E9A97A"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Estimated ex vivo hydrolysis of ELQ-331</w:t>
            </w:r>
          </w:p>
        </w:tc>
      </w:tr>
      <w:tr w:rsidR="0043782A" w14:paraId="51BC4849" w14:textId="77777777" w:rsidTr="00B65CF2">
        <w:trPr>
          <w:jc w:val="center"/>
        </w:trPr>
        <w:tc>
          <w:tcPr>
            <w:tcW w:w="2337" w:type="dxa"/>
            <w:vAlign w:val="center"/>
          </w:tcPr>
          <w:p w14:paraId="496062E7"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None</w:t>
            </w:r>
          </w:p>
        </w:tc>
        <w:tc>
          <w:tcPr>
            <w:tcW w:w="2337" w:type="dxa"/>
            <w:vAlign w:val="center"/>
          </w:tcPr>
          <w:p w14:paraId="11BF23C8"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10 µM</w:t>
            </w:r>
          </w:p>
        </w:tc>
        <w:tc>
          <w:tcPr>
            <w:tcW w:w="2338" w:type="dxa"/>
            <w:vAlign w:val="center"/>
          </w:tcPr>
          <w:p w14:paraId="6CCC6201"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 xml:space="preserve">727 </w:t>
            </w:r>
            <w:proofErr w:type="spellStart"/>
            <w:r>
              <w:rPr>
                <w:rFonts w:eastAsia="Times New Roman" w:cstheme="minorHAnsi"/>
                <w:color w:val="000000"/>
                <w:shd w:val="clear" w:color="auto" w:fill="FFFFFF"/>
              </w:rPr>
              <w:t>nM</w:t>
            </w:r>
            <w:proofErr w:type="spellEnd"/>
          </w:p>
        </w:tc>
        <w:tc>
          <w:tcPr>
            <w:tcW w:w="2338" w:type="dxa"/>
            <w:vAlign w:val="center"/>
          </w:tcPr>
          <w:p w14:paraId="77D8C2F6"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7.3%</w:t>
            </w:r>
          </w:p>
        </w:tc>
      </w:tr>
      <w:tr w:rsidR="0043782A" w14:paraId="4567C5A0" w14:textId="77777777" w:rsidTr="00B65CF2">
        <w:trPr>
          <w:jc w:val="center"/>
        </w:trPr>
        <w:tc>
          <w:tcPr>
            <w:tcW w:w="2337" w:type="dxa"/>
            <w:vAlign w:val="center"/>
          </w:tcPr>
          <w:p w14:paraId="3F2DE82B"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Cold</w:t>
            </w:r>
          </w:p>
        </w:tc>
        <w:tc>
          <w:tcPr>
            <w:tcW w:w="2337" w:type="dxa"/>
            <w:vAlign w:val="center"/>
          </w:tcPr>
          <w:p w14:paraId="5F3096AE"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10 µM</w:t>
            </w:r>
          </w:p>
        </w:tc>
        <w:tc>
          <w:tcPr>
            <w:tcW w:w="2338" w:type="dxa"/>
            <w:vAlign w:val="center"/>
          </w:tcPr>
          <w:p w14:paraId="661181FA"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 xml:space="preserve">387 </w:t>
            </w:r>
            <w:proofErr w:type="spellStart"/>
            <w:r>
              <w:rPr>
                <w:rFonts w:eastAsia="Times New Roman" w:cstheme="minorHAnsi"/>
                <w:color w:val="000000"/>
                <w:shd w:val="clear" w:color="auto" w:fill="FFFFFF"/>
              </w:rPr>
              <w:t>nM</w:t>
            </w:r>
            <w:proofErr w:type="spellEnd"/>
          </w:p>
        </w:tc>
        <w:tc>
          <w:tcPr>
            <w:tcW w:w="2338" w:type="dxa"/>
            <w:vAlign w:val="center"/>
          </w:tcPr>
          <w:p w14:paraId="48B43BD2"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3.9%</w:t>
            </w:r>
          </w:p>
        </w:tc>
      </w:tr>
      <w:tr w:rsidR="0043782A" w14:paraId="6DA3C1F1" w14:textId="77777777" w:rsidTr="00B65CF2">
        <w:trPr>
          <w:jc w:val="center"/>
        </w:trPr>
        <w:tc>
          <w:tcPr>
            <w:tcW w:w="2337" w:type="dxa"/>
            <w:vAlign w:val="center"/>
          </w:tcPr>
          <w:p w14:paraId="391558E7" w14:textId="77777777" w:rsidR="0043782A" w:rsidRDefault="0043782A" w:rsidP="00B65CF2">
            <w:pPr>
              <w:jc w:val="center"/>
              <w:rPr>
                <w:rFonts w:eastAsia="Times New Roman" w:cstheme="minorHAnsi"/>
                <w:color w:val="000000"/>
                <w:shd w:val="clear" w:color="auto" w:fill="FFFFFF"/>
              </w:rPr>
            </w:pPr>
            <w:proofErr w:type="spellStart"/>
            <w:r>
              <w:rPr>
                <w:rFonts w:eastAsia="Times New Roman" w:cstheme="minorHAnsi"/>
                <w:color w:val="000000"/>
                <w:shd w:val="clear" w:color="auto" w:fill="FFFFFF"/>
              </w:rPr>
              <w:t>NaF</w:t>
            </w:r>
            <w:proofErr w:type="spellEnd"/>
            <w:r>
              <w:rPr>
                <w:rFonts w:eastAsia="Times New Roman" w:cstheme="minorHAnsi"/>
                <w:color w:val="000000"/>
                <w:shd w:val="clear" w:color="auto" w:fill="FFFFFF"/>
              </w:rPr>
              <w:t>, Cold</w:t>
            </w:r>
          </w:p>
        </w:tc>
        <w:tc>
          <w:tcPr>
            <w:tcW w:w="2337" w:type="dxa"/>
            <w:vAlign w:val="center"/>
          </w:tcPr>
          <w:p w14:paraId="03005E3A"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10 µM</w:t>
            </w:r>
          </w:p>
        </w:tc>
        <w:tc>
          <w:tcPr>
            <w:tcW w:w="2338" w:type="dxa"/>
            <w:vAlign w:val="center"/>
          </w:tcPr>
          <w:p w14:paraId="402B9569"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 xml:space="preserve">194 </w:t>
            </w:r>
            <w:proofErr w:type="spellStart"/>
            <w:r>
              <w:rPr>
                <w:rFonts w:eastAsia="Times New Roman" w:cstheme="minorHAnsi"/>
                <w:color w:val="000000"/>
                <w:shd w:val="clear" w:color="auto" w:fill="FFFFFF"/>
              </w:rPr>
              <w:t>nM</w:t>
            </w:r>
            <w:proofErr w:type="spellEnd"/>
          </w:p>
        </w:tc>
        <w:tc>
          <w:tcPr>
            <w:tcW w:w="2338" w:type="dxa"/>
            <w:vAlign w:val="center"/>
          </w:tcPr>
          <w:p w14:paraId="630FBBC8" w14:textId="77777777" w:rsidR="0043782A" w:rsidRDefault="0043782A" w:rsidP="00B65CF2">
            <w:pPr>
              <w:jc w:val="center"/>
              <w:rPr>
                <w:rFonts w:eastAsia="Times New Roman" w:cstheme="minorHAnsi"/>
                <w:color w:val="000000"/>
                <w:shd w:val="clear" w:color="auto" w:fill="FFFFFF"/>
              </w:rPr>
            </w:pPr>
            <w:r>
              <w:rPr>
                <w:rFonts w:eastAsia="Times New Roman" w:cstheme="minorHAnsi"/>
                <w:color w:val="000000"/>
                <w:shd w:val="clear" w:color="auto" w:fill="FFFFFF"/>
              </w:rPr>
              <w:t>1.9%</w:t>
            </w:r>
          </w:p>
        </w:tc>
      </w:tr>
    </w:tbl>
    <w:p w14:paraId="3E543608" w14:textId="77777777" w:rsidR="0043782A" w:rsidRPr="0043782A" w:rsidRDefault="0043782A" w:rsidP="0043782A">
      <w:pPr>
        <w:rPr>
          <w:rFonts w:cstheme="minorHAnsi"/>
          <w:b/>
          <w:bCs/>
        </w:rPr>
      </w:pPr>
    </w:p>
    <w:p w14:paraId="3FA9B7EF" w14:textId="1CD0DE20" w:rsidR="0043782A" w:rsidRDefault="0043782A" w:rsidP="00DA0ECF">
      <w:pPr>
        <w:spacing w:before="160" w:line="480" w:lineRule="auto"/>
        <w:rPr>
          <w:rFonts w:cstheme="minorHAnsi"/>
        </w:rPr>
      </w:pPr>
      <w:r w:rsidRPr="0043782A">
        <w:rPr>
          <w:rFonts w:cstheme="minorHAnsi"/>
          <w:b/>
          <w:bCs/>
          <w:i/>
        </w:rPr>
        <w:t>Generalized method for estimation of compound solubility in sesame oil</w:t>
      </w:r>
      <w:r w:rsidRPr="0052708B">
        <w:rPr>
          <w:rFonts w:cstheme="minorHAnsi"/>
          <w:b/>
          <w:bCs/>
        </w:rPr>
        <w:t xml:space="preserve">: </w:t>
      </w:r>
      <w:r w:rsidRPr="0052708B">
        <w:rPr>
          <w:rFonts w:cstheme="minorHAnsi"/>
        </w:rPr>
        <w:t xml:space="preserve">Sesame oil (10µl) was dispensed into a glass vial containing 10 mg of the appropriate ELQ-300 prodrug. The mixture was vortexed and warmed (using a heat gun) to aid dissolution. The solubility of the compound was judged after the sesame oil mixture cooled to room temperature. If the compound was not completely dissolved, additional sesame oil was added </w:t>
      </w:r>
      <w:r w:rsidRPr="0052708B">
        <w:rPr>
          <w:rFonts w:cstheme="minorHAnsi"/>
        </w:rPr>
        <w:lastRenderedPageBreak/>
        <w:t>in low-volume increments. Importantly, complete dissolution was assured by confirming by visual inspection that the compound remained in solution for at least 72 h</w:t>
      </w:r>
      <w:r>
        <w:rPr>
          <w:rFonts w:cstheme="minorHAnsi"/>
        </w:rPr>
        <w:t>ou</w:t>
      </w:r>
      <w:r w:rsidRPr="0052708B">
        <w:rPr>
          <w:rFonts w:cstheme="minorHAnsi"/>
        </w:rPr>
        <w:t>rs at room temperature.</w:t>
      </w:r>
    </w:p>
    <w:p w14:paraId="6D021C4B" w14:textId="19058BCA" w:rsidR="0043782A" w:rsidRPr="00DB719D" w:rsidRDefault="0043782A" w:rsidP="00DA0ECF">
      <w:pPr>
        <w:spacing w:before="160" w:line="480" w:lineRule="auto"/>
        <w:rPr>
          <w:rFonts w:cstheme="minorHAnsi"/>
        </w:rPr>
      </w:pPr>
      <w:r w:rsidRPr="0043782A">
        <w:rPr>
          <w:rFonts w:cstheme="minorHAnsi"/>
          <w:b/>
          <w:i/>
        </w:rPr>
        <w:t>ELQ-331 solubility in several solubilizing excipients</w:t>
      </w:r>
      <w:r>
        <w:rPr>
          <w:rFonts w:cstheme="minorHAnsi"/>
          <w:i/>
        </w:rPr>
        <w:t xml:space="preserve"> - </w:t>
      </w:r>
      <w:r>
        <w:rPr>
          <w:rFonts w:cstheme="minorHAnsi"/>
        </w:rPr>
        <w:t>Dissolution of ELQ-331 powder in several known solubilizers (see table, below) was attempted, using warming and mixing only to aid solubilization, and visual inspection with magnification to assess results. The highest concentration tested was 250 mg/</w:t>
      </w:r>
      <w:proofErr w:type="spellStart"/>
      <w:r>
        <w:rPr>
          <w:rFonts w:cstheme="minorHAnsi"/>
        </w:rPr>
        <w:t>mL.</w:t>
      </w:r>
      <w:proofErr w:type="spellEnd"/>
      <w:r>
        <w:rPr>
          <w:rFonts w:cstheme="minorHAnsi"/>
        </w:rPr>
        <w:t xml:space="preserve"> If the powder failed to go into solution completely, aliquots of the solubilizer were added in various proportions, and solubility was reassessed. This process was repeated until either a clear solution resulted or until solubility was found to be &lt; 50 mg/</w:t>
      </w:r>
      <w:proofErr w:type="spellStart"/>
      <w:r>
        <w:rPr>
          <w:rFonts w:cstheme="minorHAnsi"/>
        </w:rPr>
        <w:t>mL.</w:t>
      </w:r>
      <w:proofErr w:type="spellEnd"/>
      <w:r>
        <w:rPr>
          <w:rFonts w:cstheme="minorHAnsi"/>
        </w:rPr>
        <w:t xml:space="preserve"> Clear solutions were left at room temperature for at least 24 hours and re-assessed, and only those remaining clear were included in determining the values listed below. </w:t>
      </w:r>
    </w:p>
    <w:tbl>
      <w:tblPr>
        <w:tblStyle w:val="TableGrid"/>
        <w:tblW w:w="0" w:type="auto"/>
        <w:tblLook w:val="04A0" w:firstRow="1" w:lastRow="0" w:firstColumn="1" w:lastColumn="0" w:noHBand="0" w:noVBand="1"/>
      </w:tblPr>
      <w:tblGrid>
        <w:gridCol w:w="3233"/>
        <w:gridCol w:w="3229"/>
      </w:tblGrid>
      <w:tr w:rsidR="0043782A" w14:paraId="0B827E73" w14:textId="77777777" w:rsidTr="00B65CF2">
        <w:tc>
          <w:tcPr>
            <w:tcW w:w="3233" w:type="dxa"/>
          </w:tcPr>
          <w:p w14:paraId="05046C99" w14:textId="77777777" w:rsidR="0043782A" w:rsidRPr="0084521F" w:rsidRDefault="0043782A" w:rsidP="00B65CF2">
            <w:pPr>
              <w:rPr>
                <w:b/>
              </w:rPr>
            </w:pPr>
            <w:r w:rsidRPr="0084521F">
              <w:rPr>
                <w:b/>
              </w:rPr>
              <w:t>Vehicle</w:t>
            </w:r>
          </w:p>
        </w:tc>
        <w:tc>
          <w:tcPr>
            <w:tcW w:w="3229" w:type="dxa"/>
          </w:tcPr>
          <w:p w14:paraId="15C6ED18" w14:textId="77777777" w:rsidR="0043782A" w:rsidRPr="0084521F" w:rsidRDefault="0043782A" w:rsidP="00B65CF2">
            <w:pPr>
              <w:jc w:val="center"/>
              <w:rPr>
                <w:b/>
              </w:rPr>
            </w:pPr>
            <w:r w:rsidRPr="0084521F">
              <w:rPr>
                <w:b/>
              </w:rPr>
              <w:t>Solubility (mg/ml)</w:t>
            </w:r>
          </w:p>
        </w:tc>
      </w:tr>
      <w:tr w:rsidR="0043782A" w14:paraId="0673D9EA" w14:textId="77777777" w:rsidTr="00B65CF2">
        <w:tc>
          <w:tcPr>
            <w:tcW w:w="3233" w:type="dxa"/>
          </w:tcPr>
          <w:p w14:paraId="2839B541" w14:textId="77777777" w:rsidR="0043782A" w:rsidRDefault="0043782A" w:rsidP="00B65CF2">
            <w:proofErr w:type="spellStart"/>
            <w:r>
              <w:t>Capryol</w:t>
            </w:r>
            <w:proofErr w:type="spellEnd"/>
            <w:r>
              <w:t xml:space="preserve"> 90</w:t>
            </w:r>
          </w:p>
        </w:tc>
        <w:tc>
          <w:tcPr>
            <w:tcW w:w="3229" w:type="dxa"/>
          </w:tcPr>
          <w:p w14:paraId="48EB5049" w14:textId="77777777" w:rsidR="0043782A" w:rsidRDefault="0043782A" w:rsidP="00B65CF2">
            <w:pPr>
              <w:jc w:val="center"/>
            </w:pPr>
            <w:r>
              <w:t>&gt;250</w:t>
            </w:r>
          </w:p>
        </w:tc>
      </w:tr>
      <w:tr w:rsidR="0043782A" w14:paraId="2F127E2F" w14:textId="77777777" w:rsidTr="00B65CF2">
        <w:tc>
          <w:tcPr>
            <w:tcW w:w="3233" w:type="dxa"/>
          </w:tcPr>
          <w:p w14:paraId="257B8DDF" w14:textId="77777777" w:rsidR="0043782A" w:rsidRDefault="0043782A" w:rsidP="00B65CF2">
            <w:r>
              <w:t>Glyceryl Tributyrate</w:t>
            </w:r>
          </w:p>
        </w:tc>
        <w:tc>
          <w:tcPr>
            <w:tcW w:w="3229" w:type="dxa"/>
          </w:tcPr>
          <w:p w14:paraId="0FFE6FC4" w14:textId="77777777" w:rsidR="0043782A" w:rsidRDefault="0043782A" w:rsidP="00B65CF2">
            <w:pPr>
              <w:jc w:val="center"/>
            </w:pPr>
            <w:r>
              <w:t>&gt;250</w:t>
            </w:r>
          </w:p>
        </w:tc>
      </w:tr>
      <w:tr w:rsidR="0043782A" w14:paraId="4DDD9A4D" w14:textId="77777777" w:rsidTr="00B65CF2">
        <w:tc>
          <w:tcPr>
            <w:tcW w:w="3233" w:type="dxa"/>
          </w:tcPr>
          <w:p w14:paraId="737F8B97" w14:textId="77777777" w:rsidR="0043782A" w:rsidRDefault="0043782A" w:rsidP="00B65CF2">
            <w:r>
              <w:t>Isopropyl Myristate</w:t>
            </w:r>
          </w:p>
        </w:tc>
        <w:tc>
          <w:tcPr>
            <w:tcW w:w="3229" w:type="dxa"/>
          </w:tcPr>
          <w:p w14:paraId="7F1B1ABC" w14:textId="77777777" w:rsidR="0043782A" w:rsidRDefault="0043782A" w:rsidP="00B65CF2">
            <w:pPr>
              <w:jc w:val="center"/>
            </w:pPr>
            <w:r>
              <w:t>63</w:t>
            </w:r>
          </w:p>
        </w:tc>
      </w:tr>
      <w:tr w:rsidR="0043782A" w14:paraId="586A32A2" w14:textId="77777777" w:rsidTr="00B65CF2">
        <w:tc>
          <w:tcPr>
            <w:tcW w:w="3233" w:type="dxa"/>
          </w:tcPr>
          <w:p w14:paraId="49756D7D" w14:textId="77777777" w:rsidR="0043782A" w:rsidRDefault="0043782A" w:rsidP="00B65CF2">
            <w:proofErr w:type="spellStart"/>
            <w:r>
              <w:t>Labrasol</w:t>
            </w:r>
            <w:proofErr w:type="spellEnd"/>
          </w:p>
        </w:tc>
        <w:tc>
          <w:tcPr>
            <w:tcW w:w="3229" w:type="dxa"/>
          </w:tcPr>
          <w:p w14:paraId="38F6355E" w14:textId="77777777" w:rsidR="0043782A" w:rsidRDefault="0043782A" w:rsidP="00B65CF2">
            <w:pPr>
              <w:jc w:val="center"/>
            </w:pPr>
            <w:r>
              <w:t>125</w:t>
            </w:r>
          </w:p>
        </w:tc>
      </w:tr>
      <w:tr w:rsidR="0043782A" w14:paraId="0B9BBD15" w14:textId="77777777" w:rsidTr="00B65CF2">
        <w:tc>
          <w:tcPr>
            <w:tcW w:w="3233" w:type="dxa"/>
          </w:tcPr>
          <w:p w14:paraId="7D2568BC" w14:textId="77777777" w:rsidR="0043782A" w:rsidRDefault="0043782A" w:rsidP="00B65CF2">
            <w:proofErr w:type="spellStart"/>
            <w:r>
              <w:t>Miglyol</w:t>
            </w:r>
            <w:proofErr w:type="spellEnd"/>
            <w:r>
              <w:t xml:space="preserve"> 812</w:t>
            </w:r>
          </w:p>
        </w:tc>
        <w:tc>
          <w:tcPr>
            <w:tcW w:w="3229" w:type="dxa"/>
          </w:tcPr>
          <w:p w14:paraId="1F2FE61E" w14:textId="77777777" w:rsidR="0043782A" w:rsidRDefault="0043782A" w:rsidP="00B65CF2">
            <w:pPr>
              <w:jc w:val="center"/>
            </w:pPr>
            <w:r>
              <w:t>83</w:t>
            </w:r>
          </w:p>
        </w:tc>
      </w:tr>
      <w:tr w:rsidR="0043782A" w14:paraId="3C8534A1" w14:textId="77777777" w:rsidTr="00B65CF2">
        <w:tc>
          <w:tcPr>
            <w:tcW w:w="3233" w:type="dxa"/>
          </w:tcPr>
          <w:p w14:paraId="70B17A3C" w14:textId="77777777" w:rsidR="0043782A" w:rsidRDefault="0043782A" w:rsidP="00B65CF2">
            <w:proofErr w:type="spellStart"/>
            <w:r>
              <w:t>Miglyol</w:t>
            </w:r>
            <w:proofErr w:type="spellEnd"/>
            <w:r>
              <w:t xml:space="preserve"> 840</w:t>
            </w:r>
          </w:p>
        </w:tc>
        <w:tc>
          <w:tcPr>
            <w:tcW w:w="3229" w:type="dxa"/>
          </w:tcPr>
          <w:p w14:paraId="63AB450F" w14:textId="77777777" w:rsidR="0043782A" w:rsidRDefault="0043782A" w:rsidP="00B65CF2">
            <w:pPr>
              <w:jc w:val="center"/>
            </w:pPr>
            <w:r>
              <w:t>200</w:t>
            </w:r>
          </w:p>
        </w:tc>
      </w:tr>
      <w:tr w:rsidR="0043782A" w14:paraId="27F21B07" w14:textId="77777777" w:rsidTr="00B65CF2">
        <w:tc>
          <w:tcPr>
            <w:tcW w:w="3233" w:type="dxa"/>
          </w:tcPr>
          <w:p w14:paraId="5D40D8B5" w14:textId="347BB333" w:rsidR="0043782A" w:rsidRPr="00BD233E" w:rsidRDefault="0043782A" w:rsidP="00BD233E">
            <w:pPr>
              <w:pStyle w:val="Heading1"/>
              <w:spacing w:before="0" w:beforeAutospacing="0" w:after="0" w:afterAutospacing="0" w:line="264" w:lineRule="atLeast"/>
              <w:textAlignment w:val="baseline"/>
              <w:outlineLvl w:val="0"/>
              <w:rPr>
                <w:rFonts w:asciiTheme="minorHAnsi" w:hAnsiTheme="minorHAnsi" w:cstheme="minorHAnsi"/>
                <w:b w:val="0"/>
                <w:bCs w:val="0"/>
                <w:color w:val="313131"/>
                <w:sz w:val="22"/>
                <w:szCs w:val="22"/>
              </w:rPr>
            </w:pPr>
            <w:r w:rsidRPr="00BD233E">
              <w:rPr>
                <w:rFonts w:asciiTheme="minorHAnsi" w:hAnsiTheme="minorHAnsi" w:cstheme="minorHAnsi"/>
                <w:b w:val="0"/>
                <w:sz w:val="22"/>
                <w:szCs w:val="22"/>
              </w:rPr>
              <w:t>Olive Oil</w:t>
            </w:r>
            <w:r w:rsidR="00BD233E">
              <w:rPr>
                <w:rFonts w:asciiTheme="minorHAnsi" w:hAnsiTheme="minorHAnsi" w:cstheme="minorHAnsi"/>
                <w:b w:val="0"/>
                <w:sz w:val="22"/>
                <w:szCs w:val="22"/>
              </w:rPr>
              <w:t>,</w:t>
            </w:r>
            <w:r w:rsidRPr="00BD233E">
              <w:rPr>
                <w:rFonts w:asciiTheme="minorHAnsi" w:hAnsiTheme="minorHAnsi" w:cstheme="minorHAnsi"/>
                <w:b w:val="0"/>
                <w:sz w:val="22"/>
                <w:szCs w:val="22"/>
              </w:rPr>
              <w:t xml:space="preserve"> </w:t>
            </w:r>
            <w:r w:rsidR="00BD233E">
              <w:rPr>
                <w:rFonts w:asciiTheme="minorHAnsi" w:hAnsiTheme="minorHAnsi" w:cstheme="minorHAnsi"/>
                <w:b w:val="0"/>
                <w:sz w:val="22"/>
                <w:szCs w:val="22"/>
              </w:rPr>
              <w:t>r</w:t>
            </w:r>
            <w:r w:rsidRPr="00BD233E">
              <w:rPr>
                <w:rFonts w:asciiTheme="minorHAnsi" w:hAnsiTheme="minorHAnsi" w:cstheme="minorHAnsi"/>
                <w:b w:val="0"/>
                <w:sz w:val="22"/>
                <w:szCs w:val="22"/>
              </w:rPr>
              <w:t>efined</w:t>
            </w:r>
            <w:r w:rsidR="00BD233E" w:rsidRPr="00BD233E">
              <w:rPr>
                <w:rFonts w:asciiTheme="minorHAnsi" w:hAnsiTheme="minorHAnsi" w:cstheme="minorHAnsi"/>
                <w:b w:val="0"/>
                <w:sz w:val="22"/>
                <w:szCs w:val="22"/>
              </w:rPr>
              <w:t xml:space="preserve"> (</w:t>
            </w:r>
            <w:proofErr w:type="spellStart"/>
            <w:r w:rsidR="00BD233E" w:rsidRPr="00BD233E">
              <w:rPr>
                <w:rFonts w:asciiTheme="minorHAnsi" w:hAnsiTheme="minorHAnsi" w:cstheme="minorHAnsi"/>
                <w:b w:val="0"/>
                <w:bCs w:val="0"/>
                <w:color w:val="313131"/>
                <w:sz w:val="22"/>
                <w:szCs w:val="22"/>
              </w:rPr>
              <w:t>Gattefossé</w:t>
            </w:r>
            <w:proofErr w:type="spellEnd"/>
            <w:r w:rsidR="00BD233E">
              <w:rPr>
                <w:rFonts w:asciiTheme="minorHAnsi" w:hAnsiTheme="minorHAnsi" w:cstheme="minorHAnsi"/>
                <w:b w:val="0"/>
                <w:bCs w:val="0"/>
                <w:color w:val="313131"/>
                <w:sz w:val="22"/>
                <w:szCs w:val="22"/>
              </w:rPr>
              <w:t>)</w:t>
            </w:r>
          </w:p>
        </w:tc>
        <w:tc>
          <w:tcPr>
            <w:tcW w:w="3229" w:type="dxa"/>
          </w:tcPr>
          <w:p w14:paraId="1BC677E4" w14:textId="77777777" w:rsidR="0043782A" w:rsidRDefault="0043782A" w:rsidP="00B65CF2">
            <w:pPr>
              <w:jc w:val="center"/>
            </w:pPr>
            <w:r>
              <w:t>&lt;50</w:t>
            </w:r>
          </w:p>
        </w:tc>
      </w:tr>
      <w:tr w:rsidR="0043782A" w14:paraId="10D1DECA" w14:textId="77777777" w:rsidTr="00B65CF2">
        <w:tc>
          <w:tcPr>
            <w:tcW w:w="3233" w:type="dxa"/>
          </w:tcPr>
          <w:p w14:paraId="0E03B409" w14:textId="7C64892A" w:rsidR="0043782A" w:rsidRDefault="0043782A" w:rsidP="00B65CF2">
            <w:r>
              <w:t xml:space="preserve">Sesame Oil, </w:t>
            </w:r>
            <w:r w:rsidR="00BD233E" w:rsidRPr="00BD233E">
              <w:rPr>
                <w:rFonts w:cstheme="minorHAnsi"/>
              </w:rPr>
              <w:t>refined (</w:t>
            </w:r>
            <w:proofErr w:type="spellStart"/>
            <w:r w:rsidR="00BD233E" w:rsidRPr="00BD233E">
              <w:rPr>
                <w:rFonts w:cstheme="minorHAnsi"/>
                <w:bCs/>
                <w:color w:val="313131"/>
              </w:rPr>
              <w:t>Gattefossé</w:t>
            </w:r>
            <w:proofErr w:type="spellEnd"/>
            <w:r w:rsidR="00BD233E" w:rsidRPr="00BD233E">
              <w:rPr>
                <w:rFonts w:cstheme="minorHAnsi"/>
                <w:bCs/>
                <w:color w:val="313131"/>
              </w:rPr>
              <w:t>)</w:t>
            </w:r>
            <w:r>
              <w:t xml:space="preserve"> </w:t>
            </w:r>
          </w:p>
        </w:tc>
        <w:tc>
          <w:tcPr>
            <w:tcW w:w="3229" w:type="dxa"/>
          </w:tcPr>
          <w:p w14:paraId="3F1E849A" w14:textId="77777777" w:rsidR="0043782A" w:rsidRDefault="0043782A" w:rsidP="00B65CF2">
            <w:pPr>
              <w:jc w:val="center"/>
            </w:pPr>
            <w:r>
              <w:t>83</w:t>
            </w:r>
          </w:p>
        </w:tc>
      </w:tr>
      <w:tr w:rsidR="0043782A" w14:paraId="236A246B" w14:textId="77777777" w:rsidTr="00B65CF2">
        <w:tc>
          <w:tcPr>
            <w:tcW w:w="3233" w:type="dxa"/>
          </w:tcPr>
          <w:p w14:paraId="5E5CB2DD" w14:textId="77777777" w:rsidR="0043782A" w:rsidRDefault="0043782A" w:rsidP="00B65CF2">
            <w:r>
              <w:t xml:space="preserve">Sesame Oil, unrefined </w:t>
            </w:r>
          </w:p>
        </w:tc>
        <w:tc>
          <w:tcPr>
            <w:tcW w:w="3229" w:type="dxa"/>
          </w:tcPr>
          <w:p w14:paraId="2546AD11" w14:textId="77777777" w:rsidR="0043782A" w:rsidRDefault="0043782A" w:rsidP="00B65CF2">
            <w:pPr>
              <w:jc w:val="center"/>
            </w:pPr>
            <w:r>
              <w:t>83</w:t>
            </w:r>
          </w:p>
        </w:tc>
      </w:tr>
      <w:tr w:rsidR="0043782A" w14:paraId="15F45EB3" w14:textId="77777777" w:rsidTr="00B65CF2">
        <w:tc>
          <w:tcPr>
            <w:tcW w:w="3233" w:type="dxa"/>
          </w:tcPr>
          <w:p w14:paraId="3A03DC09" w14:textId="2C6A4EA4" w:rsidR="0043782A" w:rsidRDefault="0043782A" w:rsidP="00B65CF2">
            <w:r>
              <w:t>Soybean Oil</w:t>
            </w:r>
            <w:r w:rsidR="00BD233E">
              <w:t>,</w:t>
            </w:r>
            <w:r>
              <w:t xml:space="preserve"> </w:t>
            </w:r>
            <w:r w:rsidR="00BD233E" w:rsidRPr="00BD233E">
              <w:rPr>
                <w:rFonts w:cstheme="minorHAnsi"/>
              </w:rPr>
              <w:t>refined (</w:t>
            </w:r>
            <w:proofErr w:type="spellStart"/>
            <w:r w:rsidR="00BD233E" w:rsidRPr="00BD233E">
              <w:rPr>
                <w:rFonts w:cstheme="minorHAnsi"/>
                <w:bCs/>
                <w:color w:val="313131"/>
              </w:rPr>
              <w:t>Gattefossé</w:t>
            </w:r>
            <w:proofErr w:type="spellEnd"/>
            <w:r w:rsidR="00BD233E" w:rsidRPr="00BD233E">
              <w:rPr>
                <w:rFonts w:cstheme="minorHAnsi"/>
                <w:bCs/>
                <w:color w:val="313131"/>
              </w:rPr>
              <w:t>)</w:t>
            </w:r>
          </w:p>
        </w:tc>
        <w:tc>
          <w:tcPr>
            <w:tcW w:w="3229" w:type="dxa"/>
          </w:tcPr>
          <w:p w14:paraId="411D23D4" w14:textId="77777777" w:rsidR="0043782A" w:rsidRDefault="0043782A" w:rsidP="00B65CF2">
            <w:pPr>
              <w:jc w:val="center"/>
            </w:pPr>
            <w:r>
              <w:t>&lt;50</w:t>
            </w:r>
          </w:p>
        </w:tc>
      </w:tr>
      <w:tr w:rsidR="0043782A" w14:paraId="33B3F8CE" w14:textId="77777777" w:rsidTr="00B65CF2">
        <w:tc>
          <w:tcPr>
            <w:tcW w:w="3233" w:type="dxa"/>
          </w:tcPr>
          <w:p w14:paraId="5AE1B4F8" w14:textId="77777777" w:rsidR="0043782A" w:rsidRDefault="0043782A" w:rsidP="00B65CF2">
            <w:proofErr w:type="spellStart"/>
            <w:r>
              <w:t>Transcutol</w:t>
            </w:r>
            <w:proofErr w:type="spellEnd"/>
          </w:p>
        </w:tc>
        <w:tc>
          <w:tcPr>
            <w:tcW w:w="3229" w:type="dxa"/>
          </w:tcPr>
          <w:p w14:paraId="1FE873EC" w14:textId="77777777" w:rsidR="0043782A" w:rsidRDefault="0043782A" w:rsidP="00B65CF2">
            <w:pPr>
              <w:jc w:val="center"/>
            </w:pPr>
            <w:r>
              <w:t>167</w:t>
            </w:r>
          </w:p>
        </w:tc>
      </w:tr>
    </w:tbl>
    <w:p w14:paraId="2BA60C12" w14:textId="77777777" w:rsidR="00EA18DB" w:rsidRDefault="00EA18DB" w:rsidP="00EA18DB">
      <w:pPr>
        <w:spacing w:line="480" w:lineRule="auto"/>
        <w:rPr>
          <w:rFonts w:cstheme="minorHAnsi"/>
          <w:b/>
          <w:i/>
        </w:rPr>
      </w:pPr>
    </w:p>
    <w:p w14:paraId="5AFE5020" w14:textId="76623400" w:rsidR="00501525" w:rsidRDefault="001B0111" w:rsidP="00501525">
      <w:pPr>
        <w:spacing w:line="480" w:lineRule="auto"/>
        <w:rPr>
          <w:rFonts w:eastAsia="Times New Roman" w:cstheme="minorHAnsi"/>
          <w:bCs/>
          <w:iCs/>
          <w:noProof/>
          <w:color w:val="000000"/>
          <w:shd w:val="clear" w:color="auto" w:fill="FFFFFF"/>
        </w:rPr>
        <w:sectPr w:rsidR="00501525" w:rsidSect="000E0D3F">
          <w:pgSz w:w="12240" w:h="15840"/>
          <w:pgMar w:top="1440" w:right="1152" w:bottom="1440" w:left="1152" w:header="720" w:footer="720" w:gutter="0"/>
          <w:cols w:space="720"/>
          <w:docGrid w:linePitch="360"/>
        </w:sectPr>
      </w:pPr>
      <w:r>
        <w:rPr>
          <w:rFonts w:cstheme="minorHAnsi"/>
          <w:b/>
          <w:i/>
          <w:noProof/>
        </w:rPr>
        <mc:AlternateContent>
          <mc:Choice Requires="wps">
            <w:drawing>
              <wp:anchor distT="0" distB="0" distL="114300" distR="114300" simplePos="0" relativeHeight="251659264" behindDoc="0" locked="0" layoutInCell="1" allowOverlap="1" wp14:anchorId="53EED79F" wp14:editId="3FBBA6C4">
                <wp:simplePos x="0" y="0"/>
                <wp:positionH relativeFrom="column">
                  <wp:posOffset>-243840</wp:posOffset>
                </wp:positionH>
                <wp:positionV relativeFrom="paragraph">
                  <wp:posOffset>7101840</wp:posOffset>
                </wp:positionV>
                <wp:extent cx="609600" cy="1447800"/>
                <wp:effectExtent l="0" t="0" r="0" b="0"/>
                <wp:wrapNone/>
                <wp:docPr id="3" name="Rectangle 3"/>
                <wp:cNvGraphicFramePr/>
                <a:graphic xmlns:a="http://schemas.openxmlformats.org/drawingml/2006/main">
                  <a:graphicData uri="http://schemas.microsoft.com/office/word/2010/wordprocessingShape">
                    <wps:wsp>
                      <wps:cNvSpPr/>
                      <wps:spPr>
                        <a:xfrm>
                          <a:off x="0" y="0"/>
                          <a:ext cx="609600" cy="1447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644AEF" id="Rectangle 3" o:spid="_x0000_s1026" style="position:absolute;margin-left:-19.2pt;margin-top:559.2pt;width:48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S0vkAIAAIQFAAAOAAAAZHJzL2Uyb0RvYy54bWysVE1v2zAMvQ/YfxB0X+2k30GdImjRYUDR&#13;&#10;Bm2HnhVZigXIoiYpcbJfP0qyna4rdhiWgyKK5CP5TPLqetdqshXOKzAVnRyVlAjDoVZmXdHvL3df&#13;&#10;LijxgZmaaTCionvh6fX886erzs7EFBrQtXAEQYyfdbaiTQh2VhSeN6Jl/gisMKiU4FoWUHTronas&#13;&#10;Q/RWF9OyPCs6cLV1wIX3+HqblXSe8KUUPDxK6UUguqKYW0inS+cqnsX8is3WjtlG8T4N9g9ZtEwZ&#13;&#10;DDpC3bLAyMapP6BaxR14kOGIQ1uAlIqLVANWMynfVfPcMCtSLUiOtyNN/v/B8oft0hFVV/SYEsNa&#13;&#10;/ERPSBozay3IcaSns36GVs926XrJ4zXWupOujf9YBdklSvcjpWIXCMfHs/LyrETiOaomJyfnFygg&#13;&#10;THHwts6HrwJaEi8VdRg9Mcm29z5k08EkBvOgVX2ntE5CbBNxox3ZMvzAq/WkB//NSptoayB6ZcD4&#13;&#10;UsTCcinpFvZaRDttnoRERjD5aUok9eIhCONcmDDJqobVIsc+LfE3RB/SSoUmwIgsMf6I3QMMlhlk&#13;&#10;wM5Z9vbRVaRWHp3LvyWWnUePFBlMGJ1bZcB9BKCxqj5yth9IytREllZQ77FfHORB8pbfKfxs98yH&#13;&#10;JXM4OfipcRuERzykhq6i0N8oacD9/Og92mNDo5aSDiexov7HhjlBif5msNUvsW/i6Cbh5PR8ioJ7&#13;&#10;q1m91ZhNewPYCxPcO5ana7QPerhKB+0rLo1FjIoqZjjGrigPbhBuQt4QuHa4WCySGY6rZeHePFse&#13;&#10;wSOrsS1fdq/M2b53A3b9AwxTy2bvWjjbRk8Di00AqVJ/H3jt+cZRT43Tr6W4S97KyeqwPOe/AAAA&#13;&#10;//8DAFBLAwQUAAYACAAAACEAqIpT8OYAAAARAQAADwAAAGRycy9kb3ducmV2LnhtbExPTU/DMAy9&#13;&#10;I/EfIiNxQVtaUsrUNZ34EBIXDowJccwa01RrkqrJ2o5fj3eCi2X7PT+/V25m27ERh9B6JyFdJsDQ&#13;&#10;1V63rpGw+3hZrICFqJxWnXco4YQBNtXlRakK7Sf3juM2NoxEXCiUBBNjX3AeaoNWhaXv0RH27Qer&#13;&#10;Io1Dw/WgJhK3Hb9Nkpxb1Tr6YFSPTwbrw/ZoJbydhHgdb8Rh2rWiaX/41+On8VJeX83PayoPa2AR&#13;&#10;5/h3AecM5B8qMrb3R6cD6yQsxCojKgFpeu6IcnefA9vTRmR5Brwq+f8k1S8AAAD//wMAUEsBAi0A&#13;&#10;FAAGAAgAAAAhALaDOJL+AAAA4QEAABMAAAAAAAAAAAAAAAAAAAAAAFtDb250ZW50X1R5cGVzXS54&#13;&#10;bWxQSwECLQAUAAYACAAAACEAOP0h/9YAAACUAQAACwAAAAAAAAAAAAAAAAAvAQAAX3JlbHMvLnJl&#13;&#10;bHNQSwECLQAUAAYACAAAACEA090tL5ACAACEBQAADgAAAAAAAAAAAAAAAAAuAgAAZHJzL2Uyb0Rv&#13;&#10;Yy54bWxQSwECLQAUAAYACAAAACEAqIpT8OYAAAARAQAADwAAAAAAAAAAAAAAAADqBAAAZHJzL2Rv&#13;&#10;d25yZXYueG1sUEsFBgAAAAAEAAQA8wAAAP0FAAAAAA==&#13;&#10;" fillcolor="white [3212]" stroked="f" strokeweight="1pt"/>
            </w:pict>
          </mc:Fallback>
        </mc:AlternateContent>
      </w:r>
      <w:r w:rsidR="00EA18DB" w:rsidRPr="00EA18DB">
        <w:rPr>
          <w:rFonts w:cstheme="minorHAnsi"/>
          <w:b/>
          <w:i/>
        </w:rPr>
        <w:t xml:space="preserve">Quantitation of radiance data from IVIS imaging displayed in Table </w:t>
      </w:r>
      <w:r w:rsidR="00490463">
        <w:rPr>
          <w:rFonts w:cstheme="minorHAnsi"/>
          <w:b/>
          <w:i/>
        </w:rPr>
        <w:t>4</w:t>
      </w:r>
      <w:r w:rsidR="00EA18DB" w:rsidRPr="00EA18DB">
        <w:rPr>
          <w:rFonts w:cstheme="minorHAnsi"/>
          <w:b/>
          <w:i/>
        </w:rPr>
        <w:t xml:space="preserve"> of the main paper</w:t>
      </w:r>
      <w:r w:rsidR="00EA18DB" w:rsidRPr="00EA18DB">
        <w:rPr>
          <w:rFonts w:eastAsia="Times New Roman" w:cstheme="minorHAnsi"/>
          <w:b/>
          <w:i/>
          <w:color w:val="000000"/>
          <w:shd w:val="clear" w:color="auto" w:fill="FFFFFF"/>
        </w:rPr>
        <w:t xml:space="preserve"> </w:t>
      </w:r>
      <w:r w:rsidR="00EA18DB">
        <w:rPr>
          <w:rFonts w:eastAsia="Times New Roman" w:cstheme="minorHAnsi"/>
          <w:b/>
          <w:i/>
          <w:color w:val="000000"/>
          <w:shd w:val="clear" w:color="auto" w:fill="FFFFFF"/>
        </w:rPr>
        <w:t xml:space="preserve">– </w:t>
      </w:r>
      <w:r w:rsidR="00473AC2">
        <w:rPr>
          <w:rFonts w:eastAsia="Times New Roman" w:cstheme="minorHAnsi"/>
          <w:bCs/>
          <w:iCs/>
          <w:color w:val="000000"/>
          <w:shd w:val="clear" w:color="auto" w:fill="FFFFFF"/>
        </w:rPr>
        <w:t xml:space="preserve">The figures below show </w:t>
      </w:r>
      <w:r w:rsidR="00EA18DB">
        <w:rPr>
          <w:rFonts w:eastAsia="Times New Roman" w:cstheme="minorHAnsi"/>
          <w:bCs/>
          <w:iCs/>
          <w:color w:val="000000"/>
          <w:shd w:val="clear" w:color="auto" w:fill="FFFFFF"/>
        </w:rPr>
        <w:t xml:space="preserve">the </w:t>
      </w:r>
      <w:r w:rsidR="00473AC2">
        <w:rPr>
          <w:rFonts w:eastAsia="Times New Roman" w:cstheme="minorHAnsi"/>
          <w:bCs/>
          <w:iCs/>
          <w:color w:val="000000"/>
          <w:shd w:val="clear" w:color="auto" w:fill="FFFFFF"/>
        </w:rPr>
        <w:t>total flux</w:t>
      </w:r>
      <w:r w:rsidR="00EA18DB">
        <w:rPr>
          <w:rFonts w:eastAsia="Times New Roman" w:cstheme="minorHAnsi"/>
          <w:bCs/>
          <w:iCs/>
          <w:color w:val="000000"/>
          <w:shd w:val="clear" w:color="auto" w:fill="FFFFFF"/>
        </w:rPr>
        <w:t xml:space="preserve"> </w:t>
      </w:r>
      <w:r w:rsidR="005B7F08">
        <w:rPr>
          <w:rFonts w:eastAsia="Times New Roman" w:cstheme="minorHAnsi"/>
          <w:bCs/>
          <w:iCs/>
          <w:color w:val="000000"/>
          <w:shd w:val="clear" w:color="auto" w:fill="FFFFFF"/>
        </w:rPr>
        <w:t xml:space="preserve">values </w:t>
      </w:r>
      <w:r w:rsidR="00EA18DB">
        <w:rPr>
          <w:rFonts w:eastAsia="Times New Roman" w:cstheme="minorHAnsi"/>
          <w:bCs/>
          <w:iCs/>
          <w:color w:val="000000"/>
          <w:shd w:val="clear" w:color="auto" w:fill="FFFFFF"/>
        </w:rPr>
        <w:t xml:space="preserve">(photons/second) for each image in Table </w:t>
      </w:r>
      <w:r w:rsidR="00490463">
        <w:rPr>
          <w:rFonts w:eastAsia="Times New Roman" w:cstheme="minorHAnsi"/>
          <w:bCs/>
          <w:iCs/>
          <w:color w:val="000000"/>
          <w:shd w:val="clear" w:color="auto" w:fill="FFFFFF"/>
        </w:rPr>
        <w:t>4</w:t>
      </w:r>
      <w:bookmarkStart w:id="0" w:name="_GoBack"/>
      <w:bookmarkEnd w:id="0"/>
      <w:r w:rsidR="00EA18DB">
        <w:rPr>
          <w:rFonts w:eastAsia="Times New Roman" w:cstheme="minorHAnsi"/>
          <w:bCs/>
          <w:iCs/>
          <w:color w:val="000000"/>
          <w:shd w:val="clear" w:color="auto" w:fill="FFFFFF"/>
        </w:rPr>
        <w:t xml:space="preserve"> of the main paper. </w:t>
      </w:r>
      <w:r w:rsidR="00473AC2">
        <w:rPr>
          <w:rFonts w:eastAsia="Times New Roman" w:cstheme="minorHAnsi"/>
          <w:bCs/>
          <w:iCs/>
          <w:color w:val="000000"/>
          <w:shd w:val="clear" w:color="auto" w:fill="FFFFFF"/>
        </w:rPr>
        <w:t xml:space="preserve">Displayed are the values for </w:t>
      </w:r>
      <w:r w:rsidR="00EA18DB">
        <w:rPr>
          <w:rFonts w:eastAsia="Times New Roman" w:cstheme="minorHAnsi"/>
          <w:bCs/>
          <w:iCs/>
          <w:color w:val="000000"/>
          <w:shd w:val="clear" w:color="auto" w:fill="FFFFFF"/>
        </w:rPr>
        <w:t>each individual mouse</w:t>
      </w:r>
      <w:r w:rsidR="00473AC2">
        <w:rPr>
          <w:rFonts w:eastAsia="Times New Roman" w:cstheme="minorHAnsi"/>
          <w:bCs/>
          <w:iCs/>
          <w:color w:val="000000"/>
          <w:shd w:val="clear" w:color="auto" w:fill="FFFFFF"/>
        </w:rPr>
        <w:t>, dosing</w:t>
      </w:r>
      <w:r w:rsidR="00EA18DB">
        <w:rPr>
          <w:rFonts w:eastAsia="Times New Roman" w:cstheme="minorHAnsi"/>
          <w:bCs/>
          <w:iCs/>
          <w:color w:val="000000"/>
          <w:shd w:val="clear" w:color="auto" w:fill="FFFFFF"/>
        </w:rPr>
        <w:t xml:space="preserve"> group means </w:t>
      </w:r>
      <w:r w:rsidR="00473AC2">
        <w:rPr>
          <w:rFonts w:eastAsia="Times New Roman" w:cstheme="minorHAnsi"/>
          <w:bCs/>
          <w:iCs/>
          <w:color w:val="000000"/>
          <w:shd w:val="clear" w:color="auto" w:fill="FFFFFF"/>
        </w:rPr>
        <w:t xml:space="preserve">(horizontal line) </w:t>
      </w:r>
      <w:r w:rsidR="00EA18DB">
        <w:rPr>
          <w:rFonts w:eastAsia="Times New Roman" w:cstheme="minorHAnsi"/>
          <w:bCs/>
          <w:iCs/>
          <w:color w:val="000000"/>
          <w:shd w:val="clear" w:color="auto" w:fill="FFFFFF"/>
        </w:rPr>
        <w:t xml:space="preserve">and standard error </w:t>
      </w:r>
      <w:r w:rsidR="00473AC2">
        <w:rPr>
          <w:rFonts w:eastAsia="Times New Roman" w:cstheme="minorHAnsi"/>
          <w:bCs/>
          <w:iCs/>
          <w:color w:val="000000"/>
          <w:shd w:val="clear" w:color="auto" w:fill="FFFFFF"/>
        </w:rPr>
        <w:t xml:space="preserve">of the mean (error </w:t>
      </w:r>
      <w:r w:rsidR="00473AC2">
        <w:rPr>
          <w:rFonts w:eastAsia="Times New Roman" w:cstheme="minorHAnsi"/>
          <w:bCs/>
          <w:iCs/>
          <w:color w:val="000000"/>
          <w:shd w:val="clear" w:color="auto" w:fill="FFFFFF"/>
        </w:rPr>
        <w:lastRenderedPageBreak/>
        <w:t>bars)</w:t>
      </w:r>
      <w:r w:rsidR="000E0D3F">
        <w:rPr>
          <w:rFonts w:eastAsia="Times New Roman" w:cstheme="minorHAnsi"/>
          <w:bCs/>
          <w:iCs/>
          <w:color w:val="000000"/>
          <w:shd w:val="clear" w:color="auto" w:fill="FFFFFF"/>
        </w:rPr>
        <w:t xml:space="preserve"> at both assessment time points, in each of the three sporozoite challenge experiments</w:t>
      </w:r>
      <w:r w:rsidR="00473AC2">
        <w:rPr>
          <w:rFonts w:eastAsia="Times New Roman" w:cstheme="minorHAnsi"/>
          <w:bCs/>
          <w:iCs/>
          <w:color w:val="000000"/>
          <w:shd w:val="clear" w:color="auto" w:fill="FFFFFF"/>
        </w:rPr>
        <w:t xml:space="preserve">. These quantitative </w:t>
      </w:r>
      <w:r w:rsidR="00EA18DB">
        <w:rPr>
          <w:rFonts w:eastAsia="Times New Roman" w:cstheme="minorHAnsi"/>
          <w:bCs/>
          <w:iCs/>
          <w:color w:val="000000"/>
          <w:shd w:val="clear" w:color="auto" w:fill="FFFFFF"/>
        </w:rPr>
        <w:t>representation</w:t>
      </w:r>
      <w:r w:rsidR="00473AC2">
        <w:rPr>
          <w:rFonts w:eastAsia="Times New Roman" w:cstheme="minorHAnsi"/>
          <w:bCs/>
          <w:iCs/>
          <w:color w:val="000000"/>
          <w:shd w:val="clear" w:color="auto" w:fill="FFFFFF"/>
        </w:rPr>
        <w:t>s</w:t>
      </w:r>
      <w:r w:rsidR="00EA18DB">
        <w:rPr>
          <w:rFonts w:eastAsia="Times New Roman" w:cstheme="minorHAnsi"/>
          <w:bCs/>
          <w:iCs/>
          <w:color w:val="000000"/>
          <w:shd w:val="clear" w:color="auto" w:fill="FFFFFF"/>
        </w:rPr>
        <w:t xml:space="preserve"> </w:t>
      </w:r>
      <w:r w:rsidR="000578BA">
        <w:rPr>
          <w:rFonts w:eastAsia="Times New Roman" w:cstheme="minorHAnsi"/>
          <w:bCs/>
          <w:iCs/>
          <w:color w:val="000000"/>
          <w:shd w:val="clear" w:color="auto" w:fill="FFFFFF"/>
        </w:rPr>
        <w:t xml:space="preserve">confirm the </w:t>
      </w:r>
      <w:r w:rsidR="00473AC2">
        <w:rPr>
          <w:rFonts w:eastAsia="Times New Roman" w:cstheme="minorHAnsi"/>
          <w:bCs/>
          <w:iCs/>
          <w:color w:val="000000"/>
          <w:shd w:val="clear" w:color="auto" w:fill="FFFFFF"/>
        </w:rPr>
        <w:t>visual impression upon review of</w:t>
      </w:r>
      <w:r w:rsidR="000578BA">
        <w:rPr>
          <w:rFonts w:eastAsia="Times New Roman" w:cstheme="minorHAnsi"/>
          <w:bCs/>
          <w:iCs/>
          <w:color w:val="000000"/>
          <w:shd w:val="clear" w:color="auto" w:fill="FFFFFF"/>
        </w:rPr>
        <w:t xml:space="preserve"> the </w:t>
      </w:r>
      <w:r w:rsidR="00473AC2">
        <w:rPr>
          <w:rFonts w:eastAsia="Times New Roman" w:cstheme="minorHAnsi"/>
          <w:bCs/>
          <w:iCs/>
          <w:color w:val="000000"/>
          <w:shd w:val="clear" w:color="auto" w:fill="FFFFFF"/>
        </w:rPr>
        <w:t>photographic</w:t>
      </w:r>
      <w:r w:rsidR="000578BA">
        <w:rPr>
          <w:rFonts w:eastAsia="Times New Roman" w:cstheme="minorHAnsi"/>
          <w:bCs/>
          <w:iCs/>
          <w:color w:val="000000"/>
          <w:shd w:val="clear" w:color="auto" w:fill="FFFFFF"/>
        </w:rPr>
        <w:t xml:space="preserve"> images, including the observation that the </w:t>
      </w:r>
      <w:r w:rsidR="000E0D3F">
        <w:rPr>
          <w:rFonts w:eastAsia="Times New Roman" w:cstheme="minorHAnsi"/>
          <w:bCs/>
          <w:iCs/>
          <w:color w:val="000000"/>
          <w:shd w:val="clear" w:color="auto" w:fill="FFFFFF"/>
        </w:rPr>
        <w:t xml:space="preserve">two </w:t>
      </w:r>
      <w:r w:rsidR="000578BA">
        <w:rPr>
          <w:rFonts w:eastAsia="Times New Roman" w:cstheme="minorHAnsi"/>
          <w:bCs/>
          <w:iCs/>
          <w:color w:val="000000"/>
          <w:shd w:val="clear" w:color="auto" w:fill="FFFFFF"/>
        </w:rPr>
        <w:t xml:space="preserve">mice </w:t>
      </w:r>
      <w:r w:rsidR="000E0D3F">
        <w:rPr>
          <w:rFonts w:eastAsia="Times New Roman" w:cstheme="minorHAnsi"/>
          <w:bCs/>
          <w:iCs/>
          <w:color w:val="000000"/>
          <w:shd w:val="clear" w:color="auto" w:fill="FFFFFF"/>
        </w:rPr>
        <w:t>given 5 mg/kg of ELQ-331</w:t>
      </w:r>
      <w:r w:rsidR="000578BA">
        <w:rPr>
          <w:rFonts w:eastAsia="Times New Roman" w:cstheme="minorHAnsi"/>
          <w:bCs/>
          <w:iCs/>
          <w:color w:val="000000"/>
          <w:shd w:val="clear" w:color="auto" w:fill="FFFFFF"/>
        </w:rPr>
        <w:t>in the 3</w:t>
      </w:r>
      <w:r w:rsidR="000578BA" w:rsidRPr="000578BA">
        <w:rPr>
          <w:rFonts w:eastAsia="Times New Roman" w:cstheme="minorHAnsi"/>
          <w:bCs/>
          <w:iCs/>
          <w:color w:val="000000"/>
          <w:shd w:val="clear" w:color="auto" w:fill="FFFFFF"/>
          <w:vertAlign w:val="superscript"/>
        </w:rPr>
        <w:t>rd</w:t>
      </w:r>
      <w:r w:rsidR="000578BA">
        <w:rPr>
          <w:rFonts w:eastAsia="Times New Roman" w:cstheme="minorHAnsi"/>
          <w:bCs/>
          <w:iCs/>
          <w:color w:val="000000"/>
          <w:shd w:val="clear" w:color="auto" w:fill="FFFFFF"/>
        </w:rPr>
        <w:t xml:space="preserve"> experiment</w:t>
      </w:r>
      <w:r w:rsidR="000E0D3F">
        <w:rPr>
          <w:rFonts w:eastAsia="Times New Roman" w:cstheme="minorHAnsi"/>
          <w:bCs/>
          <w:iCs/>
          <w:color w:val="000000"/>
          <w:shd w:val="clear" w:color="auto" w:fill="FFFFFF"/>
        </w:rPr>
        <w:t xml:space="preserve"> (</w:t>
      </w:r>
      <w:r w:rsidR="000578BA">
        <w:rPr>
          <w:rFonts w:eastAsia="Times New Roman" w:cstheme="minorHAnsi"/>
          <w:bCs/>
          <w:iCs/>
          <w:color w:val="000000"/>
          <w:shd w:val="clear" w:color="auto" w:fill="FFFFFF"/>
        </w:rPr>
        <w:t>comparing 5 and 10 mg/kg doses</w:t>
      </w:r>
      <w:r w:rsidR="000E0D3F">
        <w:rPr>
          <w:rFonts w:eastAsia="Times New Roman" w:cstheme="minorHAnsi"/>
          <w:bCs/>
          <w:iCs/>
          <w:color w:val="000000"/>
          <w:shd w:val="clear" w:color="auto" w:fill="FFFFFF"/>
        </w:rPr>
        <w:t xml:space="preserve">) and ultimately found to have blood stage infection, showed no increased luminescence signal at either </w:t>
      </w:r>
      <w:r w:rsidR="000E0D3F">
        <w:rPr>
          <w:rFonts w:eastAsia="Times New Roman" w:cstheme="minorHAnsi"/>
          <w:bCs/>
          <w:iCs/>
          <w:noProof/>
          <w:color w:val="000000"/>
          <w:shd w:val="clear" w:color="auto" w:fill="FFFFFF"/>
        </w:rPr>
        <w:drawing>
          <wp:anchor distT="0" distB="0" distL="114300" distR="114300" simplePos="0" relativeHeight="251660288" behindDoc="0" locked="0" layoutInCell="1" allowOverlap="1" wp14:anchorId="563C2B57" wp14:editId="6CB2E5C9">
            <wp:simplePos x="0" y="0"/>
            <wp:positionH relativeFrom="column">
              <wp:posOffset>93980</wp:posOffset>
            </wp:positionH>
            <wp:positionV relativeFrom="paragraph">
              <wp:posOffset>1647825</wp:posOffset>
            </wp:positionV>
            <wp:extent cx="5689600" cy="65728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 ELQ-331.pdf"/>
                    <pic:cNvPicPr/>
                  </pic:nvPicPr>
                  <pic:blipFill rotWithShape="1">
                    <a:blip r:embed="rId5">
                      <a:extLst>
                        <a:ext uri="{28A0092B-C50C-407E-A947-70E740481C1C}">
                          <a14:useLocalDpi xmlns:a14="http://schemas.microsoft.com/office/drawing/2010/main" val="0"/>
                        </a:ext>
                      </a:extLst>
                    </a:blip>
                    <a:srcRect t="2488" b="8228"/>
                    <a:stretch/>
                  </pic:blipFill>
                  <pic:spPr bwMode="auto">
                    <a:xfrm>
                      <a:off x="0" y="0"/>
                      <a:ext cx="5689600" cy="6572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0D3F">
        <w:rPr>
          <w:rFonts w:eastAsia="Times New Roman" w:cstheme="minorHAnsi"/>
          <w:bCs/>
          <w:iCs/>
          <w:color w:val="000000"/>
          <w:shd w:val="clear" w:color="auto" w:fill="FFFFFF"/>
        </w:rPr>
        <w:t>time point</w:t>
      </w:r>
      <w:r w:rsidR="000578BA">
        <w:rPr>
          <w:rFonts w:eastAsia="Times New Roman" w:cstheme="minorHAnsi"/>
          <w:bCs/>
          <w:iCs/>
          <w:color w:val="000000"/>
          <w:shd w:val="clear" w:color="auto" w:fill="FFFFFF"/>
        </w:rPr>
        <w:t xml:space="preserve"> (see</w:t>
      </w:r>
      <w:r w:rsidR="005B7F08">
        <w:rPr>
          <w:rFonts w:eastAsia="Times New Roman" w:cstheme="minorHAnsi"/>
          <w:bCs/>
          <w:iCs/>
          <w:color w:val="000000"/>
          <w:shd w:val="clear" w:color="auto" w:fill="FFFFFF"/>
        </w:rPr>
        <w:t xml:space="preserve"> </w:t>
      </w:r>
      <w:r w:rsidR="000578BA">
        <w:rPr>
          <w:rFonts w:eastAsia="Times New Roman" w:cstheme="minorHAnsi"/>
          <w:bCs/>
          <w:iCs/>
          <w:color w:val="000000"/>
          <w:shd w:val="clear" w:color="auto" w:fill="FFFFFF"/>
        </w:rPr>
        <w:t>text)</w:t>
      </w:r>
    </w:p>
    <w:p w14:paraId="419B8376" w14:textId="7A585F57" w:rsidR="00501525" w:rsidRDefault="00501525" w:rsidP="00EA18DB">
      <w:pPr>
        <w:spacing w:line="480" w:lineRule="auto"/>
        <w:rPr>
          <w:rFonts w:eastAsia="Times New Roman" w:cstheme="minorHAnsi"/>
          <w:bCs/>
          <w:iCs/>
          <w:noProof/>
          <w:color w:val="000000"/>
          <w:shd w:val="clear" w:color="auto" w:fill="FFFFFF"/>
        </w:rPr>
        <w:sectPr w:rsidR="00501525" w:rsidSect="00501525">
          <w:pgSz w:w="12240" w:h="15840"/>
          <w:pgMar w:top="1440" w:right="1440" w:bottom="1440" w:left="576" w:header="720" w:footer="720" w:gutter="0"/>
          <w:cols w:space="720"/>
          <w:docGrid w:linePitch="360"/>
        </w:sectPr>
      </w:pPr>
    </w:p>
    <w:p w14:paraId="0ECFC274" w14:textId="7183F76F" w:rsidR="00501525" w:rsidRDefault="00501525" w:rsidP="00EA18DB">
      <w:pPr>
        <w:spacing w:line="480" w:lineRule="auto"/>
        <w:rPr>
          <w:rFonts w:eastAsia="Times New Roman" w:cstheme="minorHAnsi"/>
          <w:bCs/>
          <w:iCs/>
          <w:color w:val="000000"/>
          <w:shd w:val="clear" w:color="auto" w:fill="FFFFFF"/>
        </w:rPr>
        <w:sectPr w:rsidR="00501525" w:rsidSect="00501525">
          <w:pgSz w:w="12240" w:h="15840"/>
          <w:pgMar w:top="1440" w:right="720" w:bottom="1440" w:left="720" w:header="720" w:footer="720" w:gutter="0"/>
          <w:cols w:space="720"/>
          <w:docGrid w:linePitch="360"/>
        </w:sectPr>
      </w:pPr>
    </w:p>
    <w:p w14:paraId="27722218" w14:textId="77777777" w:rsidR="00EA18DB" w:rsidRDefault="00EA18DB"/>
    <w:sectPr w:rsidR="00EA18DB" w:rsidSect="00B57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378D8"/>
    <w:multiLevelType w:val="hybridMultilevel"/>
    <w:tmpl w:val="ABEAD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9716B"/>
    <w:multiLevelType w:val="hybridMultilevel"/>
    <w:tmpl w:val="ABEAD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82A"/>
    <w:rsid w:val="000578BA"/>
    <w:rsid w:val="000E0D3F"/>
    <w:rsid w:val="00142A02"/>
    <w:rsid w:val="00146ED2"/>
    <w:rsid w:val="001B0111"/>
    <w:rsid w:val="002A3D4C"/>
    <w:rsid w:val="002C1EC1"/>
    <w:rsid w:val="002F489F"/>
    <w:rsid w:val="00366333"/>
    <w:rsid w:val="0038715D"/>
    <w:rsid w:val="0043782A"/>
    <w:rsid w:val="00473AC2"/>
    <w:rsid w:val="00490463"/>
    <w:rsid w:val="004C4412"/>
    <w:rsid w:val="00501525"/>
    <w:rsid w:val="005528FC"/>
    <w:rsid w:val="005B7F08"/>
    <w:rsid w:val="006B7F50"/>
    <w:rsid w:val="007D24E8"/>
    <w:rsid w:val="00872DA1"/>
    <w:rsid w:val="008A7261"/>
    <w:rsid w:val="0094208D"/>
    <w:rsid w:val="00A26C3C"/>
    <w:rsid w:val="00A53DD7"/>
    <w:rsid w:val="00A914E9"/>
    <w:rsid w:val="00B53F23"/>
    <w:rsid w:val="00B54DB1"/>
    <w:rsid w:val="00B574AE"/>
    <w:rsid w:val="00BD233E"/>
    <w:rsid w:val="00C201C9"/>
    <w:rsid w:val="00C57824"/>
    <w:rsid w:val="00C6631E"/>
    <w:rsid w:val="00CA2406"/>
    <w:rsid w:val="00D248A2"/>
    <w:rsid w:val="00D35BAB"/>
    <w:rsid w:val="00DA0ECF"/>
    <w:rsid w:val="00DC0FE8"/>
    <w:rsid w:val="00E11933"/>
    <w:rsid w:val="00E62EEC"/>
    <w:rsid w:val="00E94E41"/>
    <w:rsid w:val="00EA18DB"/>
    <w:rsid w:val="00F06DE8"/>
    <w:rsid w:val="00F27D78"/>
    <w:rsid w:val="00FE4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355A"/>
  <w14:defaultImageDpi w14:val="32767"/>
  <w15:chartTrackingRefBased/>
  <w15:docId w15:val="{A3FE83C8-88C2-DF49-9274-250BE086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3782A"/>
    <w:pPr>
      <w:spacing w:after="160" w:line="259" w:lineRule="auto"/>
    </w:pPr>
    <w:rPr>
      <w:sz w:val="22"/>
      <w:szCs w:val="22"/>
    </w:rPr>
  </w:style>
  <w:style w:type="paragraph" w:styleId="Heading1">
    <w:name w:val="heading 1"/>
    <w:basedOn w:val="Normal"/>
    <w:link w:val="Heading1Char"/>
    <w:uiPriority w:val="9"/>
    <w:qFormat/>
    <w:rsid w:val="00BD23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78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782A"/>
    <w:pPr>
      <w:ind w:left="720"/>
      <w:contextualSpacing/>
    </w:pPr>
  </w:style>
  <w:style w:type="character" w:customStyle="1" w:styleId="Heading1Char">
    <w:name w:val="Heading 1 Char"/>
    <w:basedOn w:val="DefaultParagraphFont"/>
    <w:link w:val="Heading1"/>
    <w:uiPriority w:val="9"/>
    <w:rsid w:val="00BD233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42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smilkste@gmail.com</dc:creator>
  <cp:keywords/>
  <dc:description/>
  <cp:lastModifiedBy>Martin Smilkstein</cp:lastModifiedBy>
  <cp:revision>11</cp:revision>
  <cp:lastPrinted>2019-07-30T22:10:00Z</cp:lastPrinted>
  <dcterms:created xsi:type="dcterms:W3CDTF">2019-03-25T05:52:00Z</dcterms:created>
  <dcterms:modified xsi:type="dcterms:W3CDTF">2019-08-05T18:35:00Z</dcterms:modified>
</cp:coreProperties>
</file>