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C0B" w:rsidRPr="000B622A" w:rsidRDefault="00B07C0B" w:rsidP="00AE5A4F">
      <w:pPr>
        <w:autoSpaceDE w:val="0"/>
        <w:autoSpaceDN w:val="0"/>
        <w:adjustRightInd w:val="0"/>
        <w:spacing w:before="160" w:line="480" w:lineRule="auto"/>
        <w:rPr>
          <w:rFonts w:cstheme="minorHAnsi"/>
          <w:b/>
        </w:rPr>
      </w:pPr>
      <w:r w:rsidRPr="000B622A">
        <w:rPr>
          <w:rFonts w:cstheme="minorHAnsi"/>
          <w:b/>
        </w:rPr>
        <w:t>Addit</w:t>
      </w:r>
      <w:r w:rsidR="000B622A" w:rsidRPr="000B622A">
        <w:rPr>
          <w:rFonts w:cstheme="minorHAnsi"/>
          <w:b/>
        </w:rPr>
        <w:t>i</w:t>
      </w:r>
      <w:r w:rsidRPr="000B622A">
        <w:rPr>
          <w:rFonts w:cstheme="minorHAnsi"/>
          <w:b/>
        </w:rPr>
        <w:t xml:space="preserve">onal File </w:t>
      </w:r>
      <w:r w:rsidR="00601FA3">
        <w:rPr>
          <w:rFonts w:cstheme="minorHAnsi"/>
          <w:b/>
        </w:rPr>
        <w:t>3</w:t>
      </w:r>
      <w:r w:rsidRPr="000B622A">
        <w:rPr>
          <w:rFonts w:cstheme="minorHAnsi"/>
          <w:b/>
        </w:rPr>
        <w:t>: Pharmacokinetic modeling</w:t>
      </w:r>
    </w:p>
    <w:p w:rsidR="008C746C" w:rsidRDefault="000B622A" w:rsidP="00AE5A4F">
      <w:pPr>
        <w:autoSpaceDE w:val="0"/>
        <w:autoSpaceDN w:val="0"/>
        <w:adjustRightInd w:val="0"/>
        <w:spacing w:before="160" w:line="480" w:lineRule="auto"/>
        <w:rPr>
          <w:rFonts w:cstheme="minorHAnsi"/>
        </w:rPr>
      </w:pPr>
      <w:r>
        <w:rPr>
          <w:rFonts w:cstheme="minorHAnsi"/>
        </w:rPr>
        <w:t xml:space="preserve">The dataset used for PK modelling included the </w:t>
      </w:r>
      <w:r w:rsidR="001874DE">
        <w:rPr>
          <w:rFonts w:cstheme="minorHAnsi"/>
        </w:rPr>
        <w:t xml:space="preserve">merged </w:t>
      </w:r>
      <w:r>
        <w:rPr>
          <w:rFonts w:cstheme="minorHAnsi"/>
        </w:rPr>
        <w:t xml:space="preserve">plasma [ELQ-300] values from Trial </w:t>
      </w:r>
      <w:r w:rsidR="001874DE">
        <w:rPr>
          <w:rFonts w:cstheme="minorHAnsi"/>
        </w:rPr>
        <w:t xml:space="preserve">1 and Trial </w:t>
      </w:r>
      <w:r>
        <w:rPr>
          <w:rFonts w:cstheme="minorHAnsi"/>
        </w:rPr>
        <w:t>2</w:t>
      </w:r>
      <w:r w:rsidR="001874DE">
        <w:rPr>
          <w:rFonts w:cstheme="minorHAnsi"/>
        </w:rPr>
        <w:t xml:space="preserve"> (30 mg/kg ELQ-331)</w:t>
      </w:r>
      <w:r>
        <w:rPr>
          <w:rFonts w:cstheme="minorHAnsi"/>
        </w:rPr>
        <w:t>, with</w:t>
      </w:r>
      <w:r w:rsidR="00A76046">
        <w:rPr>
          <w:rFonts w:cstheme="minorHAnsi"/>
        </w:rPr>
        <w:t xml:space="preserve"> </w:t>
      </w:r>
      <w:r w:rsidR="00520B93">
        <w:rPr>
          <w:rFonts w:cstheme="minorHAnsi"/>
        </w:rPr>
        <w:t>and without</w:t>
      </w:r>
      <w:r w:rsidR="00E537D4">
        <w:rPr>
          <w:rFonts w:cstheme="minorHAnsi"/>
        </w:rPr>
        <w:t xml:space="preserve"> </w:t>
      </w:r>
      <w:r w:rsidR="00276F25">
        <w:rPr>
          <w:rFonts w:cstheme="minorHAnsi"/>
        </w:rPr>
        <w:t>editing</w:t>
      </w:r>
      <w:r>
        <w:rPr>
          <w:rFonts w:cstheme="minorHAnsi"/>
        </w:rPr>
        <w:t xml:space="preserve"> of values at early timepoints</w:t>
      </w:r>
      <w:r w:rsidR="001874DE">
        <w:rPr>
          <w:rFonts w:cstheme="minorHAnsi"/>
        </w:rPr>
        <w:t xml:space="preserve"> </w:t>
      </w:r>
      <w:r w:rsidR="00095A38">
        <w:rPr>
          <w:rFonts w:cstheme="minorHAnsi"/>
        </w:rPr>
        <w:t>from</w:t>
      </w:r>
      <w:bookmarkStart w:id="0" w:name="_GoBack"/>
      <w:bookmarkEnd w:id="0"/>
      <w:r w:rsidR="001874DE">
        <w:rPr>
          <w:rFonts w:cstheme="minorHAnsi"/>
        </w:rPr>
        <w:t xml:space="preserve"> Trial 2</w:t>
      </w:r>
      <w:r>
        <w:rPr>
          <w:rFonts w:cstheme="minorHAnsi"/>
        </w:rPr>
        <w:t xml:space="preserve">. </w:t>
      </w:r>
      <w:r w:rsidR="00A76046">
        <w:rPr>
          <w:rFonts w:cstheme="minorHAnsi"/>
        </w:rPr>
        <w:t>As discussed</w:t>
      </w:r>
      <w:r w:rsidR="00520B93">
        <w:rPr>
          <w:rFonts w:cstheme="minorHAnsi"/>
        </w:rPr>
        <w:t xml:space="preserve"> in the text</w:t>
      </w:r>
      <w:r w:rsidR="00A76046">
        <w:rPr>
          <w:rFonts w:cstheme="minorHAnsi"/>
        </w:rPr>
        <w:t>,</w:t>
      </w:r>
      <w:r w:rsidR="001874DE">
        <w:rPr>
          <w:rFonts w:cstheme="minorHAnsi"/>
        </w:rPr>
        <w:t xml:space="preserve"> several</w:t>
      </w:r>
      <w:r w:rsidR="00DA3C1C">
        <w:rPr>
          <w:rFonts w:cstheme="minorHAnsi"/>
        </w:rPr>
        <w:t xml:space="preserve"> of the </w:t>
      </w:r>
      <w:r w:rsidR="00A76046">
        <w:rPr>
          <w:rFonts w:cstheme="minorHAnsi"/>
        </w:rPr>
        <w:t xml:space="preserve">values measured at </w:t>
      </w:r>
      <w:r w:rsidR="00CE166A">
        <w:rPr>
          <w:rFonts w:cstheme="minorHAnsi"/>
        </w:rPr>
        <w:t xml:space="preserve">the very early </w:t>
      </w:r>
      <w:r w:rsidR="00A76046">
        <w:rPr>
          <w:rFonts w:cstheme="minorHAnsi"/>
        </w:rPr>
        <w:t xml:space="preserve">timepoints after injection </w:t>
      </w:r>
      <w:r w:rsidR="00846E12">
        <w:rPr>
          <w:rFonts w:cstheme="minorHAnsi"/>
        </w:rPr>
        <w:t>displayed large variability, and we</w:t>
      </w:r>
      <w:r w:rsidR="00A76046">
        <w:rPr>
          <w:rFonts w:cstheme="minorHAnsi"/>
        </w:rPr>
        <w:t xml:space="preserve">re not biologically plausible as representing the true pharmacokinetic profile after IM injection. Because </w:t>
      </w:r>
      <w:r w:rsidR="00520B93">
        <w:rPr>
          <w:rFonts w:cstheme="minorHAnsi"/>
        </w:rPr>
        <w:t xml:space="preserve">the early </w:t>
      </w:r>
      <w:r w:rsidR="00A76046">
        <w:rPr>
          <w:rFonts w:cstheme="minorHAnsi"/>
        </w:rPr>
        <w:t xml:space="preserve">drug absorption </w:t>
      </w:r>
      <w:r w:rsidR="00520B93">
        <w:rPr>
          <w:rFonts w:cstheme="minorHAnsi"/>
        </w:rPr>
        <w:t xml:space="preserve">profile </w:t>
      </w:r>
      <w:r w:rsidR="00A76046">
        <w:rPr>
          <w:rFonts w:cstheme="minorHAnsi"/>
        </w:rPr>
        <w:t xml:space="preserve">is a critical element of modeling, we sought to include and exclude values at early timepoints on the basis of their plausibility as </w:t>
      </w:r>
      <w:r w:rsidR="00520B93">
        <w:rPr>
          <w:rFonts w:cstheme="minorHAnsi"/>
        </w:rPr>
        <w:t xml:space="preserve">predictive </w:t>
      </w:r>
      <w:r w:rsidR="008C746C">
        <w:rPr>
          <w:rFonts w:cstheme="minorHAnsi"/>
        </w:rPr>
        <w:t xml:space="preserve">indicators of actual absorption after IM injection ELQ-300 in oil. </w:t>
      </w:r>
      <w:r w:rsidR="00CE166A">
        <w:rPr>
          <w:rFonts w:cstheme="minorHAnsi"/>
        </w:rPr>
        <w:t xml:space="preserve">All values </w:t>
      </w:r>
      <w:r w:rsidR="00846E12">
        <w:rPr>
          <w:rFonts w:cstheme="minorHAnsi"/>
        </w:rPr>
        <w:t>we</w:t>
      </w:r>
      <w:r w:rsidR="00CE166A">
        <w:rPr>
          <w:rFonts w:cstheme="minorHAnsi"/>
        </w:rPr>
        <w:t xml:space="preserve">re </w:t>
      </w:r>
      <w:r w:rsidR="00846E12">
        <w:rPr>
          <w:rFonts w:cstheme="minorHAnsi"/>
        </w:rPr>
        <w:t xml:space="preserve">included in the [ELQ-300] calculations </w:t>
      </w:r>
      <w:r w:rsidR="00CE166A">
        <w:rPr>
          <w:rFonts w:cstheme="minorHAnsi"/>
        </w:rPr>
        <w:t xml:space="preserve">represented in the text and in the raw data (see Additional File </w:t>
      </w:r>
      <w:r w:rsidR="005C07FE">
        <w:rPr>
          <w:rFonts w:cstheme="minorHAnsi"/>
        </w:rPr>
        <w:t>4</w:t>
      </w:r>
      <w:r w:rsidR="00CE166A">
        <w:rPr>
          <w:rFonts w:cstheme="minorHAnsi"/>
        </w:rPr>
        <w:t xml:space="preserve">); these </w:t>
      </w:r>
      <w:r w:rsidR="00846E12">
        <w:rPr>
          <w:rFonts w:cstheme="minorHAnsi"/>
        </w:rPr>
        <w:t xml:space="preserve">editing </w:t>
      </w:r>
      <w:r w:rsidR="00CE166A">
        <w:rPr>
          <w:rFonts w:cstheme="minorHAnsi"/>
        </w:rPr>
        <w:t xml:space="preserve">adjustments were for </w:t>
      </w:r>
      <w:r w:rsidR="00846E12">
        <w:rPr>
          <w:rFonts w:cstheme="minorHAnsi"/>
        </w:rPr>
        <w:t xml:space="preserve">PK </w:t>
      </w:r>
      <w:r w:rsidR="00CE166A">
        <w:rPr>
          <w:rFonts w:cstheme="minorHAnsi"/>
        </w:rPr>
        <w:t>modeling only</w:t>
      </w:r>
      <w:r w:rsidR="007D7E33">
        <w:rPr>
          <w:rFonts w:cstheme="minorHAnsi"/>
        </w:rPr>
        <w:t>.</w:t>
      </w:r>
    </w:p>
    <w:p w:rsidR="005A22AE" w:rsidRDefault="00CE166A" w:rsidP="00AE5A4F">
      <w:pPr>
        <w:autoSpaceDE w:val="0"/>
        <w:autoSpaceDN w:val="0"/>
        <w:adjustRightInd w:val="0"/>
        <w:spacing w:before="160" w:line="480" w:lineRule="auto"/>
        <w:rPr>
          <w:rFonts w:cstheme="minorHAnsi"/>
        </w:rPr>
      </w:pPr>
      <w:r>
        <w:rPr>
          <w:rFonts w:cstheme="minorHAnsi"/>
        </w:rPr>
        <w:t>W</w:t>
      </w:r>
      <w:r w:rsidR="00E16AA2">
        <w:rPr>
          <w:rFonts w:cstheme="minorHAnsi"/>
        </w:rPr>
        <w:t>hen considering values to exclude, w</w:t>
      </w:r>
      <w:r>
        <w:rPr>
          <w:rFonts w:cstheme="minorHAnsi"/>
        </w:rPr>
        <w:t>e used the timepoints at 24 and 36 hours as reference points, since the</w:t>
      </w:r>
      <w:r w:rsidR="00A25BB1">
        <w:rPr>
          <w:rFonts w:cstheme="minorHAnsi"/>
        </w:rPr>
        <w:t>y</w:t>
      </w:r>
      <w:r>
        <w:rPr>
          <w:rFonts w:cstheme="minorHAnsi"/>
        </w:rPr>
        <w:t xml:space="preserve"> </w:t>
      </w:r>
      <w:r w:rsidR="00A25BB1">
        <w:rPr>
          <w:rFonts w:cstheme="minorHAnsi"/>
        </w:rPr>
        <w:t>showed</w:t>
      </w:r>
      <w:r>
        <w:rPr>
          <w:rFonts w:cstheme="minorHAnsi"/>
        </w:rPr>
        <w:t xml:space="preserve"> little variability in [ELQ-330] between mice</w:t>
      </w:r>
      <w:r w:rsidR="00A25BB1">
        <w:rPr>
          <w:rFonts w:cstheme="minorHAnsi"/>
        </w:rPr>
        <w:t xml:space="preserve"> (see main text, Figure 2, insert 1),</w:t>
      </w:r>
      <w:r>
        <w:rPr>
          <w:rFonts w:cstheme="minorHAnsi"/>
        </w:rPr>
        <w:t xml:space="preserve"> and it was most plausible that the uniformity at these points indicated the absence of confounding extra-muscular d</w:t>
      </w:r>
      <w:r w:rsidR="00A25BB1">
        <w:rPr>
          <w:rFonts w:cstheme="minorHAnsi"/>
        </w:rPr>
        <w:t>ose deposition</w:t>
      </w:r>
      <w:r>
        <w:rPr>
          <w:rFonts w:cstheme="minorHAnsi"/>
        </w:rPr>
        <w:t xml:space="preserve">. </w:t>
      </w:r>
      <w:r w:rsidR="00DA3C1C">
        <w:rPr>
          <w:rFonts w:cstheme="minorHAnsi"/>
        </w:rPr>
        <w:t xml:space="preserve">All values </w:t>
      </w:r>
      <w:r w:rsidR="005A5004">
        <w:rPr>
          <w:rFonts w:cstheme="minorHAnsi"/>
        </w:rPr>
        <w:t>at the 24 and 36 hour</w:t>
      </w:r>
      <w:r w:rsidR="00DA3C1C">
        <w:rPr>
          <w:rFonts w:cstheme="minorHAnsi"/>
        </w:rPr>
        <w:t xml:space="preserve"> timepoints were included, and earlier values were assessed in relation. </w:t>
      </w:r>
      <w:r w:rsidR="005A5004">
        <w:rPr>
          <w:rFonts w:cstheme="minorHAnsi"/>
        </w:rPr>
        <w:t>R</w:t>
      </w:r>
      <w:r w:rsidR="00A25BB1">
        <w:rPr>
          <w:rFonts w:cstheme="minorHAnsi"/>
        </w:rPr>
        <w:t xml:space="preserve">egarding </w:t>
      </w:r>
      <w:r w:rsidR="005A5004">
        <w:rPr>
          <w:rFonts w:cstheme="minorHAnsi"/>
        </w:rPr>
        <w:t xml:space="preserve">only </w:t>
      </w:r>
      <w:r w:rsidR="00A25BB1">
        <w:rPr>
          <w:rFonts w:cstheme="minorHAnsi"/>
        </w:rPr>
        <w:t>time points &lt; 24 hours after injection</w:t>
      </w:r>
      <w:r w:rsidR="005A5004">
        <w:rPr>
          <w:rFonts w:cstheme="minorHAnsi"/>
        </w:rPr>
        <w:t>,</w:t>
      </w:r>
      <w:r w:rsidR="00A25BB1">
        <w:rPr>
          <w:rFonts w:cstheme="minorHAnsi"/>
        </w:rPr>
        <w:t xml:space="preserve"> </w:t>
      </w:r>
      <w:r w:rsidR="004942CD">
        <w:rPr>
          <w:rFonts w:cstheme="minorHAnsi"/>
        </w:rPr>
        <w:t xml:space="preserve">we also assumed </w:t>
      </w:r>
      <w:r w:rsidR="001874DE">
        <w:rPr>
          <w:rFonts w:cstheme="minorHAnsi"/>
        </w:rPr>
        <w:t xml:space="preserve">that </w:t>
      </w:r>
      <w:r w:rsidR="004942CD">
        <w:rPr>
          <w:rFonts w:cstheme="minorHAnsi"/>
        </w:rPr>
        <w:t xml:space="preserve">if there were both very high and very low [ELQ-300] values from mice within a group, then the low value was likely representative of more complete intramuscular deposition. Using these assumptions, we excluded from modeling consideration </w:t>
      </w:r>
      <w:r w:rsidR="005A22AE">
        <w:rPr>
          <w:rFonts w:cstheme="minorHAnsi"/>
        </w:rPr>
        <w:t>some</w:t>
      </w:r>
      <w:r w:rsidR="004942CD">
        <w:rPr>
          <w:rFonts w:cstheme="minorHAnsi"/>
        </w:rPr>
        <w:t xml:space="preserve"> values at the 6, 12, and 18</w:t>
      </w:r>
      <w:r w:rsidR="00CA5765">
        <w:rPr>
          <w:rFonts w:cstheme="minorHAnsi"/>
        </w:rPr>
        <w:t>-</w:t>
      </w:r>
      <w:r w:rsidR="004942CD">
        <w:rPr>
          <w:rFonts w:cstheme="minorHAnsi"/>
        </w:rPr>
        <w:t>hour timepoints</w:t>
      </w:r>
      <w:r w:rsidR="005A22AE">
        <w:rPr>
          <w:rFonts w:cstheme="minorHAnsi"/>
        </w:rPr>
        <w:t xml:space="preserve"> only</w:t>
      </w:r>
      <w:r w:rsidR="005A5004">
        <w:rPr>
          <w:rFonts w:cstheme="minorHAnsi"/>
        </w:rPr>
        <w:t xml:space="preserve"> </w:t>
      </w:r>
      <w:r w:rsidR="00E537D4">
        <w:rPr>
          <w:rFonts w:cstheme="minorHAnsi"/>
        </w:rPr>
        <w:t>in an edited dataset (“Edited”)</w:t>
      </w:r>
      <w:r w:rsidR="005A22AE">
        <w:rPr>
          <w:rFonts w:cstheme="minorHAnsi"/>
        </w:rPr>
        <w:t>.</w:t>
      </w:r>
      <w:r w:rsidR="001874DE">
        <w:rPr>
          <w:rFonts w:cstheme="minorHAnsi"/>
        </w:rPr>
        <w:t xml:space="preserve"> </w:t>
      </w:r>
      <w:r w:rsidR="00E422E4">
        <w:rPr>
          <w:rFonts w:cstheme="minorHAnsi"/>
        </w:rPr>
        <w:t xml:space="preserve">These data exclusions were made prior to any </w:t>
      </w:r>
      <w:r w:rsidR="001D31C0">
        <w:rPr>
          <w:rFonts w:cstheme="minorHAnsi"/>
        </w:rPr>
        <w:t xml:space="preserve">PK </w:t>
      </w:r>
      <w:r w:rsidR="00E422E4">
        <w:rPr>
          <w:rFonts w:cstheme="minorHAnsi"/>
        </w:rPr>
        <w:t>analysis, and b</w:t>
      </w:r>
      <w:r w:rsidR="001874DE">
        <w:rPr>
          <w:rFonts w:cstheme="minorHAnsi"/>
        </w:rPr>
        <w:t xml:space="preserve">oth the “Edited” and </w:t>
      </w:r>
      <w:r w:rsidR="00E537D4">
        <w:rPr>
          <w:rFonts w:cstheme="minorHAnsi"/>
        </w:rPr>
        <w:t>complete (</w:t>
      </w:r>
      <w:r w:rsidR="001874DE">
        <w:rPr>
          <w:rFonts w:cstheme="minorHAnsi"/>
        </w:rPr>
        <w:t>“All”</w:t>
      </w:r>
      <w:r w:rsidR="00E537D4">
        <w:rPr>
          <w:rFonts w:cstheme="minorHAnsi"/>
        </w:rPr>
        <w:t>)</w:t>
      </w:r>
      <w:r w:rsidR="001874DE">
        <w:rPr>
          <w:rFonts w:cstheme="minorHAnsi"/>
        </w:rPr>
        <w:t xml:space="preserve"> datasets were then evaluated for PK profile</w:t>
      </w:r>
      <w:r w:rsidR="00E537D4">
        <w:rPr>
          <w:rFonts w:cstheme="minorHAnsi"/>
        </w:rPr>
        <w:t xml:space="preserve"> (see Additional File 4 for complete and modified datasets)</w:t>
      </w:r>
      <w:r w:rsidR="001874DE">
        <w:rPr>
          <w:rFonts w:cstheme="minorHAnsi"/>
        </w:rPr>
        <w:t xml:space="preserve">. </w:t>
      </w:r>
    </w:p>
    <w:p w:rsidR="00E76164" w:rsidRDefault="001874DE" w:rsidP="00AE5A4F">
      <w:pPr>
        <w:autoSpaceDE w:val="0"/>
        <w:autoSpaceDN w:val="0"/>
        <w:adjustRightInd w:val="0"/>
        <w:spacing w:before="160" w:line="480" w:lineRule="auto"/>
        <w:rPr>
          <w:rFonts w:cstheme="minorHAnsi"/>
        </w:rPr>
      </w:pPr>
      <w:r>
        <w:rPr>
          <w:rFonts w:cstheme="minorHAnsi"/>
        </w:rPr>
        <w:t>Non-compartmental analysis was done first</w:t>
      </w:r>
      <w:r w:rsidR="00083143">
        <w:rPr>
          <w:rFonts w:cstheme="minorHAnsi"/>
        </w:rPr>
        <w:t xml:space="preserve"> to determine summary PK values (see </w:t>
      </w:r>
      <w:r w:rsidR="00D831D3">
        <w:rPr>
          <w:rFonts w:cstheme="minorHAnsi"/>
        </w:rPr>
        <w:t xml:space="preserve">Additional File 3, </w:t>
      </w:r>
      <w:r w:rsidR="00083143">
        <w:rPr>
          <w:rFonts w:cstheme="minorHAnsi"/>
        </w:rPr>
        <w:t>Table</w:t>
      </w:r>
      <w:r w:rsidR="00D831D3">
        <w:rPr>
          <w:rFonts w:cstheme="minorHAnsi"/>
        </w:rPr>
        <w:t xml:space="preserve"> 1</w:t>
      </w:r>
      <w:r w:rsidR="00083143">
        <w:rPr>
          <w:rFonts w:cstheme="minorHAnsi"/>
        </w:rPr>
        <w:t>)</w:t>
      </w:r>
      <w:r w:rsidR="00CC0648">
        <w:rPr>
          <w:rFonts w:cstheme="minorHAnsi"/>
        </w:rPr>
        <w:t>, and to provide initial parameter estimates for compartmental modeling</w:t>
      </w:r>
      <w:r w:rsidR="00083143">
        <w:rPr>
          <w:rFonts w:cstheme="minorHAnsi"/>
        </w:rPr>
        <w:t xml:space="preserve">. </w:t>
      </w:r>
      <w:r w:rsidR="00CC0648">
        <w:rPr>
          <w:rFonts w:cstheme="minorHAnsi"/>
        </w:rPr>
        <w:t xml:space="preserve">Datasets were </w:t>
      </w:r>
    </w:p>
    <w:p w:rsidR="00717D5C" w:rsidRDefault="00CC0648" w:rsidP="00AE5A4F">
      <w:pPr>
        <w:autoSpaceDE w:val="0"/>
        <w:autoSpaceDN w:val="0"/>
        <w:adjustRightInd w:val="0"/>
        <w:spacing w:before="160" w:line="480" w:lineRule="auto"/>
        <w:rPr>
          <w:rFonts w:cstheme="minorHAnsi"/>
        </w:rPr>
      </w:pPr>
      <w:r>
        <w:rPr>
          <w:rFonts w:cstheme="minorHAnsi"/>
        </w:rPr>
        <w:lastRenderedPageBreak/>
        <w:t xml:space="preserve">then run through </w:t>
      </w:r>
      <w:r w:rsidR="00CA5765">
        <w:rPr>
          <w:rFonts w:cstheme="minorHAnsi"/>
        </w:rPr>
        <w:t>1,</w:t>
      </w:r>
      <w:r>
        <w:rPr>
          <w:rFonts w:cstheme="minorHAnsi"/>
        </w:rPr>
        <w:t xml:space="preserve"> 2</w:t>
      </w:r>
      <w:r w:rsidR="00CA5765">
        <w:rPr>
          <w:rFonts w:cstheme="minorHAnsi"/>
        </w:rPr>
        <w:t>,</w:t>
      </w:r>
      <w:r>
        <w:rPr>
          <w:rFonts w:cstheme="minorHAnsi"/>
        </w:rPr>
        <w:t xml:space="preserve"> and </w:t>
      </w:r>
      <w:r w:rsidR="00BC36E5">
        <w:rPr>
          <w:rFonts w:cstheme="minorHAnsi"/>
        </w:rPr>
        <w:t>3-compartment</w:t>
      </w:r>
      <w:r>
        <w:rPr>
          <w:rFonts w:cstheme="minorHAnsi"/>
        </w:rPr>
        <w:t xml:space="preserve"> models using </w:t>
      </w:r>
      <w:proofErr w:type="spellStart"/>
      <w:r>
        <w:rPr>
          <w:rFonts w:cstheme="minorHAnsi"/>
        </w:rPr>
        <w:t>SimBiology</w:t>
      </w:r>
      <w:proofErr w:type="spellEnd"/>
      <w:r w:rsidR="0094478F">
        <w:rPr>
          <w:rFonts w:cstheme="minorHAnsi"/>
        </w:rPr>
        <w:t xml:space="preserve">. Lacking the ability to </w:t>
      </w:r>
      <w:r w:rsidR="004E2585">
        <w:rPr>
          <w:rFonts w:cstheme="minorHAnsi"/>
        </w:rPr>
        <w:t xml:space="preserve">track and analyze the multiple processes occurring between injection of ELQ-331 and the </w:t>
      </w:r>
      <w:r w:rsidR="00846E12">
        <w:rPr>
          <w:rFonts w:cstheme="minorHAnsi"/>
        </w:rPr>
        <w:t>appearance of ELQ-300 in blood, we chose to treat absorption as a first order process into the central (blood) compartment, speculating that this would better model actual absorption than either a zero order or bolus model. Mean [ELQ-300] values at each time point were used as the dependent variable. Better fit was achieved with the multi-compartmental equations (see Additional File 3, Table 2), with the 2-compartment model slightly better than the 3-compartment model on the basis of fit and error criteria.</w:t>
      </w:r>
    </w:p>
    <w:p w:rsidR="00717D5C" w:rsidRPr="0097769F" w:rsidRDefault="00717D5C" w:rsidP="00AE5A4F">
      <w:pPr>
        <w:autoSpaceDE w:val="0"/>
        <w:autoSpaceDN w:val="0"/>
        <w:adjustRightInd w:val="0"/>
        <w:spacing w:before="160" w:line="480" w:lineRule="auto"/>
        <w:rPr>
          <w:rFonts w:cstheme="minorHAnsi"/>
          <w:b/>
        </w:rPr>
      </w:pPr>
      <w:r w:rsidRPr="0097769F">
        <w:rPr>
          <w:rFonts w:cstheme="minorHAnsi"/>
          <w:b/>
        </w:rPr>
        <w:t>Additional File 3, Table 1: Non-compartmental analysis – Summary values</w:t>
      </w:r>
    </w:p>
    <w:tbl>
      <w:tblPr>
        <w:tblW w:w="6830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600"/>
      </w:tblPr>
      <w:tblGrid>
        <w:gridCol w:w="4130"/>
        <w:gridCol w:w="1241"/>
        <w:gridCol w:w="1459"/>
      </w:tblGrid>
      <w:tr w:rsidR="00717D5C" w:rsidRPr="00071CC3" w:rsidTr="0077180C">
        <w:trPr>
          <w:trHeight w:val="23"/>
        </w:trPr>
        <w:tc>
          <w:tcPr>
            <w:tcW w:w="41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D5C" w:rsidRPr="00071CC3" w:rsidRDefault="00717D5C" w:rsidP="0077180C">
            <w:pPr>
              <w:spacing w:after="0" w:line="240" w:lineRule="auto"/>
              <w:textAlignment w:val="bottom"/>
              <w:rPr>
                <w:rFonts w:eastAsia="Times New Roman" w:cstheme="minorHAnsi"/>
                <w:color w:val="000000"/>
                <w:kern w:val="24"/>
              </w:rPr>
            </w:pPr>
            <w:r w:rsidRPr="00071CC3">
              <w:rPr>
                <w:rFonts w:eastAsia="Times New Roman" w:cstheme="minorHAnsi"/>
                <w:b/>
                <w:bCs/>
                <w:color w:val="000000"/>
                <w:kern w:val="24"/>
                <w:u w:val="single"/>
              </w:rPr>
              <w:t>Parameter, units</w:t>
            </w:r>
          </w:p>
        </w:tc>
        <w:tc>
          <w:tcPr>
            <w:tcW w:w="270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D5C" w:rsidRPr="00071CC3" w:rsidRDefault="00717D5C" w:rsidP="0077180C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/>
                <w:kern w:val="24"/>
              </w:rPr>
            </w:pPr>
            <w:r w:rsidRPr="00071CC3">
              <w:rPr>
                <w:rFonts w:eastAsia="Times New Roman" w:cstheme="minorHAnsi"/>
                <w:b/>
                <w:bCs/>
                <w:color w:val="000000"/>
                <w:kern w:val="24"/>
                <w:u w:val="single"/>
              </w:rPr>
              <w:t>Estimate</w:t>
            </w:r>
          </w:p>
        </w:tc>
      </w:tr>
      <w:tr w:rsidR="00717D5C" w:rsidRPr="00071CC3" w:rsidTr="0077180C">
        <w:trPr>
          <w:trHeight w:val="23"/>
        </w:trPr>
        <w:tc>
          <w:tcPr>
            <w:tcW w:w="41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textAlignment w:val="bottom"/>
              <w:rPr>
                <w:rFonts w:eastAsia="Times New Roman" w:cstheme="minorHAnsi"/>
              </w:rPr>
            </w:pPr>
            <w:r w:rsidRPr="00071CC3">
              <w:rPr>
                <w:rFonts w:eastAsia="Times New Roman" w:cstheme="minorHAnsi"/>
                <w:color w:val="000000"/>
                <w:kern w:val="24"/>
              </w:rPr>
              <w:t>Dataset</w:t>
            </w:r>
          </w:p>
        </w:tc>
        <w:tc>
          <w:tcPr>
            <w:tcW w:w="12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</w:rPr>
            </w:pPr>
            <w:r w:rsidRPr="00071CC3">
              <w:rPr>
                <w:rFonts w:eastAsia="Times New Roman" w:cstheme="minorHAnsi"/>
                <w:color w:val="000000"/>
                <w:kern w:val="24"/>
              </w:rPr>
              <w:t>"All"</w:t>
            </w:r>
          </w:p>
        </w:tc>
        <w:tc>
          <w:tcPr>
            <w:tcW w:w="14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</w:rPr>
            </w:pPr>
            <w:r w:rsidRPr="00071CC3">
              <w:rPr>
                <w:rFonts w:eastAsia="Times New Roman" w:cstheme="minorHAnsi"/>
                <w:color w:val="000000"/>
                <w:kern w:val="24"/>
              </w:rPr>
              <w:t>"Edited"</w:t>
            </w:r>
          </w:p>
        </w:tc>
      </w:tr>
      <w:tr w:rsidR="00717D5C" w:rsidRPr="00071CC3" w:rsidTr="0077180C">
        <w:trPr>
          <w:trHeight w:val="23"/>
        </w:trPr>
        <w:tc>
          <w:tcPr>
            <w:tcW w:w="41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textAlignment w:val="bottom"/>
              <w:rPr>
                <w:rFonts w:eastAsia="Times New Roman" w:cstheme="minorHAnsi"/>
              </w:rPr>
            </w:pPr>
            <w:r w:rsidRPr="00071CC3">
              <w:rPr>
                <w:rFonts w:eastAsia="Times New Roman" w:cstheme="minorHAnsi"/>
                <w:color w:val="000000"/>
                <w:kern w:val="24"/>
              </w:rPr>
              <w:t>Dose, nmol</w:t>
            </w:r>
          </w:p>
        </w:tc>
        <w:tc>
          <w:tcPr>
            <w:tcW w:w="12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</w:rPr>
            </w:pPr>
            <w:r w:rsidRPr="00071CC3">
              <w:rPr>
                <w:rFonts w:eastAsia="Times New Roman" w:cstheme="minorHAnsi"/>
                <w:color w:val="000000"/>
                <w:kern w:val="24"/>
              </w:rPr>
              <w:t>1900</w:t>
            </w:r>
          </w:p>
        </w:tc>
        <w:tc>
          <w:tcPr>
            <w:tcW w:w="14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</w:rPr>
            </w:pPr>
            <w:r w:rsidRPr="00071CC3">
              <w:rPr>
                <w:rFonts w:eastAsia="Times New Roman" w:cstheme="minorHAnsi"/>
                <w:color w:val="000000"/>
                <w:kern w:val="24"/>
              </w:rPr>
              <w:t>1900</w:t>
            </w:r>
          </w:p>
        </w:tc>
      </w:tr>
      <w:tr w:rsidR="00717D5C" w:rsidRPr="00071CC3" w:rsidTr="0077180C">
        <w:trPr>
          <w:trHeight w:val="23"/>
        </w:trPr>
        <w:tc>
          <w:tcPr>
            <w:tcW w:w="41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textAlignment w:val="bottom"/>
              <w:rPr>
                <w:rFonts w:eastAsia="Times New Roman" w:cstheme="minorHAnsi"/>
              </w:rPr>
            </w:pPr>
            <w:r w:rsidRPr="00071CC3">
              <w:rPr>
                <w:rFonts w:eastAsia="Times New Roman" w:cstheme="minorHAnsi"/>
                <w:color w:val="000000"/>
                <w:kern w:val="24"/>
              </w:rPr>
              <w:t>Points used to calculate terminal T</w:t>
            </w:r>
            <w:r w:rsidRPr="002937A4">
              <w:rPr>
                <w:rFonts w:eastAsia="Times New Roman" w:cstheme="minorHAnsi"/>
                <w:color w:val="000000"/>
                <w:kern w:val="24"/>
                <w:vertAlign w:val="subscript"/>
              </w:rPr>
              <w:t>1/2</w:t>
            </w:r>
          </w:p>
        </w:tc>
        <w:tc>
          <w:tcPr>
            <w:tcW w:w="12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</w:rPr>
            </w:pPr>
            <w:r w:rsidRPr="00071CC3">
              <w:rPr>
                <w:rFonts w:eastAsia="Times New Roman" w:cstheme="minorHAnsi"/>
                <w:color w:val="000000"/>
                <w:kern w:val="24"/>
              </w:rPr>
              <w:t>5</w:t>
            </w:r>
          </w:p>
        </w:tc>
        <w:tc>
          <w:tcPr>
            <w:tcW w:w="14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</w:rPr>
            </w:pPr>
            <w:r w:rsidRPr="00071CC3">
              <w:rPr>
                <w:rFonts w:eastAsia="Times New Roman" w:cstheme="minorHAnsi"/>
                <w:color w:val="000000"/>
                <w:kern w:val="24"/>
              </w:rPr>
              <w:t>5</w:t>
            </w:r>
          </w:p>
        </w:tc>
      </w:tr>
      <w:tr w:rsidR="00717D5C" w:rsidRPr="00071CC3" w:rsidTr="0077180C">
        <w:trPr>
          <w:trHeight w:val="23"/>
        </w:trPr>
        <w:tc>
          <w:tcPr>
            <w:tcW w:w="41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textAlignment w:val="bottom"/>
              <w:rPr>
                <w:rFonts w:eastAsia="Times New Roman" w:cstheme="minorHAnsi"/>
              </w:rPr>
            </w:pPr>
            <w:r w:rsidRPr="00071CC3">
              <w:rPr>
                <w:rFonts w:eastAsia="Times New Roman" w:cstheme="minorHAnsi"/>
                <w:color w:val="000000"/>
                <w:kern w:val="24"/>
              </w:rPr>
              <w:t>Terminal T</w:t>
            </w:r>
            <w:r w:rsidRPr="002937A4">
              <w:rPr>
                <w:rFonts w:eastAsia="Times New Roman" w:cstheme="minorHAnsi"/>
                <w:color w:val="000000"/>
                <w:kern w:val="24"/>
                <w:vertAlign w:val="subscript"/>
              </w:rPr>
              <w:t>1/2</w:t>
            </w:r>
            <w:r w:rsidRPr="00071CC3">
              <w:rPr>
                <w:rFonts w:eastAsia="Times New Roman" w:cstheme="minorHAnsi"/>
                <w:color w:val="000000"/>
                <w:kern w:val="24"/>
              </w:rPr>
              <w:t>, days</w:t>
            </w:r>
          </w:p>
        </w:tc>
        <w:tc>
          <w:tcPr>
            <w:tcW w:w="12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</w:rPr>
            </w:pPr>
            <w:r w:rsidRPr="00071CC3">
              <w:rPr>
                <w:rFonts w:eastAsia="Times New Roman" w:cstheme="minorHAnsi"/>
                <w:color w:val="000000"/>
                <w:kern w:val="24"/>
              </w:rPr>
              <w:t>29.5</w:t>
            </w:r>
          </w:p>
        </w:tc>
        <w:tc>
          <w:tcPr>
            <w:tcW w:w="14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</w:rPr>
            </w:pPr>
            <w:r w:rsidRPr="00071CC3">
              <w:rPr>
                <w:rFonts w:eastAsia="Times New Roman" w:cstheme="minorHAnsi"/>
                <w:color w:val="000000"/>
                <w:kern w:val="24"/>
              </w:rPr>
              <w:t>29.5</w:t>
            </w:r>
          </w:p>
        </w:tc>
      </w:tr>
      <w:tr w:rsidR="00717D5C" w:rsidRPr="00071CC3" w:rsidTr="0077180C">
        <w:trPr>
          <w:trHeight w:val="23"/>
        </w:trPr>
        <w:tc>
          <w:tcPr>
            <w:tcW w:w="41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textAlignment w:val="bottom"/>
              <w:rPr>
                <w:rFonts w:eastAsia="Times New Roman" w:cstheme="minorHAnsi"/>
              </w:rPr>
            </w:pPr>
            <w:proofErr w:type="spellStart"/>
            <w:r w:rsidRPr="00071CC3">
              <w:rPr>
                <w:rFonts w:eastAsia="Times New Roman" w:cstheme="minorHAnsi"/>
                <w:color w:val="000000"/>
                <w:kern w:val="24"/>
              </w:rPr>
              <w:t>Tmax</w:t>
            </w:r>
            <w:proofErr w:type="spellEnd"/>
            <w:r w:rsidRPr="00071CC3">
              <w:rPr>
                <w:rFonts w:eastAsia="Times New Roman" w:cstheme="minorHAnsi"/>
                <w:color w:val="000000"/>
                <w:kern w:val="24"/>
              </w:rPr>
              <w:t>, days</w:t>
            </w:r>
          </w:p>
        </w:tc>
        <w:tc>
          <w:tcPr>
            <w:tcW w:w="12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</w:rPr>
            </w:pPr>
            <w:r w:rsidRPr="00071CC3">
              <w:rPr>
                <w:rFonts w:eastAsia="Times New Roman" w:cstheme="minorHAnsi"/>
                <w:color w:val="000000"/>
                <w:kern w:val="24"/>
              </w:rPr>
              <w:t>0.75</w:t>
            </w:r>
          </w:p>
        </w:tc>
        <w:tc>
          <w:tcPr>
            <w:tcW w:w="14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</w:rPr>
            </w:pPr>
            <w:r w:rsidRPr="00071CC3">
              <w:rPr>
                <w:rFonts w:eastAsia="Times New Roman" w:cstheme="minorHAnsi"/>
                <w:color w:val="000000"/>
                <w:kern w:val="24"/>
              </w:rPr>
              <w:t>3</w:t>
            </w:r>
          </w:p>
        </w:tc>
      </w:tr>
      <w:tr w:rsidR="00717D5C" w:rsidRPr="00071CC3" w:rsidTr="0077180C">
        <w:trPr>
          <w:trHeight w:val="23"/>
        </w:trPr>
        <w:tc>
          <w:tcPr>
            <w:tcW w:w="41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textAlignment w:val="bottom"/>
              <w:rPr>
                <w:rFonts w:eastAsia="Times New Roman" w:cstheme="minorHAnsi"/>
              </w:rPr>
            </w:pPr>
            <w:proofErr w:type="spellStart"/>
            <w:r w:rsidRPr="00071CC3">
              <w:rPr>
                <w:rFonts w:eastAsia="Times New Roman" w:cstheme="minorHAnsi"/>
                <w:color w:val="000000"/>
                <w:kern w:val="24"/>
              </w:rPr>
              <w:t>Cmax</w:t>
            </w:r>
            <w:proofErr w:type="spellEnd"/>
            <w:r w:rsidRPr="00071CC3">
              <w:rPr>
                <w:rFonts w:eastAsia="Times New Roman" w:cstheme="minorHAnsi"/>
                <w:color w:val="000000"/>
                <w:kern w:val="24"/>
              </w:rPr>
              <w:t>, nM</w:t>
            </w:r>
          </w:p>
        </w:tc>
        <w:tc>
          <w:tcPr>
            <w:tcW w:w="12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</w:rPr>
            </w:pPr>
            <w:r w:rsidRPr="00071CC3">
              <w:rPr>
                <w:rFonts w:eastAsia="Times New Roman" w:cstheme="minorHAnsi"/>
                <w:color w:val="000000"/>
                <w:kern w:val="24"/>
              </w:rPr>
              <w:t>3752.3</w:t>
            </w:r>
          </w:p>
        </w:tc>
        <w:tc>
          <w:tcPr>
            <w:tcW w:w="14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</w:rPr>
            </w:pPr>
            <w:r w:rsidRPr="00071CC3">
              <w:rPr>
                <w:rFonts w:eastAsia="Times New Roman" w:cstheme="minorHAnsi"/>
                <w:color w:val="000000"/>
                <w:kern w:val="24"/>
              </w:rPr>
              <w:t>1614.2</w:t>
            </w:r>
          </w:p>
        </w:tc>
      </w:tr>
      <w:tr w:rsidR="00717D5C" w:rsidRPr="00071CC3" w:rsidTr="0077180C">
        <w:trPr>
          <w:trHeight w:val="23"/>
        </w:trPr>
        <w:tc>
          <w:tcPr>
            <w:tcW w:w="41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textAlignment w:val="bottom"/>
              <w:rPr>
                <w:rFonts w:eastAsia="Times New Roman" w:cstheme="minorHAnsi"/>
              </w:rPr>
            </w:pPr>
            <w:r w:rsidRPr="00071CC3">
              <w:rPr>
                <w:rFonts w:eastAsia="Times New Roman" w:cstheme="minorHAnsi"/>
                <w:color w:val="000000"/>
                <w:kern w:val="24"/>
              </w:rPr>
              <w:t>AUC to last timepoint, day*nmol/L</w:t>
            </w:r>
          </w:p>
        </w:tc>
        <w:tc>
          <w:tcPr>
            <w:tcW w:w="12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</w:rPr>
            </w:pPr>
            <w:r w:rsidRPr="00071CC3">
              <w:rPr>
                <w:rFonts w:eastAsia="Times New Roman" w:cstheme="minorHAnsi"/>
                <w:color w:val="000000"/>
                <w:kern w:val="24"/>
              </w:rPr>
              <w:t>49215.3</w:t>
            </w:r>
          </w:p>
        </w:tc>
        <w:tc>
          <w:tcPr>
            <w:tcW w:w="14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</w:rPr>
            </w:pPr>
            <w:r w:rsidRPr="00071CC3">
              <w:rPr>
                <w:rFonts w:eastAsia="Times New Roman" w:cstheme="minorHAnsi"/>
                <w:color w:val="000000"/>
                <w:kern w:val="24"/>
              </w:rPr>
              <w:t>46903.1</w:t>
            </w:r>
          </w:p>
        </w:tc>
      </w:tr>
      <w:tr w:rsidR="00717D5C" w:rsidRPr="00071CC3" w:rsidTr="0077180C">
        <w:trPr>
          <w:trHeight w:val="23"/>
        </w:trPr>
        <w:tc>
          <w:tcPr>
            <w:tcW w:w="41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textAlignment w:val="bottom"/>
              <w:rPr>
                <w:rFonts w:eastAsia="Times New Roman" w:cstheme="minorHAnsi"/>
              </w:rPr>
            </w:pPr>
            <w:r w:rsidRPr="00071CC3">
              <w:rPr>
                <w:rFonts w:eastAsia="Times New Roman" w:cstheme="minorHAnsi"/>
                <w:color w:val="000000"/>
                <w:kern w:val="24"/>
              </w:rPr>
              <w:t>AUC to ∞ (observed slope), day*nmol/L</w:t>
            </w:r>
          </w:p>
        </w:tc>
        <w:tc>
          <w:tcPr>
            <w:tcW w:w="12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</w:rPr>
            </w:pPr>
            <w:r w:rsidRPr="00071CC3">
              <w:rPr>
                <w:rFonts w:eastAsia="Times New Roman" w:cstheme="minorHAnsi"/>
                <w:color w:val="000000"/>
                <w:kern w:val="24"/>
              </w:rPr>
              <w:t>51086.7</w:t>
            </w:r>
          </w:p>
        </w:tc>
        <w:tc>
          <w:tcPr>
            <w:tcW w:w="14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</w:rPr>
            </w:pPr>
            <w:r w:rsidRPr="00071CC3">
              <w:rPr>
                <w:rFonts w:eastAsia="Times New Roman" w:cstheme="minorHAnsi"/>
                <w:color w:val="000000"/>
                <w:kern w:val="24"/>
              </w:rPr>
              <w:t>48774.4</w:t>
            </w:r>
          </w:p>
        </w:tc>
      </w:tr>
      <w:tr w:rsidR="00717D5C" w:rsidRPr="00071CC3" w:rsidTr="0077180C">
        <w:trPr>
          <w:trHeight w:val="23"/>
        </w:trPr>
        <w:tc>
          <w:tcPr>
            <w:tcW w:w="41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textAlignment w:val="bottom"/>
              <w:rPr>
                <w:rFonts w:eastAsia="Times New Roman" w:cstheme="minorHAnsi"/>
              </w:rPr>
            </w:pPr>
            <w:r w:rsidRPr="00071CC3">
              <w:rPr>
                <w:rFonts w:eastAsia="Times New Roman" w:cstheme="minorHAnsi"/>
                <w:color w:val="000000"/>
                <w:kern w:val="24"/>
              </w:rPr>
              <w:t>AUC to ∞ (calculated slope), day*nmol/L</w:t>
            </w:r>
          </w:p>
        </w:tc>
        <w:tc>
          <w:tcPr>
            <w:tcW w:w="12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</w:rPr>
            </w:pPr>
            <w:r w:rsidRPr="00071CC3">
              <w:rPr>
                <w:rFonts w:eastAsia="Times New Roman" w:cstheme="minorHAnsi"/>
                <w:color w:val="000000"/>
                <w:kern w:val="24"/>
              </w:rPr>
              <w:t>50784.7</w:t>
            </w:r>
          </w:p>
        </w:tc>
        <w:tc>
          <w:tcPr>
            <w:tcW w:w="14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</w:rPr>
            </w:pPr>
            <w:r w:rsidRPr="00071CC3">
              <w:rPr>
                <w:rFonts w:eastAsia="Times New Roman" w:cstheme="minorHAnsi"/>
                <w:color w:val="000000"/>
                <w:kern w:val="24"/>
              </w:rPr>
              <w:t>48472.5</w:t>
            </w:r>
          </w:p>
        </w:tc>
      </w:tr>
      <w:tr w:rsidR="00717D5C" w:rsidRPr="00071CC3" w:rsidTr="0077180C">
        <w:trPr>
          <w:trHeight w:val="23"/>
        </w:trPr>
        <w:tc>
          <w:tcPr>
            <w:tcW w:w="41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textAlignment w:val="bottom"/>
              <w:rPr>
                <w:rFonts w:eastAsia="Times New Roman" w:cstheme="minorHAnsi"/>
              </w:rPr>
            </w:pPr>
            <w:r w:rsidRPr="00071CC3">
              <w:rPr>
                <w:rFonts w:eastAsia="Times New Roman" w:cstheme="minorHAnsi"/>
                <w:color w:val="000000"/>
                <w:kern w:val="24"/>
              </w:rPr>
              <w:t>Average [ELQ-300], nM</w:t>
            </w:r>
          </w:p>
        </w:tc>
        <w:tc>
          <w:tcPr>
            <w:tcW w:w="12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</w:rPr>
            </w:pPr>
            <w:r w:rsidRPr="00071CC3">
              <w:rPr>
                <w:rFonts w:eastAsia="Times New Roman" w:cstheme="minorHAnsi"/>
                <w:color w:val="000000"/>
                <w:kern w:val="24"/>
              </w:rPr>
              <w:t>294.7</w:t>
            </w:r>
          </w:p>
        </w:tc>
        <w:tc>
          <w:tcPr>
            <w:tcW w:w="14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</w:rPr>
            </w:pPr>
            <w:r w:rsidRPr="00071CC3">
              <w:rPr>
                <w:rFonts w:eastAsia="Times New Roman" w:cstheme="minorHAnsi"/>
                <w:color w:val="000000"/>
                <w:kern w:val="24"/>
              </w:rPr>
              <w:t>280.9</w:t>
            </w:r>
          </w:p>
        </w:tc>
      </w:tr>
      <w:tr w:rsidR="00717D5C" w:rsidRPr="00071CC3" w:rsidTr="0077180C">
        <w:trPr>
          <w:trHeight w:val="23"/>
        </w:trPr>
        <w:tc>
          <w:tcPr>
            <w:tcW w:w="41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textAlignment w:val="bottom"/>
              <w:rPr>
                <w:rFonts w:eastAsia="Times New Roman" w:cstheme="minorHAnsi"/>
              </w:rPr>
            </w:pPr>
            <w:proofErr w:type="spellStart"/>
            <w:r w:rsidRPr="00071CC3">
              <w:rPr>
                <w:rFonts w:eastAsia="Times New Roman" w:cstheme="minorHAnsi"/>
                <w:color w:val="000000"/>
                <w:kern w:val="24"/>
              </w:rPr>
              <w:t>CLss_F</w:t>
            </w:r>
            <w:proofErr w:type="spellEnd"/>
            <w:r w:rsidRPr="00071CC3">
              <w:rPr>
                <w:rFonts w:eastAsia="Times New Roman" w:cstheme="minorHAnsi"/>
                <w:color w:val="000000"/>
                <w:kern w:val="24"/>
              </w:rPr>
              <w:t>, L/day</w:t>
            </w:r>
          </w:p>
        </w:tc>
        <w:tc>
          <w:tcPr>
            <w:tcW w:w="12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</w:rPr>
            </w:pPr>
            <w:r w:rsidRPr="00071CC3">
              <w:rPr>
                <w:rFonts w:eastAsia="Times New Roman" w:cstheme="minorHAnsi"/>
                <w:color w:val="000000"/>
                <w:kern w:val="24"/>
              </w:rPr>
              <w:t>0.039</w:t>
            </w:r>
          </w:p>
        </w:tc>
        <w:tc>
          <w:tcPr>
            <w:tcW w:w="14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</w:rPr>
            </w:pPr>
            <w:r w:rsidRPr="00071CC3">
              <w:rPr>
                <w:rFonts w:eastAsia="Times New Roman" w:cstheme="minorHAnsi"/>
                <w:color w:val="000000"/>
                <w:kern w:val="24"/>
              </w:rPr>
              <w:t>0.04</w:t>
            </w:r>
          </w:p>
        </w:tc>
      </w:tr>
      <w:tr w:rsidR="00717D5C" w:rsidRPr="00071CC3" w:rsidTr="0077180C">
        <w:trPr>
          <w:trHeight w:val="23"/>
        </w:trPr>
        <w:tc>
          <w:tcPr>
            <w:tcW w:w="41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textAlignment w:val="bottom"/>
              <w:rPr>
                <w:rFonts w:eastAsia="Times New Roman" w:cstheme="minorHAnsi"/>
              </w:rPr>
            </w:pPr>
            <w:proofErr w:type="spellStart"/>
            <w:r w:rsidRPr="00071CC3">
              <w:rPr>
                <w:rFonts w:eastAsia="Times New Roman" w:cstheme="minorHAnsi"/>
                <w:color w:val="000000"/>
                <w:kern w:val="24"/>
              </w:rPr>
              <w:t>Vz_F</w:t>
            </w:r>
            <w:proofErr w:type="spellEnd"/>
            <w:r w:rsidRPr="00071CC3">
              <w:rPr>
                <w:rFonts w:eastAsia="Times New Roman" w:cstheme="minorHAnsi"/>
                <w:color w:val="000000"/>
                <w:kern w:val="24"/>
              </w:rPr>
              <w:t>, L</w:t>
            </w:r>
          </w:p>
        </w:tc>
        <w:tc>
          <w:tcPr>
            <w:tcW w:w="12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</w:rPr>
            </w:pPr>
            <w:r w:rsidRPr="00071CC3">
              <w:rPr>
                <w:rFonts w:eastAsia="Times New Roman" w:cstheme="minorHAnsi"/>
                <w:color w:val="000000"/>
                <w:kern w:val="24"/>
              </w:rPr>
              <w:t>1.64</w:t>
            </w:r>
          </w:p>
        </w:tc>
        <w:tc>
          <w:tcPr>
            <w:tcW w:w="14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D5C" w:rsidRPr="00071CC3" w:rsidRDefault="00717D5C" w:rsidP="0077180C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</w:rPr>
            </w:pPr>
            <w:r w:rsidRPr="00071CC3">
              <w:rPr>
                <w:rFonts w:eastAsia="Times New Roman" w:cstheme="minorHAnsi"/>
                <w:color w:val="000000"/>
                <w:kern w:val="24"/>
              </w:rPr>
              <w:t>1.73</w:t>
            </w:r>
          </w:p>
        </w:tc>
      </w:tr>
    </w:tbl>
    <w:p w:rsidR="00717D5C" w:rsidRDefault="00717D5C" w:rsidP="00AE5A4F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>
        <w:rPr>
          <w:rFonts w:cstheme="minorHAnsi"/>
        </w:rPr>
        <w:t xml:space="preserve">Table legend: Results of non-compartmental analysis and comparison of “All” and “Edited” datasets (see text). AUC = area-under-the-curve, </w:t>
      </w:r>
      <w:proofErr w:type="spellStart"/>
      <w:r>
        <w:rPr>
          <w:rFonts w:cstheme="minorHAnsi"/>
        </w:rPr>
        <w:t>CLss_F</w:t>
      </w:r>
      <w:proofErr w:type="spellEnd"/>
      <w:r>
        <w:rPr>
          <w:rFonts w:cstheme="minorHAnsi"/>
        </w:rPr>
        <w:t xml:space="preserve"> = clearance at apparent steady-state, </w:t>
      </w:r>
      <w:proofErr w:type="spellStart"/>
      <w:r>
        <w:rPr>
          <w:rFonts w:cstheme="minorHAnsi"/>
        </w:rPr>
        <w:t>Vz_F</w:t>
      </w:r>
      <w:proofErr w:type="spellEnd"/>
      <w:r>
        <w:rPr>
          <w:rFonts w:cstheme="minorHAnsi"/>
        </w:rPr>
        <w:t xml:space="preserve"> = apparent volume of distribution at apparent steady-state</w:t>
      </w:r>
    </w:p>
    <w:p w:rsidR="00E16AA2" w:rsidRDefault="007B161B" w:rsidP="00AE5A4F">
      <w:pPr>
        <w:autoSpaceDE w:val="0"/>
        <w:autoSpaceDN w:val="0"/>
        <w:adjustRightInd w:val="0"/>
        <w:spacing w:before="160" w:line="480" w:lineRule="auto"/>
        <w:rPr>
          <w:rFonts w:cstheme="minorHAnsi"/>
        </w:rPr>
      </w:pPr>
      <w:r>
        <w:rPr>
          <w:rFonts w:cstheme="minorHAnsi"/>
        </w:rPr>
        <w:t xml:space="preserve">Based on greater plausibility and the initial modeling results showing very poor fit to the “All” dataset, only the “Edited” dataset was further evaluated. The </w:t>
      </w:r>
      <w:r w:rsidR="002937A4">
        <w:rPr>
          <w:rFonts w:cstheme="minorHAnsi"/>
        </w:rPr>
        <w:t xml:space="preserve">final </w:t>
      </w:r>
      <w:r w:rsidR="00BC36E5">
        <w:rPr>
          <w:rFonts w:cstheme="minorHAnsi"/>
        </w:rPr>
        <w:t>2-compartment</w:t>
      </w:r>
      <w:r>
        <w:rPr>
          <w:rFonts w:cstheme="minorHAnsi"/>
        </w:rPr>
        <w:t xml:space="preserve"> </w:t>
      </w:r>
      <w:r w:rsidR="00932CA1">
        <w:rPr>
          <w:rFonts w:cstheme="minorHAnsi"/>
        </w:rPr>
        <w:t xml:space="preserve">model </w:t>
      </w:r>
      <w:r>
        <w:rPr>
          <w:rFonts w:cstheme="minorHAnsi"/>
        </w:rPr>
        <w:t>is illustrated here</w:t>
      </w:r>
      <w:r w:rsidR="002937A4">
        <w:rPr>
          <w:rFonts w:cstheme="minorHAnsi"/>
        </w:rPr>
        <w:t xml:space="preserve"> (</w:t>
      </w:r>
      <w:r w:rsidR="00AA4C5D">
        <w:rPr>
          <w:rFonts w:cstheme="minorHAnsi"/>
        </w:rPr>
        <w:t xml:space="preserve">see </w:t>
      </w:r>
      <w:r w:rsidR="002937A4">
        <w:rPr>
          <w:rFonts w:cstheme="minorHAnsi"/>
        </w:rPr>
        <w:t>Additional File 3, Figure 1)</w:t>
      </w:r>
      <w:r>
        <w:rPr>
          <w:rFonts w:cstheme="minorHAnsi"/>
        </w:rPr>
        <w:t xml:space="preserve">, </w:t>
      </w:r>
      <w:r w:rsidR="002937A4">
        <w:rPr>
          <w:rFonts w:cstheme="minorHAnsi"/>
        </w:rPr>
        <w:t xml:space="preserve">along with the corresponding expressions used in the model. </w:t>
      </w:r>
      <w:r w:rsidR="008E3059">
        <w:rPr>
          <w:rFonts w:cstheme="minorHAnsi"/>
        </w:rPr>
        <w:t xml:space="preserve">The resulting </w:t>
      </w:r>
      <w:r w:rsidR="008E3059">
        <w:rPr>
          <w:rFonts w:cstheme="minorHAnsi"/>
        </w:rPr>
        <w:lastRenderedPageBreak/>
        <w:t xml:space="preserve">equation (converting  </w:t>
      </w:r>
      <w:r w:rsidR="00E16AA2">
        <w:rPr>
          <w:rFonts w:cstheme="minorHAnsi"/>
        </w:rPr>
        <w:t>The g</w:t>
      </w:r>
      <w:r w:rsidR="00AA4C5D">
        <w:rPr>
          <w:rFonts w:cstheme="minorHAnsi"/>
        </w:rPr>
        <w:t xml:space="preserve">raphical and tabular fit results are </w:t>
      </w:r>
      <w:r w:rsidR="00E16AA2">
        <w:rPr>
          <w:rFonts w:cstheme="minorHAnsi"/>
        </w:rPr>
        <w:t>presented in the main text (Figure 3)</w:t>
      </w:r>
      <w:r w:rsidR="00AA4C5D">
        <w:rPr>
          <w:rFonts w:cstheme="minorHAnsi"/>
        </w:rPr>
        <w:t xml:space="preserve"> confirming an excellent fit</w:t>
      </w:r>
      <w:r w:rsidR="00936B1B">
        <w:rPr>
          <w:rFonts w:cstheme="minorHAnsi"/>
        </w:rPr>
        <w:t xml:space="preserve"> with little difference between observed and predicted [ELQ-300] values and evenly distributed residuals. </w:t>
      </w:r>
    </w:p>
    <w:p w:rsidR="009B3211" w:rsidRPr="0097769F" w:rsidRDefault="009B3211" w:rsidP="00AE5A4F">
      <w:pPr>
        <w:autoSpaceDE w:val="0"/>
        <w:autoSpaceDN w:val="0"/>
        <w:adjustRightInd w:val="0"/>
        <w:spacing w:before="160" w:line="480" w:lineRule="auto"/>
        <w:rPr>
          <w:rFonts w:cstheme="minorHAnsi"/>
          <w:b/>
        </w:rPr>
      </w:pPr>
      <w:r w:rsidRPr="0097769F">
        <w:rPr>
          <w:rFonts w:cstheme="minorHAnsi"/>
          <w:b/>
        </w:rPr>
        <w:t>Additional File 3, Table 2: Compartmental analysis – comparison of fit/error values between models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99"/>
        <w:gridCol w:w="1476"/>
        <w:gridCol w:w="718"/>
        <w:gridCol w:w="718"/>
        <w:gridCol w:w="607"/>
        <w:gridCol w:w="830"/>
      </w:tblGrid>
      <w:tr w:rsidR="009B3211" w:rsidTr="00A5476B">
        <w:trPr>
          <w:trHeight w:val="144"/>
        </w:trPr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  <w:b/>
                <w:bCs/>
                <w:u w:val="single"/>
              </w:rPr>
              <w:t>Model - Dataset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proofErr w:type="spellStart"/>
            <w:r w:rsidRPr="00071CC3">
              <w:rPr>
                <w:rFonts w:cstheme="minorHAnsi"/>
                <w:b/>
                <w:bCs/>
                <w:u w:val="single"/>
              </w:rPr>
              <w:t>LogLikelihood</w:t>
            </w:r>
            <w:proofErr w:type="spellEnd"/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  <w:b/>
                <w:bCs/>
                <w:u w:val="single"/>
              </w:rPr>
              <w:t>AIC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proofErr w:type="spellStart"/>
            <w:r w:rsidRPr="00071CC3">
              <w:rPr>
                <w:rFonts w:cstheme="minorHAnsi"/>
                <w:b/>
                <w:bCs/>
                <w:u w:val="single"/>
              </w:rPr>
              <w:t>BIC</w:t>
            </w:r>
            <w:proofErr w:type="spellEnd"/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  <w:b/>
                <w:bCs/>
                <w:u w:val="single"/>
              </w:rPr>
              <w:t>DFE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  <w:b/>
                <w:bCs/>
                <w:u w:val="single"/>
              </w:rPr>
              <w:t>RMSE</w:t>
            </w:r>
          </w:p>
        </w:tc>
      </w:tr>
      <w:tr w:rsidR="009B3211" w:rsidTr="00A5476B">
        <w:tc>
          <w:tcPr>
            <w:tcW w:w="0" w:type="auto"/>
            <w:vAlign w:val="center"/>
          </w:tcPr>
          <w:p w:rsidR="009B3211" w:rsidRDefault="00BC36E5" w:rsidP="00A5476B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>1-compartment</w:t>
            </w:r>
            <w:r w:rsidR="009B3211" w:rsidRPr="00071CC3">
              <w:rPr>
                <w:rFonts w:cstheme="minorHAnsi"/>
              </w:rPr>
              <w:t xml:space="preserve"> - ”All”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</w:rPr>
              <w:t>-139.</w:t>
            </w:r>
            <w:r>
              <w:rPr>
                <w:rFonts w:cstheme="minorHAnsi"/>
              </w:rPr>
              <w:t>7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</w:rPr>
              <w:t>392.0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</w:rPr>
              <w:t>396.1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</w:rPr>
              <w:t>22.0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</w:rPr>
              <w:t>581.6</w:t>
            </w:r>
          </w:p>
        </w:tc>
      </w:tr>
      <w:tr w:rsidR="009B3211" w:rsidTr="00A5476B">
        <w:tc>
          <w:tcPr>
            <w:tcW w:w="0" w:type="auto"/>
            <w:vAlign w:val="center"/>
          </w:tcPr>
          <w:p w:rsidR="009B3211" w:rsidRDefault="00BC36E5" w:rsidP="00A5476B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>1-compartment</w:t>
            </w:r>
            <w:r w:rsidR="009B3211" w:rsidRPr="00071CC3">
              <w:rPr>
                <w:rFonts w:cstheme="minorHAnsi"/>
              </w:rPr>
              <w:t xml:space="preserve"> - ”Edited”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</w:rPr>
              <w:t>-193.0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</w:rPr>
              <w:t>285.3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</w:rPr>
              <w:t>288.8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</w:rPr>
              <w:t>21.0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</w:rPr>
              <w:t>87.</w:t>
            </w:r>
            <w:r>
              <w:rPr>
                <w:rFonts w:cstheme="minorHAnsi"/>
              </w:rPr>
              <w:t>1</w:t>
            </w:r>
          </w:p>
        </w:tc>
      </w:tr>
      <w:tr w:rsidR="009B3211" w:rsidTr="00A5476B">
        <w:tc>
          <w:tcPr>
            <w:tcW w:w="0" w:type="auto"/>
            <w:vAlign w:val="center"/>
          </w:tcPr>
          <w:p w:rsidR="009B3211" w:rsidRDefault="00BC36E5" w:rsidP="00A5476B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>2-compartment</w:t>
            </w:r>
            <w:r w:rsidR="009B3211" w:rsidRPr="00071CC3">
              <w:rPr>
                <w:rFonts w:cstheme="minorHAnsi"/>
              </w:rPr>
              <w:t xml:space="preserve"> - ”All”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</w:rPr>
              <w:t>-190.0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</w:rPr>
              <w:t>390.0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</w:rPr>
              <w:t>396.1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</w:rPr>
              <w:t>20.0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</w:rPr>
              <w:t>540.9</w:t>
            </w:r>
          </w:p>
        </w:tc>
      </w:tr>
      <w:tr w:rsidR="009B3211" w:rsidTr="00A5476B">
        <w:tc>
          <w:tcPr>
            <w:tcW w:w="0" w:type="auto"/>
            <w:vAlign w:val="center"/>
          </w:tcPr>
          <w:p w:rsidR="009B3211" w:rsidRDefault="00BC36E5" w:rsidP="00A5476B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>2-compartment</w:t>
            </w:r>
            <w:r w:rsidR="009B3211" w:rsidRPr="00071CC3">
              <w:rPr>
                <w:rFonts w:cstheme="minorHAnsi"/>
              </w:rPr>
              <w:t xml:space="preserve"> - ”Edited”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</w:rPr>
              <w:t>-129.</w:t>
            </w:r>
            <w:r>
              <w:rPr>
                <w:rFonts w:cstheme="minorHAnsi"/>
              </w:rPr>
              <w:t>6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</w:rPr>
              <w:t>269.1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</w:rPr>
              <w:t>275.0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</w:rPr>
              <w:t>19.0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</w:rPr>
              <w:t>60.1</w:t>
            </w:r>
          </w:p>
        </w:tc>
      </w:tr>
      <w:tr w:rsidR="009B3211" w:rsidTr="00A5476B">
        <w:tc>
          <w:tcPr>
            <w:tcW w:w="0" w:type="auto"/>
            <w:vAlign w:val="center"/>
          </w:tcPr>
          <w:p w:rsidR="009B3211" w:rsidRDefault="00BC36E5" w:rsidP="00A5476B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>3-compartment</w:t>
            </w:r>
            <w:r w:rsidR="009B3211" w:rsidRPr="00071CC3">
              <w:rPr>
                <w:rFonts w:cstheme="minorHAnsi"/>
              </w:rPr>
              <w:t xml:space="preserve"> - ”All”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</w:rPr>
              <w:t>-193.0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</w:rPr>
              <w:t>400.0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</w:rPr>
              <w:t>408.</w:t>
            </w:r>
            <w:r>
              <w:rPr>
                <w:rFonts w:cstheme="minorHAnsi"/>
              </w:rPr>
              <w:t>6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</w:rPr>
              <w:t>18.0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</w:rPr>
              <w:t>642.98</w:t>
            </w:r>
          </w:p>
        </w:tc>
      </w:tr>
      <w:tr w:rsidR="009B3211" w:rsidTr="00A5476B">
        <w:tc>
          <w:tcPr>
            <w:tcW w:w="0" w:type="auto"/>
            <w:vAlign w:val="center"/>
          </w:tcPr>
          <w:p w:rsidR="009B3211" w:rsidRDefault="00BC36E5" w:rsidP="00A5476B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>3-compartment</w:t>
            </w:r>
            <w:r w:rsidR="009B3211" w:rsidRPr="00071CC3">
              <w:rPr>
                <w:rFonts w:cstheme="minorHAnsi"/>
              </w:rPr>
              <w:t xml:space="preserve">  - “Edited”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</w:rPr>
              <w:t>-128.</w:t>
            </w:r>
            <w:r>
              <w:rPr>
                <w:rFonts w:cstheme="minorHAnsi"/>
              </w:rPr>
              <w:t>5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</w:rPr>
              <w:t>270.8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</w:rPr>
              <w:t>279.</w:t>
            </w:r>
            <w:r>
              <w:rPr>
                <w:rFonts w:cstheme="minorHAnsi"/>
              </w:rPr>
              <w:t>1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</w:rPr>
              <w:t>17.0</w:t>
            </w:r>
          </w:p>
        </w:tc>
        <w:tc>
          <w:tcPr>
            <w:tcW w:w="0" w:type="auto"/>
            <w:vAlign w:val="center"/>
          </w:tcPr>
          <w:p w:rsidR="009B3211" w:rsidRDefault="009B3211" w:rsidP="00A54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</w:rPr>
            </w:pPr>
            <w:r w:rsidRPr="00071CC3">
              <w:rPr>
                <w:rFonts w:cstheme="minorHAnsi"/>
              </w:rPr>
              <w:t>60.59</w:t>
            </w:r>
          </w:p>
        </w:tc>
      </w:tr>
    </w:tbl>
    <w:p w:rsidR="00E16AA2" w:rsidRDefault="009B3211" w:rsidP="009B321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Table legend: Comparison of fit and error criteria for 1, 2, and </w:t>
      </w:r>
      <w:r w:rsidR="00BC36E5">
        <w:rPr>
          <w:rFonts w:cstheme="minorHAnsi"/>
        </w:rPr>
        <w:t>3-compartment</w:t>
      </w:r>
      <w:r>
        <w:rPr>
          <w:rFonts w:cstheme="minorHAnsi"/>
        </w:rPr>
        <w:t xml:space="preserve"> PK modeling of both the “All” and “Edited” datasets, showing best fit with </w:t>
      </w:r>
      <w:r w:rsidR="00BC36E5">
        <w:rPr>
          <w:rFonts w:cstheme="minorHAnsi"/>
        </w:rPr>
        <w:t>2-compartment</w:t>
      </w:r>
      <w:r>
        <w:rPr>
          <w:rFonts w:cstheme="minorHAnsi"/>
        </w:rPr>
        <w:t xml:space="preserve"> modeling of the “Edited” data. AIC = Akaike Information Criterion, BIC = Bayesian Information Criterion, DFE = degrees of freedom for error, RMSE = root mean square error</w:t>
      </w:r>
    </w:p>
    <w:p w:rsidR="009B3211" w:rsidRDefault="009B3211" w:rsidP="00AE5A4F">
      <w:pPr>
        <w:autoSpaceDE w:val="0"/>
        <w:autoSpaceDN w:val="0"/>
        <w:adjustRightInd w:val="0"/>
        <w:spacing w:before="160" w:line="480" w:lineRule="auto"/>
        <w:rPr>
          <w:rFonts w:cstheme="minorHAnsi"/>
          <w:b/>
        </w:rPr>
      </w:pPr>
      <w:r>
        <w:rPr>
          <w:rFonts w:cstheme="minorHAnsi"/>
          <w:b/>
        </w:rPr>
        <w:t xml:space="preserve">Additional File 3, Figure 1: Diagram and expressions for the </w:t>
      </w:r>
      <w:r w:rsidR="00936B1B">
        <w:rPr>
          <w:rFonts w:cstheme="minorHAnsi"/>
          <w:b/>
        </w:rPr>
        <w:t xml:space="preserve">selected </w:t>
      </w:r>
      <w:r w:rsidR="00BC36E5">
        <w:rPr>
          <w:rFonts w:cstheme="minorHAnsi"/>
          <w:b/>
        </w:rPr>
        <w:t>2-compartment</w:t>
      </w:r>
      <w:r>
        <w:rPr>
          <w:rFonts w:cstheme="minorHAnsi"/>
          <w:b/>
        </w:rPr>
        <w:t xml:space="preserve"> model </w:t>
      </w:r>
    </w:p>
    <w:p w:rsidR="009B64C9" w:rsidRPr="00846E12" w:rsidRDefault="009B3211" w:rsidP="00846E12">
      <w:pPr>
        <w:autoSpaceDE w:val="0"/>
        <w:autoSpaceDN w:val="0"/>
        <w:adjustRightInd w:val="0"/>
        <w:spacing w:after="0" w:line="480" w:lineRule="auto"/>
        <w:rPr>
          <w:rFonts w:cstheme="minorHAnsi"/>
          <w:b/>
        </w:rPr>
      </w:pPr>
      <w:r>
        <w:rPr>
          <w:rFonts w:cstheme="minorHAnsi"/>
          <w:b/>
          <w:noProof/>
        </w:rPr>
        <w:drawing>
          <wp:inline distT="0" distB="0" distL="0" distR="0">
            <wp:extent cx="5943600" cy="16440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04-09 at 2.41.42 PM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64C9" w:rsidRPr="00846E12" w:rsidSect="00795E45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45F" w:rsidRDefault="00E5045F">
      <w:pPr>
        <w:spacing w:after="0" w:line="240" w:lineRule="auto"/>
      </w:pPr>
      <w:r>
        <w:separator/>
      </w:r>
    </w:p>
  </w:endnote>
  <w:endnote w:type="continuationSeparator" w:id="0">
    <w:p w:rsidR="00E5045F" w:rsidRDefault="00E50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1876192625"/>
      <w:docPartObj>
        <w:docPartGallery w:val="Page Numbers (Bottom of Page)"/>
        <w:docPartUnique/>
      </w:docPartObj>
    </w:sdtPr>
    <w:sdtContent>
      <w:p w:rsidR="00A5476B" w:rsidRDefault="00214051" w:rsidP="0074165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A5476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A5476B" w:rsidRDefault="00A5476B" w:rsidP="00CE166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76B" w:rsidRDefault="00A5476B" w:rsidP="00CE166A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45F" w:rsidRDefault="00E5045F">
      <w:pPr>
        <w:spacing w:after="0" w:line="240" w:lineRule="auto"/>
      </w:pPr>
      <w:r>
        <w:separator/>
      </w:r>
    </w:p>
  </w:footnote>
  <w:footnote w:type="continuationSeparator" w:id="0">
    <w:p w:rsidR="00E5045F" w:rsidRDefault="00E50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1413043047"/>
      <w:docPartObj>
        <w:docPartGallery w:val="Page Numbers (Top of Page)"/>
        <w:docPartUnique/>
      </w:docPartObj>
    </w:sdtPr>
    <w:sdtContent>
      <w:p w:rsidR="0074165B" w:rsidRDefault="00214051" w:rsidP="00DF376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74165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118596768"/>
      <w:docPartObj>
        <w:docPartGallery w:val="Page Numbers (Top of Page)"/>
        <w:docPartUnique/>
      </w:docPartObj>
    </w:sdtPr>
    <w:sdtContent>
      <w:p w:rsidR="0074165B" w:rsidRDefault="00214051" w:rsidP="0074165B">
        <w:pPr>
          <w:pStyle w:val="Head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 w:rsidR="0074165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784960362"/>
      <w:docPartObj>
        <w:docPartGallery w:val="Page Numbers (Top of Page)"/>
        <w:docPartUnique/>
      </w:docPartObj>
    </w:sdtPr>
    <w:sdtContent>
      <w:p w:rsidR="0074165B" w:rsidRDefault="00214051" w:rsidP="0074165B">
        <w:pPr>
          <w:pStyle w:val="Head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 w:rsidR="0074165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74165B" w:rsidRDefault="0074165B" w:rsidP="0074165B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76B" w:rsidRDefault="00A5476B" w:rsidP="0074165B">
    <w:pPr>
      <w:pStyle w:val="Header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7C0B"/>
    <w:rsid w:val="000365A1"/>
    <w:rsid w:val="00070D92"/>
    <w:rsid w:val="00071CC3"/>
    <w:rsid w:val="00083143"/>
    <w:rsid w:val="00095A38"/>
    <w:rsid w:val="000A30CE"/>
    <w:rsid w:val="000B622A"/>
    <w:rsid w:val="000D23F6"/>
    <w:rsid w:val="000F5618"/>
    <w:rsid w:val="00107362"/>
    <w:rsid w:val="00142A02"/>
    <w:rsid w:val="00146ED2"/>
    <w:rsid w:val="0015432F"/>
    <w:rsid w:val="001715B1"/>
    <w:rsid w:val="001874DE"/>
    <w:rsid w:val="001B3731"/>
    <w:rsid w:val="001D31C0"/>
    <w:rsid w:val="00211F23"/>
    <w:rsid w:val="00214051"/>
    <w:rsid w:val="00257B00"/>
    <w:rsid w:val="00276F25"/>
    <w:rsid w:val="002937A4"/>
    <w:rsid w:val="002A2C62"/>
    <w:rsid w:val="002A3D4C"/>
    <w:rsid w:val="002C1EC1"/>
    <w:rsid w:val="002D5601"/>
    <w:rsid w:val="002F489F"/>
    <w:rsid w:val="002F70A8"/>
    <w:rsid w:val="00325551"/>
    <w:rsid w:val="0035533D"/>
    <w:rsid w:val="00366333"/>
    <w:rsid w:val="0038715D"/>
    <w:rsid w:val="0040795E"/>
    <w:rsid w:val="004942CD"/>
    <w:rsid w:val="004C4412"/>
    <w:rsid w:val="004E2585"/>
    <w:rsid w:val="00520B93"/>
    <w:rsid w:val="00524C12"/>
    <w:rsid w:val="00590D12"/>
    <w:rsid w:val="005A22AE"/>
    <w:rsid w:val="005A5004"/>
    <w:rsid w:val="005B53F9"/>
    <w:rsid w:val="005C07FE"/>
    <w:rsid w:val="005C182A"/>
    <w:rsid w:val="005C7AA4"/>
    <w:rsid w:val="00601FA3"/>
    <w:rsid w:val="00606784"/>
    <w:rsid w:val="00627D09"/>
    <w:rsid w:val="006A4CA1"/>
    <w:rsid w:val="006B7F50"/>
    <w:rsid w:val="006E2ECD"/>
    <w:rsid w:val="00717D5C"/>
    <w:rsid w:val="00720BBF"/>
    <w:rsid w:val="00735291"/>
    <w:rsid w:val="0074165B"/>
    <w:rsid w:val="00795E45"/>
    <w:rsid w:val="007A1B3B"/>
    <w:rsid w:val="007B161B"/>
    <w:rsid w:val="007C7993"/>
    <w:rsid w:val="007D24E8"/>
    <w:rsid w:val="007D7E33"/>
    <w:rsid w:val="008233C7"/>
    <w:rsid w:val="00846E12"/>
    <w:rsid w:val="008713F5"/>
    <w:rsid w:val="00872DA1"/>
    <w:rsid w:val="00887311"/>
    <w:rsid w:val="008C746C"/>
    <w:rsid w:val="008E3059"/>
    <w:rsid w:val="00911968"/>
    <w:rsid w:val="009213FC"/>
    <w:rsid w:val="00932CA1"/>
    <w:rsid w:val="00936B1B"/>
    <w:rsid w:val="0094208D"/>
    <w:rsid w:val="0094478F"/>
    <w:rsid w:val="0097769F"/>
    <w:rsid w:val="009B1984"/>
    <w:rsid w:val="009B3211"/>
    <w:rsid w:val="009B64C9"/>
    <w:rsid w:val="009D0E5B"/>
    <w:rsid w:val="009D437F"/>
    <w:rsid w:val="009D4C92"/>
    <w:rsid w:val="00A25BB1"/>
    <w:rsid w:val="00A26C3C"/>
    <w:rsid w:val="00A37A8B"/>
    <w:rsid w:val="00A5476B"/>
    <w:rsid w:val="00A76046"/>
    <w:rsid w:val="00A833B2"/>
    <w:rsid w:val="00A914E9"/>
    <w:rsid w:val="00AA4C5D"/>
    <w:rsid w:val="00AE5A4F"/>
    <w:rsid w:val="00B07C0B"/>
    <w:rsid w:val="00B53C09"/>
    <w:rsid w:val="00B53F23"/>
    <w:rsid w:val="00B54DB1"/>
    <w:rsid w:val="00B574AE"/>
    <w:rsid w:val="00B71D4C"/>
    <w:rsid w:val="00BA3D3B"/>
    <w:rsid w:val="00BA6EF6"/>
    <w:rsid w:val="00BC36E5"/>
    <w:rsid w:val="00C201C9"/>
    <w:rsid w:val="00C57824"/>
    <w:rsid w:val="00C6631E"/>
    <w:rsid w:val="00CA2406"/>
    <w:rsid w:val="00CA5765"/>
    <w:rsid w:val="00CA7AB0"/>
    <w:rsid w:val="00CC0648"/>
    <w:rsid w:val="00CE166A"/>
    <w:rsid w:val="00D248A2"/>
    <w:rsid w:val="00D35BAB"/>
    <w:rsid w:val="00D56F01"/>
    <w:rsid w:val="00D831D3"/>
    <w:rsid w:val="00DA3698"/>
    <w:rsid w:val="00DA3C1C"/>
    <w:rsid w:val="00DE24F3"/>
    <w:rsid w:val="00E11933"/>
    <w:rsid w:val="00E16AA2"/>
    <w:rsid w:val="00E30CB3"/>
    <w:rsid w:val="00E422E4"/>
    <w:rsid w:val="00E5045F"/>
    <w:rsid w:val="00E537D4"/>
    <w:rsid w:val="00E62EEC"/>
    <w:rsid w:val="00E76164"/>
    <w:rsid w:val="00E83D42"/>
    <w:rsid w:val="00EE46C0"/>
    <w:rsid w:val="00F27D78"/>
    <w:rsid w:val="00FE2552"/>
    <w:rsid w:val="00FE4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C0B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7C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C0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7C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C0B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B07C0B"/>
  </w:style>
  <w:style w:type="paragraph" w:styleId="BalloonText">
    <w:name w:val="Balloon Text"/>
    <w:basedOn w:val="Normal"/>
    <w:link w:val="BalloonTextChar"/>
    <w:uiPriority w:val="99"/>
    <w:semiHidden/>
    <w:unhideWhenUsed/>
    <w:rsid w:val="00B07C0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C0B"/>
    <w:rPr>
      <w:rFonts w:ascii="Times New Roman" w:hAnsi="Times New Roman" w:cs="Times New Roman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B07C0B"/>
  </w:style>
  <w:style w:type="table" w:styleId="TableGrid">
    <w:name w:val="Table Grid"/>
    <w:basedOn w:val="TableNormal"/>
    <w:uiPriority w:val="39"/>
    <w:rsid w:val="009776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9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smilkste@gmail.com</dc:creator>
  <cp:keywords/>
  <dc:description/>
  <cp:lastModifiedBy>0011692</cp:lastModifiedBy>
  <cp:revision>8</cp:revision>
  <dcterms:created xsi:type="dcterms:W3CDTF">2019-04-10T05:43:00Z</dcterms:created>
  <dcterms:modified xsi:type="dcterms:W3CDTF">2019-08-20T02:39:00Z</dcterms:modified>
</cp:coreProperties>
</file>