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86" w:rsidRPr="00CC26E5" w:rsidRDefault="001F6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</w:t>
      </w:r>
      <w:r w:rsidR="009A29A1" w:rsidRPr="00CC26E5">
        <w:rPr>
          <w:rFonts w:ascii="Times New Roman" w:hAnsi="Times New Roman" w:cs="Times New Roman"/>
        </w:rPr>
        <w:t>data Bolton et al.</w:t>
      </w:r>
    </w:p>
    <w:p w:rsidR="009A29A1" w:rsidRPr="00CC26E5" w:rsidRDefault="009A29A1">
      <w:pPr>
        <w:rPr>
          <w:rFonts w:ascii="Times New Roman" w:hAnsi="Times New Roman" w:cs="Times New Roman"/>
        </w:rPr>
      </w:pPr>
    </w:p>
    <w:p w:rsidR="00F8656D" w:rsidRPr="00CC26E5" w:rsidRDefault="0006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73109" cy="3641124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Bolton et al R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057" cy="3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6E5" w:rsidRDefault="00CC26E5">
      <w:pPr>
        <w:rPr>
          <w:rFonts w:ascii="Times New Roman" w:hAnsi="Times New Roman" w:cs="Times New Roman"/>
        </w:rPr>
      </w:pPr>
    </w:p>
    <w:p w:rsidR="009A29A1" w:rsidRPr="00CC26E5" w:rsidRDefault="001F67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1:</w:t>
      </w:r>
      <w:r w:rsidR="009A29A1" w:rsidRPr="00CC26E5">
        <w:rPr>
          <w:rFonts w:ascii="Times New Roman" w:hAnsi="Times New Roman" w:cs="Times New Roman"/>
        </w:rPr>
        <w:t xml:space="preserve"> Figure </w:t>
      </w:r>
      <w:proofErr w:type="spellStart"/>
      <w:r>
        <w:rPr>
          <w:rFonts w:ascii="Times New Roman" w:hAnsi="Times New Roman" w:cs="Times New Roman"/>
        </w:rPr>
        <w:t>S</w:t>
      </w:r>
      <w:r w:rsidR="009A29A1" w:rsidRPr="00CC26E5">
        <w:rPr>
          <w:rFonts w:ascii="Times New Roman" w:hAnsi="Times New Roman" w:cs="Times New Roman"/>
        </w:rPr>
        <w:t>1</w:t>
      </w:r>
      <w:proofErr w:type="spellEnd"/>
      <w:r w:rsidR="009A29A1" w:rsidRPr="00CC26E5">
        <w:rPr>
          <w:rFonts w:ascii="Times New Roman" w:hAnsi="Times New Roman" w:cs="Times New Roman"/>
        </w:rPr>
        <w:t>. Overview of ECLIA assay platform. (Panel A) Experimental steps for assay setup. Biotinylated antigens are coupled with proprietary U-PLEX linkers in separate tubes. Once coupling is complete, U-PLEX-</w:t>
      </w:r>
      <w:r w:rsidR="00F8656D" w:rsidRPr="00CC26E5">
        <w:rPr>
          <w:rFonts w:ascii="Times New Roman" w:hAnsi="Times New Roman" w:cs="Times New Roman"/>
        </w:rPr>
        <w:t xml:space="preserve">coupled </w:t>
      </w:r>
      <w:r w:rsidR="009A29A1" w:rsidRPr="00CC26E5">
        <w:rPr>
          <w:rFonts w:ascii="Times New Roman" w:hAnsi="Times New Roman" w:cs="Times New Roman"/>
        </w:rPr>
        <w:t xml:space="preserve">antigens are combined into a cocktail and the assay plates coated. Each U-PLEX linker can only bind to </w:t>
      </w:r>
      <w:r w:rsidR="00F8656D" w:rsidRPr="00CC26E5">
        <w:rPr>
          <w:rFonts w:ascii="Times New Roman" w:hAnsi="Times New Roman" w:cs="Times New Roman"/>
        </w:rPr>
        <w:t xml:space="preserve">its </w:t>
      </w:r>
      <w:r w:rsidR="009A29A1" w:rsidRPr="00CC26E5">
        <w:rPr>
          <w:rFonts w:ascii="Times New Roman" w:hAnsi="Times New Roman" w:cs="Times New Roman"/>
        </w:rPr>
        <w:t>respective spot (color coded in Figure); up to 10 antigens can be coated per well (top view plate well). (Panel B) Overview of all steps to complete the assay: antigen-coated wells are incubated with diluted serum or p</w:t>
      </w:r>
      <w:bookmarkStart w:id="0" w:name="_GoBack"/>
      <w:bookmarkEnd w:id="0"/>
      <w:r w:rsidR="009A29A1" w:rsidRPr="00CC26E5">
        <w:rPr>
          <w:rFonts w:ascii="Times New Roman" w:hAnsi="Times New Roman" w:cs="Times New Roman"/>
        </w:rPr>
        <w:t xml:space="preserve">lasma. Antigen-specific antibodies will bind to the antigen and the binding visualized by adding a Sulfo-Tag-labeled secondary antibody and </w:t>
      </w:r>
      <w:r w:rsidR="00F8656D" w:rsidRPr="00CC26E5">
        <w:rPr>
          <w:rFonts w:ascii="Times New Roman" w:hAnsi="Times New Roman" w:cs="Times New Roman"/>
        </w:rPr>
        <w:t>substrate. (Panel C) Data acquisition. Plate is inserted into reader which will deliver an electric pulse that activates the substrate. A high resolution camera measures the luminescence above each spot.</w:t>
      </w:r>
    </w:p>
    <w:sectPr w:rsidR="009A29A1" w:rsidRPr="00CC26E5" w:rsidSect="00733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A29A1"/>
    <w:rsid w:val="00061ED0"/>
    <w:rsid w:val="001F6786"/>
    <w:rsid w:val="00361F8A"/>
    <w:rsid w:val="00733BFC"/>
    <w:rsid w:val="009A29A1"/>
    <w:rsid w:val="00AB30B3"/>
    <w:rsid w:val="00CC26E5"/>
    <w:rsid w:val="00E22594"/>
    <w:rsid w:val="00F8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 Leitner, Elke S CIV USARMY MEDCOM WRAIR (US)</dc:creator>
  <cp:keywords/>
  <dc:description/>
  <cp:lastModifiedBy>Jasmine H.</cp:lastModifiedBy>
  <cp:revision>3</cp:revision>
  <dcterms:created xsi:type="dcterms:W3CDTF">2020-03-24T22:05:00Z</dcterms:created>
  <dcterms:modified xsi:type="dcterms:W3CDTF">2020-04-08T11:42:00Z</dcterms:modified>
</cp:coreProperties>
</file>