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B7" w:rsidRDefault="009763B7" w:rsidP="009763B7">
      <w:pPr>
        <w:keepNext/>
        <w:rPr>
          <w:rFonts w:ascii="Arial" w:hAnsi="Arial" w:cs="Arial"/>
          <w:noProof/>
        </w:rPr>
      </w:pPr>
    </w:p>
    <w:p w:rsidR="0003459E" w:rsidRDefault="009763B7" w:rsidP="009763B7">
      <w:pPr>
        <w:keepNext/>
      </w:pPr>
      <w:r>
        <w:rPr>
          <w:rFonts w:ascii="Arial" w:hAnsi="Arial" w:cs="Arial"/>
          <w:noProof/>
        </w:rPr>
        <w:drawing>
          <wp:inline distT="0" distB="0" distL="0" distR="0">
            <wp:extent cx="5330638" cy="7628021"/>
            <wp:effectExtent l="0" t="0" r="381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ODV2.pdf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683" cy="763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 w:themeColor="text1"/>
        </w:rPr>
        <w:t xml:space="preserve">Additional file 2: </w:t>
      </w:r>
      <w:r w:rsidRPr="006149DD">
        <w:rPr>
          <w:rFonts w:ascii="Arial" w:hAnsi="Arial" w:cs="Arial"/>
          <w:b/>
          <w:bCs/>
          <w:color w:val="000000" w:themeColor="text1"/>
        </w:rPr>
        <w:t>Varying confirmatory evidence to attribute deaths</w:t>
      </w:r>
      <w:r>
        <w:rPr>
          <w:rFonts w:ascii="Arial" w:hAnsi="Arial" w:cs="Arial"/>
          <w:b/>
          <w:bCs/>
          <w:color w:val="000000" w:themeColor="text1"/>
        </w:rPr>
        <w:t>.</w:t>
      </w:r>
    </w:p>
    <w:sectPr w:rsidR="0003459E" w:rsidSect="00F74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20"/>
  <w:characterSpacingControl w:val="doNotCompress"/>
  <w:compat/>
  <w:rsids>
    <w:rsidRoot w:val="009763B7"/>
    <w:rsid w:val="0003459E"/>
    <w:rsid w:val="002739E7"/>
    <w:rsid w:val="009763B7"/>
    <w:rsid w:val="00E9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63B7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CS0221</dc:creator>
  <cp:lastModifiedBy>CS0221</cp:lastModifiedBy>
  <cp:revision>1</cp:revision>
  <dcterms:created xsi:type="dcterms:W3CDTF">2020-06-16T05:35:00Z</dcterms:created>
  <dcterms:modified xsi:type="dcterms:W3CDTF">2020-06-16T05:35:00Z</dcterms:modified>
</cp:coreProperties>
</file>