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5A361" w14:textId="1A320365" w:rsidR="00E7529D" w:rsidRPr="00202E67" w:rsidRDefault="005B4D7D" w:rsidP="00E7529D">
      <w:pPr>
        <w:pStyle w:val="NormalWeb"/>
        <w:keepNext/>
        <w:rPr>
          <w:rFonts w:ascii="Times" w:hAnsi="Times" w:cs="Calibri"/>
          <w:b/>
          <w:bCs/>
          <w:color w:val="000000" w:themeColor="text1"/>
        </w:rPr>
      </w:pPr>
      <w:bookmarkStart w:id="0" w:name="_Toc53389859"/>
      <w:bookmarkStart w:id="1" w:name="_GoBack"/>
      <w:r>
        <w:rPr>
          <w:rFonts w:ascii="Times" w:hAnsi="Times" w:cs="Calibri"/>
          <w:b/>
          <w:color w:val="000000" w:themeColor="text1"/>
        </w:rPr>
        <w:t xml:space="preserve">Additional file 2: </w:t>
      </w:r>
      <w:r w:rsidR="00E7529D" w:rsidRPr="00202E67">
        <w:rPr>
          <w:rFonts w:ascii="Times" w:hAnsi="Times" w:cs="Calibri"/>
          <w:bCs/>
          <w:color w:val="000000" w:themeColor="text1"/>
        </w:rPr>
        <w:t xml:space="preserve"> Summary of publications discussing insecticide-treated bed net (ITN) use (n=</w:t>
      </w:r>
      <w:r w:rsidR="00E7529D" w:rsidRPr="005325E1">
        <w:rPr>
          <w:rFonts w:ascii="Times" w:hAnsi="Times" w:cs="Calibri"/>
          <w:color w:val="000000" w:themeColor="text1"/>
        </w:rPr>
        <w:t>18</w:t>
      </w:r>
      <w:r w:rsidR="00E7529D" w:rsidRPr="00202E67">
        <w:rPr>
          <w:rFonts w:ascii="Times" w:hAnsi="Times" w:cs="Calibri"/>
          <w:color w:val="000000" w:themeColor="text1"/>
        </w:rPr>
        <w:t>).</w:t>
      </w:r>
      <w:bookmarkEnd w:id="0"/>
    </w:p>
    <w:tbl>
      <w:tblPr>
        <w:tblW w:w="12474" w:type="dxa"/>
        <w:tblLayout w:type="fixed"/>
        <w:tblLook w:val="0600" w:firstRow="0" w:lastRow="0" w:firstColumn="0" w:lastColumn="0" w:noHBand="1" w:noVBand="1"/>
      </w:tblPr>
      <w:tblGrid>
        <w:gridCol w:w="1276"/>
        <w:gridCol w:w="1276"/>
        <w:gridCol w:w="1418"/>
        <w:gridCol w:w="1417"/>
        <w:gridCol w:w="1418"/>
        <w:gridCol w:w="2834"/>
        <w:gridCol w:w="2835"/>
      </w:tblGrid>
      <w:tr w:rsidR="00E7529D" w:rsidRPr="00334394" w14:paraId="69805A36" w14:textId="77777777" w:rsidTr="004A188C">
        <w:trPr>
          <w:trHeight w:val="20"/>
        </w:trPr>
        <w:tc>
          <w:tcPr>
            <w:tcW w:w="1276" w:type="dxa"/>
            <w:tcBorders>
              <w:top w:val="single" w:sz="4" w:space="0" w:color="auto"/>
            </w:tcBorders>
            <w:shd w:val="clear" w:color="auto" w:fill="auto"/>
            <w:tcMar>
              <w:top w:w="100" w:type="dxa"/>
              <w:left w:w="100" w:type="dxa"/>
              <w:bottom w:w="100" w:type="dxa"/>
              <w:right w:w="100" w:type="dxa"/>
            </w:tcMar>
          </w:tcPr>
          <w:p w14:paraId="6CB96C38" w14:textId="77777777" w:rsidR="00E7529D" w:rsidRPr="00334394" w:rsidRDefault="00E7529D" w:rsidP="004A188C">
            <w:pPr>
              <w:widowControl w:val="0"/>
              <w:rPr>
                <w:rFonts w:ascii="Times" w:hAnsi="Times" w:cs="Calibri"/>
                <w:b/>
                <w:color w:val="000000" w:themeColor="text1"/>
                <w:sz w:val="22"/>
                <w:szCs w:val="22"/>
              </w:rPr>
            </w:pPr>
            <w:r w:rsidRPr="00334394">
              <w:rPr>
                <w:rFonts w:ascii="Times" w:hAnsi="Times" w:cs="Calibri"/>
                <w:b/>
                <w:color w:val="000000" w:themeColor="text1"/>
                <w:sz w:val="22"/>
                <w:szCs w:val="22"/>
              </w:rPr>
              <w:t>Reference</w:t>
            </w:r>
          </w:p>
        </w:tc>
        <w:tc>
          <w:tcPr>
            <w:tcW w:w="1276" w:type="dxa"/>
            <w:tcBorders>
              <w:top w:val="single" w:sz="4" w:space="0" w:color="auto"/>
            </w:tcBorders>
          </w:tcPr>
          <w:p w14:paraId="20799216" w14:textId="77777777" w:rsidR="00E7529D" w:rsidRPr="00334394" w:rsidRDefault="00E7529D" w:rsidP="004A188C">
            <w:pPr>
              <w:widowControl w:val="0"/>
              <w:ind w:right="-107"/>
              <w:rPr>
                <w:rFonts w:ascii="Times" w:hAnsi="Times" w:cs="Calibri"/>
                <w:b/>
                <w:color w:val="000000" w:themeColor="text1"/>
                <w:sz w:val="22"/>
                <w:szCs w:val="22"/>
              </w:rPr>
            </w:pPr>
            <w:r w:rsidRPr="00334394">
              <w:rPr>
                <w:rFonts w:ascii="Times" w:hAnsi="Times" w:cs="Calibri"/>
                <w:b/>
                <w:color w:val="000000" w:themeColor="text1"/>
                <w:sz w:val="22"/>
                <w:szCs w:val="22"/>
              </w:rPr>
              <w:t xml:space="preserve">Location </w:t>
            </w:r>
          </w:p>
        </w:tc>
        <w:tc>
          <w:tcPr>
            <w:tcW w:w="1418" w:type="dxa"/>
            <w:tcBorders>
              <w:top w:val="single" w:sz="4" w:space="0" w:color="auto"/>
            </w:tcBorders>
          </w:tcPr>
          <w:p w14:paraId="72E625A3" w14:textId="77777777" w:rsidR="00E7529D" w:rsidRPr="00334394" w:rsidRDefault="00E7529D" w:rsidP="004A188C">
            <w:pPr>
              <w:widowControl w:val="0"/>
              <w:rPr>
                <w:rFonts w:ascii="Times" w:hAnsi="Times" w:cs="Calibri"/>
                <w:b/>
                <w:color w:val="000000" w:themeColor="text1"/>
                <w:sz w:val="22"/>
                <w:szCs w:val="22"/>
              </w:rPr>
            </w:pPr>
            <w:r w:rsidRPr="00334394">
              <w:rPr>
                <w:rFonts w:ascii="Times" w:hAnsi="Times" w:cs="Calibri"/>
                <w:b/>
                <w:color w:val="000000" w:themeColor="text1"/>
                <w:sz w:val="22"/>
                <w:szCs w:val="22"/>
              </w:rPr>
              <w:t>Population</w:t>
            </w:r>
          </w:p>
        </w:tc>
        <w:tc>
          <w:tcPr>
            <w:tcW w:w="1417" w:type="dxa"/>
            <w:tcBorders>
              <w:top w:val="single" w:sz="4" w:space="0" w:color="auto"/>
            </w:tcBorders>
          </w:tcPr>
          <w:p w14:paraId="023EE1A5" w14:textId="77777777" w:rsidR="00E7529D" w:rsidRPr="00334394" w:rsidRDefault="00E7529D" w:rsidP="004A188C">
            <w:pPr>
              <w:widowControl w:val="0"/>
              <w:rPr>
                <w:rFonts w:ascii="Times" w:hAnsi="Times" w:cs="Calibri"/>
                <w:b/>
                <w:color w:val="000000" w:themeColor="text1"/>
                <w:sz w:val="22"/>
                <w:szCs w:val="22"/>
              </w:rPr>
            </w:pPr>
            <w:r w:rsidRPr="00334394">
              <w:rPr>
                <w:rFonts w:ascii="Times" w:hAnsi="Times" w:cs="Calibri"/>
                <w:b/>
                <w:color w:val="000000" w:themeColor="text1"/>
                <w:sz w:val="22"/>
                <w:szCs w:val="22"/>
              </w:rPr>
              <w:t>Design</w:t>
            </w:r>
          </w:p>
        </w:tc>
        <w:tc>
          <w:tcPr>
            <w:tcW w:w="1418" w:type="dxa"/>
            <w:tcBorders>
              <w:top w:val="single" w:sz="4" w:space="0" w:color="auto"/>
            </w:tcBorders>
          </w:tcPr>
          <w:p w14:paraId="41631B22" w14:textId="77777777" w:rsidR="00E7529D" w:rsidRPr="00334394" w:rsidRDefault="00E7529D" w:rsidP="004A188C">
            <w:pPr>
              <w:widowControl w:val="0"/>
              <w:rPr>
                <w:rFonts w:ascii="Times" w:hAnsi="Times" w:cs="Calibri"/>
                <w:b/>
                <w:color w:val="000000" w:themeColor="text1"/>
                <w:sz w:val="22"/>
                <w:szCs w:val="22"/>
              </w:rPr>
            </w:pPr>
            <w:r w:rsidRPr="00334394">
              <w:rPr>
                <w:rFonts w:ascii="Times" w:hAnsi="Times" w:cs="Calibri"/>
                <w:b/>
                <w:color w:val="000000" w:themeColor="text1"/>
                <w:sz w:val="22"/>
                <w:szCs w:val="22"/>
              </w:rPr>
              <w:t>Statistical analysis</w:t>
            </w:r>
          </w:p>
        </w:tc>
        <w:tc>
          <w:tcPr>
            <w:tcW w:w="2834" w:type="dxa"/>
            <w:tcBorders>
              <w:top w:val="single" w:sz="4" w:space="0" w:color="auto"/>
            </w:tcBorders>
          </w:tcPr>
          <w:p w14:paraId="1214B6EE" w14:textId="77777777" w:rsidR="00E7529D" w:rsidRPr="00334394" w:rsidRDefault="00E7529D" w:rsidP="004A188C">
            <w:pPr>
              <w:widowControl w:val="0"/>
              <w:rPr>
                <w:rFonts w:ascii="Times" w:hAnsi="Times" w:cs="Calibri"/>
                <w:b/>
                <w:color w:val="000000" w:themeColor="text1"/>
                <w:sz w:val="22"/>
                <w:szCs w:val="22"/>
              </w:rPr>
            </w:pPr>
            <w:r w:rsidRPr="00334394">
              <w:rPr>
                <w:rFonts w:ascii="Times" w:hAnsi="Times" w:cs="Calibri"/>
                <w:b/>
                <w:color w:val="000000" w:themeColor="text1"/>
                <w:sz w:val="22"/>
                <w:szCs w:val="22"/>
              </w:rPr>
              <w:t>Publication aims</w:t>
            </w:r>
          </w:p>
          <w:p w14:paraId="3FBA8F32" w14:textId="77777777" w:rsidR="00E7529D" w:rsidRPr="00334394" w:rsidRDefault="00E7529D" w:rsidP="004A188C">
            <w:pPr>
              <w:jc w:val="center"/>
              <w:rPr>
                <w:rFonts w:ascii="Times" w:hAnsi="Times" w:cs="Calibri"/>
                <w:color w:val="000000" w:themeColor="text1"/>
                <w:sz w:val="22"/>
                <w:szCs w:val="22"/>
              </w:rPr>
            </w:pPr>
          </w:p>
        </w:tc>
        <w:tc>
          <w:tcPr>
            <w:tcW w:w="2835" w:type="dxa"/>
            <w:tcBorders>
              <w:top w:val="single" w:sz="4" w:space="0" w:color="auto"/>
            </w:tcBorders>
            <w:shd w:val="clear" w:color="auto" w:fill="auto"/>
            <w:tcMar>
              <w:top w:w="100" w:type="dxa"/>
              <w:left w:w="100" w:type="dxa"/>
              <w:bottom w:w="100" w:type="dxa"/>
              <w:right w:w="100" w:type="dxa"/>
            </w:tcMar>
          </w:tcPr>
          <w:p w14:paraId="7314369F" w14:textId="77777777" w:rsidR="00E7529D" w:rsidRPr="00334394" w:rsidRDefault="00E7529D" w:rsidP="004A188C">
            <w:pPr>
              <w:widowControl w:val="0"/>
              <w:rPr>
                <w:rFonts w:ascii="Times" w:hAnsi="Times" w:cs="Calibri"/>
                <w:b/>
                <w:color w:val="000000" w:themeColor="text1"/>
                <w:sz w:val="22"/>
                <w:szCs w:val="22"/>
              </w:rPr>
            </w:pPr>
            <w:r w:rsidRPr="00334394">
              <w:rPr>
                <w:rFonts w:ascii="Times" w:hAnsi="Times" w:cs="Calibri"/>
                <w:b/>
                <w:color w:val="000000" w:themeColor="text1"/>
                <w:sz w:val="22"/>
                <w:szCs w:val="22"/>
              </w:rPr>
              <w:t xml:space="preserve">Summary </w:t>
            </w:r>
          </w:p>
        </w:tc>
      </w:tr>
      <w:tr w:rsidR="00E7529D" w:rsidRPr="00334394" w14:paraId="1314BB7C" w14:textId="77777777" w:rsidTr="004A188C">
        <w:trPr>
          <w:trHeight w:val="20"/>
        </w:trPr>
        <w:tc>
          <w:tcPr>
            <w:tcW w:w="1276" w:type="dxa"/>
            <w:tcMar>
              <w:top w:w="100" w:type="dxa"/>
              <w:left w:w="100" w:type="dxa"/>
              <w:bottom w:w="100" w:type="dxa"/>
              <w:right w:w="100" w:type="dxa"/>
            </w:tcMar>
          </w:tcPr>
          <w:p w14:paraId="7C11AB8C" w14:textId="50EA07A7"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Aung et al., 2016 </w:t>
            </w:r>
          </w:p>
        </w:tc>
        <w:tc>
          <w:tcPr>
            <w:tcW w:w="1276" w:type="dxa"/>
          </w:tcPr>
          <w:p w14:paraId="4CEF0335"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085AF115"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4679 household heads </w:t>
            </w:r>
          </w:p>
          <w:p w14:paraId="23DF6A87" w14:textId="77777777" w:rsidR="00E7529D" w:rsidRPr="00334394" w:rsidRDefault="00E7529D" w:rsidP="004A188C">
            <w:pPr>
              <w:widowControl w:val="0"/>
              <w:rPr>
                <w:rFonts w:ascii="Times" w:hAnsi="Times" w:cs="Calibri"/>
                <w:color w:val="000000" w:themeColor="text1"/>
                <w:sz w:val="20"/>
                <w:szCs w:val="20"/>
              </w:rPr>
            </w:pPr>
          </w:p>
        </w:tc>
        <w:tc>
          <w:tcPr>
            <w:tcW w:w="1417" w:type="dxa"/>
          </w:tcPr>
          <w:p w14:paraId="4D0683DA"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Cross-sectional</w:t>
            </w:r>
          </w:p>
        </w:tc>
        <w:tc>
          <w:tcPr>
            <w:tcW w:w="1418" w:type="dxa"/>
          </w:tcPr>
          <w:p w14:paraId="0DFD0EA0" w14:textId="77777777" w:rsidR="00E7529D" w:rsidRPr="00334394" w:rsidRDefault="00E7529D" w:rsidP="004A188C">
            <w:pPr>
              <w:autoSpaceDE w:val="0"/>
              <w:autoSpaceDN w:val="0"/>
              <w:adjustRightInd w:val="0"/>
              <w:rPr>
                <w:rFonts w:ascii="Times" w:hAnsi="Times" w:cs="Calibri"/>
                <w:color w:val="000000" w:themeColor="text1"/>
                <w:sz w:val="20"/>
                <w:szCs w:val="20"/>
              </w:rPr>
            </w:pPr>
            <w:r w:rsidRPr="00334394">
              <w:rPr>
                <w:rFonts w:ascii="Times" w:hAnsi="Times" w:cs="Calibri"/>
                <w:color w:val="000000" w:themeColor="text1"/>
                <w:sz w:val="20"/>
                <w:szCs w:val="20"/>
              </w:rPr>
              <w:t>Descriptive statistics, bivariate, multivariate regression</w:t>
            </w:r>
          </w:p>
        </w:tc>
        <w:tc>
          <w:tcPr>
            <w:tcW w:w="2834" w:type="dxa"/>
          </w:tcPr>
          <w:p w14:paraId="4026CE17" w14:textId="77777777" w:rsidR="00E7529D" w:rsidRPr="00334394" w:rsidRDefault="00E7529D" w:rsidP="004A188C">
            <w:pPr>
              <w:autoSpaceDE w:val="0"/>
              <w:autoSpaceDN w:val="0"/>
              <w:adjustRightInd w:val="0"/>
              <w:rPr>
                <w:rFonts w:ascii="Times" w:hAnsi="Times" w:cs="Calibri"/>
                <w:color w:val="000000" w:themeColor="text1"/>
                <w:sz w:val="20"/>
                <w:szCs w:val="20"/>
              </w:rPr>
            </w:pPr>
            <w:r w:rsidRPr="00334394">
              <w:rPr>
                <w:rFonts w:ascii="Times" w:hAnsi="Times" w:cs="Calibri"/>
                <w:color w:val="000000" w:themeColor="text1"/>
                <w:sz w:val="20"/>
                <w:szCs w:val="20"/>
              </w:rPr>
              <w:t>Describe effective ITN ownership and use among all household members and children under five years in eastern Myanmar.</w:t>
            </w:r>
          </w:p>
        </w:tc>
        <w:tc>
          <w:tcPr>
            <w:tcW w:w="2835" w:type="dxa"/>
            <w:tcMar>
              <w:top w:w="100" w:type="dxa"/>
              <w:left w:w="100" w:type="dxa"/>
              <w:bottom w:w="100" w:type="dxa"/>
              <w:right w:w="100" w:type="dxa"/>
            </w:tcMar>
          </w:tcPr>
          <w:p w14:paraId="2BBD2A83"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 xml:space="preserve">Low ITN ownership and use overall, but higher rates of ownership among groups vulnerable to malaria. Malaria knowledge strongly linked to effective ITN use. </w:t>
            </w:r>
          </w:p>
        </w:tc>
      </w:tr>
      <w:tr w:rsidR="00E7529D" w:rsidRPr="00334394" w14:paraId="5FA51EC4" w14:textId="77777777" w:rsidTr="004A188C">
        <w:trPr>
          <w:trHeight w:val="20"/>
        </w:trPr>
        <w:tc>
          <w:tcPr>
            <w:tcW w:w="1276" w:type="dxa"/>
            <w:tcMar>
              <w:top w:w="100" w:type="dxa"/>
              <w:left w:w="100" w:type="dxa"/>
              <w:bottom w:w="100" w:type="dxa"/>
              <w:right w:w="100" w:type="dxa"/>
            </w:tcMar>
          </w:tcPr>
          <w:p w14:paraId="1D6939FF"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Gryseels et al.,</w:t>
            </w:r>
          </w:p>
          <w:p w14:paraId="68E2BD15" w14:textId="3D346A29"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2019 </w:t>
            </w:r>
          </w:p>
        </w:tc>
        <w:tc>
          <w:tcPr>
            <w:tcW w:w="1276" w:type="dxa"/>
          </w:tcPr>
          <w:p w14:paraId="5D7CB97A"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Cambodia</w:t>
            </w:r>
          </w:p>
        </w:tc>
        <w:tc>
          <w:tcPr>
            <w:tcW w:w="1418" w:type="dxa"/>
          </w:tcPr>
          <w:p w14:paraId="14E457E9"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151 community members </w:t>
            </w:r>
          </w:p>
        </w:tc>
        <w:tc>
          <w:tcPr>
            <w:tcW w:w="1417" w:type="dxa"/>
          </w:tcPr>
          <w:p w14:paraId="170D504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Qualitative</w:t>
            </w:r>
          </w:p>
        </w:tc>
        <w:tc>
          <w:tcPr>
            <w:tcW w:w="1418" w:type="dxa"/>
          </w:tcPr>
          <w:p w14:paraId="74CD63F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NA</w:t>
            </w:r>
          </w:p>
        </w:tc>
        <w:tc>
          <w:tcPr>
            <w:tcW w:w="2834" w:type="dxa"/>
          </w:tcPr>
          <w:p w14:paraId="0681196F"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Adapt and expand the concept of appropriateness of bed nets in a malaria control and elimination intervention context. </w:t>
            </w:r>
          </w:p>
        </w:tc>
        <w:tc>
          <w:tcPr>
            <w:tcW w:w="2835" w:type="dxa"/>
            <w:tcMar>
              <w:top w:w="100" w:type="dxa"/>
              <w:left w:w="100" w:type="dxa"/>
              <w:bottom w:w="100" w:type="dxa"/>
              <w:right w:w="100" w:type="dxa"/>
            </w:tcMar>
          </w:tcPr>
          <w:p w14:paraId="21B96003"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Long-lasting insecticide-treated bed nets (LLINs) were not always appropriate to their sociocultural context, which influenced variability in use. </w:t>
            </w:r>
          </w:p>
        </w:tc>
      </w:tr>
      <w:tr w:rsidR="00E7529D" w:rsidRPr="00334394" w14:paraId="1BCC9953" w14:textId="77777777" w:rsidTr="004A188C">
        <w:trPr>
          <w:trHeight w:val="20"/>
        </w:trPr>
        <w:tc>
          <w:tcPr>
            <w:tcW w:w="1276" w:type="dxa"/>
            <w:tcMar>
              <w:top w:w="100" w:type="dxa"/>
              <w:left w:w="100" w:type="dxa"/>
              <w:bottom w:w="100" w:type="dxa"/>
              <w:right w:w="100" w:type="dxa"/>
            </w:tcMar>
          </w:tcPr>
          <w:p w14:paraId="5C9A3093" w14:textId="1ED96E3B"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Gryseels et al.,  2015 </w:t>
            </w:r>
          </w:p>
        </w:tc>
        <w:tc>
          <w:tcPr>
            <w:tcW w:w="1276" w:type="dxa"/>
          </w:tcPr>
          <w:p w14:paraId="22465C6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Cambodia</w:t>
            </w:r>
          </w:p>
        </w:tc>
        <w:tc>
          <w:tcPr>
            <w:tcW w:w="1418" w:type="dxa"/>
          </w:tcPr>
          <w:p w14:paraId="0053D5EE"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300 youth aged 13-17, 246 household leaders</w:t>
            </w:r>
          </w:p>
        </w:tc>
        <w:tc>
          <w:tcPr>
            <w:tcW w:w="1417" w:type="dxa"/>
          </w:tcPr>
          <w:p w14:paraId="2B42BE44"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Qualitative</w:t>
            </w:r>
          </w:p>
        </w:tc>
        <w:tc>
          <w:tcPr>
            <w:tcW w:w="1418" w:type="dxa"/>
          </w:tcPr>
          <w:p w14:paraId="3A89F00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Proportions and tabulations, descriptive statistics</w:t>
            </w:r>
          </w:p>
        </w:tc>
        <w:tc>
          <w:tcPr>
            <w:tcW w:w="2834" w:type="dxa"/>
          </w:tcPr>
          <w:p w14:paraId="58C9FCAE"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Aims to understand sociocultural factors relate to malaria infection among the </w:t>
            </w:r>
            <w:proofErr w:type="spellStart"/>
            <w:r w:rsidRPr="00334394">
              <w:rPr>
                <w:rFonts w:ascii="Times" w:hAnsi="Times" w:cs="Calibri"/>
                <w:color w:val="000000" w:themeColor="text1"/>
                <w:sz w:val="20"/>
                <w:szCs w:val="20"/>
              </w:rPr>
              <w:t>Jarai</w:t>
            </w:r>
            <w:proofErr w:type="spellEnd"/>
            <w:r w:rsidRPr="00334394">
              <w:rPr>
                <w:rFonts w:ascii="Times" w:hAnsi="Times" w:cs="Calibri"/>
                <w:color w:val="000000" w:themeColor="text1"/>
                <w:sz w:val="20"/>
                <w:szCs w:val="20"/>
              </w:rPr>
              <w:t xml:space="preserve"> ethnic population living on both sides of the Cambodia-Vietnam border.  </w:t>
            </w:r>
          </w:p>
        </w:tc>
        <w:tc>
          <w:tcPr>
            <w:tcW w:w="2835" w:type="dxa"/>
            <w:tcMar>
              <w:top w:w="100" w:type="dxa"/>
              <w:left w:w="100" w:type="dxa"/>
              <w:bottom w:w="100" w:type="dxa"/>
              <w:right w:w="100" w:type="dxa"/>
            </w:tcMar>
          </w:tcPr>
          <w:p w14:paraId="57EF8BA2" w14:textId="77777777" w:rsidR="00E7529D" w:rsidRPr="00334394" w:rsidRDefault="00E7529D" w:rsidP="004A188C">
            <w:pPr>
              <w:widowControl w:val="0"/>
              <w:rPr>
                <w:rFonts w:ascii="Times" w:hAnsi="Times" w:cs="Calibri"/>
                <w:color w:val="000000" w:themeColor="text1"/>
                <w:sz w:val="20"/>
                <w:szCs w:val="20"/>
              </w:rPr>
            </w:pPr>
            <w:proofErr w:type="spellStart"/>
            <w:r w:rsidRPr="00334394">
              <w:rPr>
                <w:rFonts w:ascii="Times" w:hAnsi="Times" w:cs="Calibri"/>
                <w:color w:val="000000" w:themeColor="text1"/>
                <w:sz w:val="20"/>
                <w:szCs w:val="20"/>
              </w:rPr>
              <w:t>Jarai</w:t>
            </w:r>
            <w:proofErr w:type="spellEnd"/>
            <w:r w:rsidRPr="00334394">
              <w:rPr>
                <w:rFonts w:ascii="Times" w:hAnsi="Times" w:cs="Calibri"/>
                <w:color w:val="000000" w:themeColor="text1"/>
                <w:sz w:val="20"/>
                <w:szCs w:val="20"/>
              </w:rPr>
              <w:t xml:space="preserve"> youth have low protection from malaria by bed nets due to age-specific sleeping patterns and structures, low bed net use, and cross-border mobility.</w:t>
            </w:r>
          </w:p>
        </w:tc>
      </w:tr>
      <w:tr w:rsidR="00E7529D" w:rsidRPr="00334394" w14:paraId="6D293DEC" w14:textId="77777777" w:rsidTr="004A188C">
        <w:trPr>
          <w:trHeight w:val="20"/>
        </w:trPr>
        <w:tc>
          <w:tcPr>
            <w:tcW w:w="1276" w:type="dxa"/>
            <w:tcMar>
              <w:top w:w="100" w:type="dxa"/>
              <w:left w:w="100" w:type="dxa"/>
              <w:bottom w:w="100" w:type="dxa"/>
              <w:right w:w="100" w:type="dxa"/>
            </w:tcMar>
          </w:tcPr>
          <w:p w14:paraId="1322C5F8" w14:textId="16667DEA" w:rsidR="00E7529D" w:rsidRPr="00334394" w:rsidRDefault="00E7529D" w:rsidP="00DE70D7">
            <w:pPr>
              <w:widowControl w:val="0"/>
              <w:rPr>
                <w:rFonts w:ascii="Times" w:hAnsi="Times" w:cs="Calibri"/>
                <w:color w:val="000000" w:themeColor="text1"/>
                <w:sz w:val="20"/>
                <w:szCs w:val="20"/>
              </w:rPr>
            </w:pPr>
            <w:proofErr w:type="spellStart"/>
            <w:r w:rsidRPr="00334394">
              <w:rPr>
                <w:rFonts w:ascii="Times" w:hAnsi="Times" w:cs="Calibri"/>
                <w:color w:val="000000" w:themeColor="text1"/>
                <w:sz w:val="20"/>
                <w:szCs w:val="20"/>
              </w:rPr>
              <w:t>Kitidamrongsuk</w:t>
            </w:r>
            <w:proofErr w:type="spellEnd"/>
            <w:r w:rsidRPr="00334394">
              <w:rPr>
                <w:rFonts w:ascii="Times" w:hAnsi="Times" w:cs="Calibri"/>
                <w:color w:val="000000" w:themeColor="text1"/>
                <w:sz w:val="20"/>
                <w:szCs w:val="20"/>
              </w:rPr>
              <w:t xml:space="preserve"> et al., 2016 </w:t>
            </w:r>
          </w:p>
        </w:tc>
        <w:tc>
          <w:tcPr>
            <w:tcW w:w="1276" w:type="dxa"/>
          </w:tcPr>
          <w:p w14:paraId="38117324"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Thailand</w:t>
            </w:r>
          </w:p>
        </w:tc>
        <w:tc>
          <w:tcPr>
            <w:tcW w:w="1418" w:type="dxa"/>
          </w:tcPr>
          <w:p w14:paraId="107B00D3"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1674 household members</w:t>
            </w:r>
          </w:p>
        </w:tc>
        <w:tc>
          <w:tcPr>
            <w:tcW w:w="1417" w:type="dxa"/>
          </w:tcPr>
          <w:p w14:paraId="59DB62D6"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Cross-sectional </w:t>
            </w:r>
          </w:p>
        </w:tc>
        <w:tc>
          <w:tcPr>
            <w:tcW w:w="1418" w:type="dxa"/>
          </w:tcPr>
          <w:p w14:paraId="506B90D2"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Descriptive statistics, multivariate analysis</w:t>
            </w:r>
          </w:p>
        </w:tc>
        <w:tc>
          <w:tcPr>
            <w:tcW w:w="2834" w:type="dxa"/>
          </w:tcPr>
          <w:p w14:paraId="499FA36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Identify determinants of impregnated net ownership and use in rural Thai residents. </w:t>
            </w:r>
          </w:p>
        </w:tc>
        <w:tc>
          <w:tcPr>
            <w:tcW w:w="2835" w:type="dxa"/>
            <w:tcMar>
              <w:top w:w="100" w:type="dxa"/>
              <w:left w:w="100" w:type="dxa"/>
              <w:bottom w:w="100" w:type="dxa"/>
              <w:right w:w="100" w:type="dxa"/>
            </w:tcMar>
          </w:tcPr>
          <w:p w14:paraId="0C4C7B7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Net size is a major obstacle of net use among larger households. Irregular use of electric fans at night was positively associated with sleeping under a bed net, as well as ethnicity, insecticide-residual spray access. </w:t>
            </w:r>
          </w:p>
        </w:tc>
      </w:tr>
      <w:tr w:rsidR="00E7529D" w:rsidRPr="00334394" w14:paraId="061AA694" w14:textId="77777777" w:rsidTr="004A188C">
        <w:trPr>
          <w:trHeight w:val="20"/>
        </w:trPr>
        <w:tc>
          <w:tcPr>
            <w:tcW w:w="1276" w:type="dxa"/>
            <w:tcMar>
              <w:top w:w="100" w:type="dxa"/>
              <w:left w:w="100" w:type="dxa"/>
              <w:bottom w:w="100" w:type="dxa"/>
              <w:right w:w="100" w:type="dxa"/>
            </w:tcMar>
          </w:tcPr>
          <w:p w14:paraId="623981B1" w14:textId="74F9417D"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Kyi </w:t>
            </w:r>
            <w:proofErr w:type="spellStart"/>
            <w:r w:rsidRPr="00334394">
              <w:rPr>
                <w:rFonts w:ascii="Times" w:hAnsi="Times" w:cs="Calibri"/>
                <w:color w:val="000000" w:themeColor="text1"/>
                <w:sz w:val="20"/>
                <w:szCs w:val="20"/>
              </w:rPr>
              <w:t>Kyi</w:t>
            </w:r>
            <w:proofErr w:type="spellEnd"/>
            <w:r w:rsidRPr="00334394">
              <w:rPr>
                <w:rFonts w:ascii="Times" w:hAnsi="Times" w:cs="Calibri"/>
                <w:color w:val="000000" w:themeColor="text1"/>
                <w:sz w:val="20"/>
                <w:szCs w:val="20"/>
              </w:rPr>
              <w:t xml:space="preserve"> Win Oo, 2012 </w:t>
            </w:r>
          </w:p>
        </w:tc>
        <w:tc>
          <w:tcPr>
            <w:tcW w:w="1276" w:type="dxa"/>
          </w:tcPr>
          <w:p w14:paraId="53313FF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Myanmar </w:t>
            </w:r>
          </w:p>
        </w:tc>
        <w:tc>
          <w:tcPr>
            <w:tcW w:w="1418" w:type="dxa"/>
          </w:tcPr>
          <w:p w14:paraId="23709AD6"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General population affected by Cyclone Nargis </w:t>
            </w:r>
          </w:p>
        </w:tc>
        <w:tc>
          <w:tcPr>
            <w:tcW w:w="1417" w:type="dxa"/>
          </w:tcPr>
          <w:p w14:paraId="31F0D9F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Thesis, Grey literature</w:t>
            </w:r>
          </w:p>
        </w:tc>
        <w:tc>
          <w:tcPr>
            <w:tcW w:w="1418" w:type="dxa"/>
          </w:tcPr>
          <w:p w14:paraId="7FE77501"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NA</w:t>
            </w:r>
          </w:p>
        </w:tc>
        <w:tc>
          <w:tcPr>
            <w:tcW w:w="2834" w:type="dxa"/>
          </w:tcPr>
          <w:p w14:paraId="6D80AD1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Investigate the main reasons for using or not using of Business Kind Myanmar (BKM) bed nets in the household.</w:t>
            </w:r>
          </w:p>
        </w:tc>
        <w:tc>
          <w:tcPr>
            <w:tcW w:w="2835" w:type="dxa"/>
            <w:tcMar>
              <w:top w:w="100" w:type="dxa"/>
              <w:left w:w="100" w:type="dxa"/>
              <w:bottom w:w="100" w:type="dxa"/>
              <w:right w:w="100" w:type="dxa"/>
            </w:tcMar>
          </w:tcPr>
          <w:p w14:paraId="7C7DEDD9"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Reasons for use varied based on season, livelihood patterns, and household sleeping arrangements. Some nets purchased only for summer use while heavier nets used for colder seasons. </w:t>
            </w:r>
          </w:p>
        </w:tc>
      </w:tr>
      <w:tr w:rsidR="00E7529D" w:rsidRPr="00334394" w14:paraId="6D4F9954" w14:textId="77777777" w:rsidTr="004A188C">
        <w:trPr>
          <w:trHeight w:val="20"/>
        </w:trPr>
        <w:tc>
          <w:tcPr>
            <w:tcW w:w="1276" w:type="dxa"/>
            <w:tcMar>
              <w:top w:w="100" w:type="dxa"/>
              <w:left w:w="100" w:type="dxa"/>
              <w:bottom w:w="100" w:type="dxa"/>
              <w:right w:w="100" w:type="dxa"/>
            </w:tcMar>
          </w:tcPr>
          <w:p w14:paraId="47754246" w14:textId="19523D31" w:rsidR="00E7529D" w:rsidRPr="00334394" w:rsidRDefault="00E7529D" w:rsidP="00DE70D7">
            <w:pPr>
              <w:widowControl w:val="0"/>
              <w:rPr>
                <w:rFonts w:ascii="Times" w:hAnsi="Times" w:cs="Calibri"/>
                <w:color w:val="000000" w:themeColor="text1"/>
                <w:sz w:val="20"/>
                <w:szCs w:val="20"/>
              </w:rPr>
            </w:pPr>
            <w:proofErr w:type="spellStart"/>
            <w:r w:rsidRPr="00334394">
              <w:rPr>
                <w:rFonts w:ascii="Times" w:hAnsi="Times" w:cs="Calibri"/>
                <w:color w:val="000000" w:themeColor="text1"/>
                <w:sz w:val="20"/>
                <w:szCs w:val="20"/>
              </w:rPr>
              <w:t>Leake</w:t>
            </w:r>
            <w:proofErr w:type="spellEnd"/>
            <w:r w:rsidRPr="00334394">
              <w:rPr>
                <w:rFonts w:ascii="Times" w:hAnsi="Times" w:cs="Calibri"/>
                <w:color w:val="000000" w:themeColor="text1"/>
                <w:sz w:val="20"/>
                <w:szCs w:val="20"/>
              </w:rPr>
              <w:t xml:space="preserve"> et al., 2019 </w:t>
            </w:r>
          </w:p>
        </w:tc>
        <w:tc>
          <w:tcPr>
            <w:tcW w:w="1276" w:type="dxa"/>
          </w:tcPr>
          <w:p w14:paraId="787C4E5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Malaysia</w:t>
            </w:r>
          </w:p>
        </w:tc>
        <w:tc>
          <w:tcPr>
            <w:tcW w:w="1418" w:type="dxa"/>
          </w:tcPr>
          <w:p w14:paraId="53D67AC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711 adult household members</w:t>
            </w:r>
          </w:p>
        </w:tc>
        <w:tc>
          <w:tcPr>
            <w:tcW w:w="1417" w:type="dxa"/>
          </w:tcPr>
          <w:p w14:paraId="66312B63"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Mixed methods</w:t>
            </w:r>
          </w:p>
        </w:tc>
        <w:tc>
          <w:tcPr>
            <w:tcW w:w="1418" w:type="dxa"/>
          </w:tcPr>
          <w:p w14:paraId="075A61EA"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Descriptive statistics</w:t>
            </w:r>
          </w:p>
        </w:tc>
        <w:tc>
          <w:tcPr>
            <w:tcW w:w="2834" w:type="dxa"/>
          </w:tcPr>
          <w:p w14:paraId="316B0588"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 xml:space="preserve">Identify factors influencing use of insecticide impregnated bednets to control malaria. </w:t>
            </w:r>
          </w:p>
        </w:tc>
        <w:tc>
          <w:tcPr>
            <w:tcW w:w="2835" w:type="dxa"/>
            <w:tcMar>
              <w:top w:w="100" w:type="dxa"/>
              <w:left w:w="100" w:type="dxa"/>
              <w:bottom w:w="100" w:type="dxa"/>
              <w:right w:w="100" w:type="dxa"/>
            </w:tcMar>
          </w:tcPr>
          <w:p w14:paraId="71BFFCBB"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Bed net use rates differed between villages, which was attributed mainly to television viewing. Television viewing and alcohol drinking may reduce motivation for bed net use. </w:t>
            </w:r>
          </w:p>
        </w:tc>
      </w:tr>
      <w:tr w:rsidR="00E7529D" w:rsidRPr="00334394" w14:paraId="66BCDE6B" w14:textId="77777777" w:rsidTr="004A188C">
        <w:trPr>
          <w:trHeight w:val="20"/>
        </w:trPr>
        <w:tc>
          <w:tcPr>
            <w:tcW w:w="1276" w:type="dxa"/>
            <w:tcMar>
              <w:top w:w="100" w:type="dxa"/>
              <w:left w:w="100" w:type="dxa"/>
              <w:bottom w:w="100" w:type="dxa"/>
              <w:right w:w="100" w:type="dxa"/>
            </w:tcMar>
          </w:tcPr>
          <w:p w14:paraId="21BA0E0C" w14:textId="0302401F"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Linn et al., 2015 </w:t>
            </w:r>
          </w:p>
        </w:tc>
        <w:tc>
          <w:tcPr>
            <w:tcW w:w="1276" w:type="dxa"/>
          </w:tcPr>
          <w:p w14:paraId="79B9B6CD"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64A6CB82"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3230 adults from high-risk migrant communities in the Regional Artemisinin Resistance Initiative (RAI)</w:t>
            </w:r>
          </w:p>
        </w:tc>
        <w:tc>
          <w:tcPr>
            <w:tcW w:w="1417" w:type="dxa"/>
          </w:tcPr>
          <w:p w14:paraId="6DDA2FF0"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Mixed methods</w:t>
            </w:r>
          </w:p>
        </w:tc>
        <w:tc>
          <w:tcPr>
            <w:tcW w:w="1418" w:type="dxa"/>
          </w:tcPr>
          <w:p w14:paraId="666DF1BD"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Descriptive statistics, bivariate and multivariate analysis</w:t>
            </w:r>
          </w:p>
        </w:tc>
        <w:tc>
          <w:tcPr>
            <w:tcW w:w="2834" w:type="dxa"/>
          </w:tcPr>
          <w:p w14:paraId="22DFBAB3"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Assess the ownership and utilization of ITNs and to understand the barriers to distribution and utilization of ITN</w:t>
            </w:r>
          </w:p>
          <w:p w14:paraId="7C0A3319" w14:textId="77777777" w:rsidR="00E7529D" w:rsidRPr="00334394" w:rsidRDefault="00E7529D" w:rsidP="004A188C">
            <w:pPr>
              <w:widowControl w:val="0"/>
              <w:rPr>
                <w:rFonts w:ascii="Times" w:hAnsi="Times" w:cs="Calibri"/>
                <w:color w:val="000000" w:themeColor="text1"/>
                <w:sz w:val="20"/>
                <w:szCs w:val="20"/>
              </w:rPr>
            </w:pPr>
          </w:p>
        </w:tc>
        <w:tc>
          <w:tcPr>
            <w:tcW w:w="2835" w:type="dxa"/>
            <w:tcMar>
              <w:top w:w="100" w:type="dxa"/>
              <w:left w:w="100" w:type="dxa"/>
              <w:bottom w:w="100" w:type="dxa"/>
              <w:right w:w="100" w:type="dxa"/>
            </w:tcMar>
          </w:tcPr>
          <w:p w14:paraId="2E5750A0"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Household sizes with fewer than six people had higher odds of having sufficient bed nets. Reasons for non-use include insufficient or lack of availability of ITNs, inconvenience of carrying nets to work sites, and dislike and discomfort due to heat, smell, and health concerns related to insecticide. Transportation to reach remote communities was a major barrier for ITN distribution. </w:t>
            </w:r>
          </w:p>
        </w:tc>
      </w:tr>
      <w:tr w:rsidR="00E7529D" w:rsidRPr="00334394" w14:paraId="5C868834" w14:textId="77777777" w:rsidTr="004A188C">
        <w:trPr>
          <w:trHeight w:val="20"/>
        </w:trPr>
        <w:tc>
          <w:tcPr>
            <w:tcW w:w="1276" w:type="dxa"/>
            <w:tcMar>
              <w:top w:w="100" w:type="dxa"/>
              <w:left w:w="100" w:type="dxa"/>
              <w:bottom w:w="100" w:type="dxa"/>
              <w:right w:w="100" w:type="dxa"/>
            </w:tcMar>
          </w:tcPr>
          <w:p w14:paraId="76AD95F8" w14:textId="08628509"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Liu et al., 2015 </w:t>
            </w:r>
          </w:p>
        </w:tc>
        <w:tc>
          <w:tcPr>
            <w:tcW w:w="1276" w:type="dxa"/>
          </w:tcPr>
          <w:p w14:paraId="7C5F48E5"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6E7C787E"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3351 household members</w:t>
            </w:r>
          </w:p>
        </w:tc>
        <w:tc>
          <w:tcPr>
            <w:tcW w:w="1417" w:type="dxa"/>
          </w:tcPr>
          <w:p w14:paraId="38276AFE"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Mixed methods</w:t>
            </w:r>
          </w:p>
        </w:tc>
        <w:tc>
          <w:tcPr>
            <w:tcW w:w="1418" w:type="dxa"/>
          </w:tcPr>
          <w:p w14:paraId="5B40576E"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Bivariate analysis</w:t>
            </w:r>
          </w:p>
        </w:tc>
        <w:tc>
          <w:tcPr>
            <w:tcW w:w="2834" w:type="dxa"/>
          </w:tcPr>
          <w:p w14:paraId="4E6709E6"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 xml:space="preserve">Identify coverage of both treated (ITNs and LLINs) and untreated bed nets, and also to determine which factors influence bed net use and maintenance. </w:t>
            </w:r>
          </w:p>
        </w:tc>
        <w:tc>
          <w:tcPr>
            <w:tcW w:w="2835" w:type="dxa"/>
            <w:tcMar>
              <w:top w:w="100" w:type="dxa"/>
              <w:left w:w="100" w:type="dxa"/>
              <w:bottom w:w="100" w:type="dxa"/>
              <w:right w:w="100" w:type="dxa"/>
            </w:tcMar>
          </w:tcPr>
          <w:p w14:paraId="61F3AED2"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 xml:space="preserve">Bed net use was positively associated with factors related to knowledge (i.e. household knowledge of malaria transmission and the role of ITNs in malaria prevention), income (e.g. belonging to a low family wealth index and a family with a primary income source from agricultural </w:t>
            </w:r>
            <w:proofErr w:type="gramStart"/>
            <w:r w:rsidRPr="00334394">
              <w:rPr>
                <w:rFonts w:ascii="Times" w:hAnsi="Times" w:cs="Calibri"/>
                <w:color w:val="000000" w:themeColor="text1"/>
                <w:sz w:val="20"/>
                <w:szCs w:val="20"/>
              </w:rPr>
              <w:t>work ,and</w:t>
            </w:r>
            <w:proofErr w:type="gramEnd"/>
            <w:r w:rsidRPr="00334394">
              <w:rPr>
                <w:rFonts w:ascii="Times" w:hAnsi="Times" w:cs="Calibri"/>
                <w:color w:val="000000" w:themeColor="text1"/>
                <w:sz w:val="20"/>
                <w:szCs w:val="20"/>
              </w:rPr>
              <w:t xml:space="preserve"> residence (i.e. living in lowland and foothills in households with thatched roofing).</w:t>
            </w:r>
          </w:p>
        </w:tc>
      </w:tr>
      <w:tr w:rsidR="00E7529D" w:rsidRPr="00334394" w14:paraId="6954C095" w14:textId="77777777" w:rsidTr="004A188C">
        <w:trPr>
          <w:trHeight w:val="20"/>
        </w:trPr>
        <w:tc>
          <w:tcPr>
            <w:tcW w:w="1276" w:type="dxa"/>
            <w:tcMar>
              <w:top w:w="100" w:type="dxa"/>
              <w:left w:w="100" w:type="dxa"/>
              <w:bottom w:w="100" w:type="dxa"/>
              <w:right w:w="100" w:type="dxa"/>
            </w:tcMar>
          </w:tcPr>
          <w:p w14:paraId="30240B88" w14:textId="46965E59"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Min et al., 2020 </w:t>
            </w:r>
          </w:p>
        </w:tc>
        <w:tc>
          <w:tcPr>
            <w:tcW w:w="1276" w:type="dxa"/>
          </w:tcPr>
          <w:p w14:paraId="71DB35A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01A6FC74"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4597 children under five</w:t>
            </w:r>
          </w:p>
        </w:tc>
        <w:tc>
          <w:tcPr>
            <w:tcW w:w="1417" w:type="dxa"/>
          </w:tcPr>
          <w:p w14:paraId="7E2F9014"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Cross-sectional</w:t>
            </w:r>
          </w:p>
        </w:tc>
        <w:tc>
          <w:tcPr>
            <w:tcW w:w="1418" w:type="dxa"/>
          </w:tcPr>
          <w:p w14:paraId="01B75A56"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Bivariate and multivariate analysis</w:t>
            </w:r>
          </w:p>
        </w:tc>
        <w:tc>
          <w:tcPr>
            <w:tcW w:w="2834" w:type="dxa"/>
          </w:tcPr>
          <w:p w14:paraId="7211590D"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To examine use of nets and associated factors, care seeking behaviour among caregivers and factors, uptake of malaria testing among those with fever in the last two weeks. </w:t>
            </w:r>
          </w:p>
        </w:tc>
        <w:tc>
          <w:tcPr>
            <w:tcW w:w="2835" w:type="dxa"/>
            <w:tcMar>
              <w:top w:w="100" w:type="dxa"/>
              <w:left w:w="100" w:type="dxa"/>
              <w:bottom w:w="100" w:type="dxa"/>
              <w:right w:w="100" w:type="dxa"/>
            </w:tcMar>
          </w:tcPr>
          <w:p w14:paraId="1E923054"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Non-use of bed nets was associated with residing in malaria elimination, urban, and delta or hilly regions, and belonging to households in the highest wealth quintile. </w:t>
            </w:r>
          </w:p>
        </w:tc>
      </w:tr>
      <w:tr w:rsidR="00E7529D" w:rsidRPr="00334394" w14:paraId="3CE54E48" w14:textId="77777777" w:rsidTr="004A188C">
        <w:trPr>
          <w:trHeight w:val="20"/>
        </w:trPr>
        <w:tc>
          <w:tcPr>
            <w:tcW w:w="1276" w:type="dxa"/>
            <w:tcMar>
              <w:top w:w="100" w:type="dxa"/>
              <w:left w:w="100" w:type="dxa"/>
              <w:bottom w:w="100" w:type="dxa"/>
              <w:right w:w="100" w:type="dxa"/>
            </w:tcMar>
          </w:tcPr>
          <w:p w14:paraId="736D0B90" w14:textId="11AE5005" w:rsidR="00E7529D" w:rsidRPr="00334394" w:rsidRDefault="00E7529D" w:rsidP="00DE70D7">
            <w:pPr>
              <w:widowControl w:val="0"/>
              <w:rPr>
                <w:rFonts w:ascii="Times" w:hAnsi="Times" w:cs="Calibri"/>
                <w:color w:val="000000" w:themeColor="text1"/>
                <w:sz w:val="20"/>
                <w:szCs w:val="20"/>
              </w:rPr>
            </w:pPr>
            <w:proofErr w:type="spellStart"/>
            <w:r w:rsidRPr="00334394">
              <w:rPr>
                <w:rFonts w:ascii="Times" w:hAnsi="Times" w:cs="Calibri"/>
                <w:color w:val="000000" w:themeColor="text1"/>
                <w:sz w:val="20"/>
                <w:szCs w:val="20"/>
              </w:rPr>
              <w:t>Nofal</w:t>
            </w:r>
            <w:proofErr w:type="spellEnd"/>
            <w:r w:rsidRPr="00334394">
              <w:rPr>
                <w:rFonts w:ascii="Times" w:hAnsi="Times" w:cs="Calibri"/>
                <w:color w:val="000000" w:themeColor="text1"/>
                <w:sz w:val="20"/>
                <w:szCs w:val="20"/>
              </w:rPr>
              <w:t xml:space="preserve"> et al., 2019 </w:t>
            </w:r>
          </w:p>
        </w:tc>
        <w:tc>
          <w:tcPr>
            <w:tcW w:w="1276" w:type="dxa"/>
          </w:tcPr>
          <w:p w14:paraId="396181AF"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Cambodia, Vietnam, Myanmar, Thailand</w:t>
            </w:r>
          </w:p>
        </w:tc>
        <w:tc>
          <w:tcPr>
            <w:tcW w:w="1418" w:type="dxa"/>
          </w:tcPr>
          <w:p w14:paraId="6CB8DF7A" w14:textId="77777777" w:rsidR="00E7529D" w:rsidRPr="00334394" w:rsidRDefault="00E7529D" w:rsidP="004A188C">
            <w:pPr>
              <w:tabs>
                <w:tab w:val="left" w:pos="656"/>
              </w:tabs>
              <w:rPr>
                <w:rFonts w:ascii="Times" w:hAnsi="Times" w:cs="Calibri"/>
                <w:color w:val="000000" w:themeColor="text1"/>
                <w:sz w:val="20"/>
                <w:szCs w:val="20"/>
              </w:rPr>
            </w:pPr>
            <w:r w:rsidRPr="00334394">
              <w:rPr>
                <w:rFonts w:ascii="Times" w:hAnsi="Times" w:cs="Calibri"/>
                <w:color w:val="000000" w:themeColor="text1"/>
                <w:sz w:val="20"/>
                <w:szCs w:val="20"/>
              </w:rPr>
              <w:t>22 studies</w:t>
            </w:r>
          </w:p>
        </w:tc>
        <w:tc>
          <w:tcPr>
            <w:tcW w:w="1417" w:type="dxa"/>
          </w:tcPr>
          <w:p w14:paraId="0B624169"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Systematic review </w:t>
            </w:r>
          </w:p>
        </w:tc>
        <w:tc>
          <w:tcPr>
            <w:tcW w:w="1418" w:type="dxa"/>
          </w:tcPr>
          <w:p w14:paraId="537416CF"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NA</w:t>
            </w:r>
          </w:p>
        </w:tc>
        <w:tc>
          <w:tcPr>
            <w:tcW w:w="2834" w:type="dxa"/>
          </w:tcPr>
          <w:p w14:paraId="279BEFD9"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Provide an overview of the qualitative research on behaviours and perceptions that influence uptake of and adherence to malaria interventions among forest-goers in the Greater Mekong Subregion.</w:t>
            </w:r>
          </w:p>
        </w:tc>
        <w:tc>
          <w:tcPr>
            <w:tcW w:w="2835" w:type="dxa"/>
            <w:tcMar>
              <w:top w:w="100" w:type="dxa"/>
              <w:left w:w="100" w:type="dxa"/>
              <w:bottom w:w="100" w:type="dxa"/>
              <w:right w:w="100" w:type="dxa"/>
            </w:tcMar>
          </w:tcPr>
          <w:p w14:paraId="244D19D9"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Forest-goers do not use nets related to hot environment of forests, inconvenience of carrying to work sites, and insufficient access to nets. Some studies cited lack of affordability, preferences for non-treated nets, and perceived safety and effectiveness of nets. Use of nets was also influenced by household size, where larger nets were preferred for larger families when not working in forests. </w:t>
            </w:r>
          </w:p>
        </w:tc>
      </w:tr>
      <w:tr w:rsidR="00E7529D" w:rsidRPr="00334394" w14:paraId="61A9B67A" w14:textId="77777777" w:rsidTr="004A188C">
        <w:trPr>
          <w:trHeight w:val="20"/>
        </w:trPr>
        <w:tc>
          <w:tcPr>
            <w:tcW w:w="1276" w:type="dxa"/>
            <w:tcMar>
              <w:top w:w="100" w:type="dxa"/>
              <w:left w:w="100" w:type="dxa"/>
              <w:bottom w:w="100" w:type="dxa"/>
              <w:right w:w="100" w:type="dxa"/>
            </w:tcMar>
          </w:tcPr>
          <w:p w14:paraId="43F8FFB1" w14:textId="6740963F" w:rsidR="00E7529D" w:rsidRPr="00334394" w:rsidRDefault="00E7529D" w:rsidP="00DE70D7">
            <w:pPr>
              <w:widowControl w:val="0"/>
              <w:rPr>
                <w:rFonts w:ascii="Times" w:hAnsi="Times" w:cs="Calibri"/>
                <w:color w:val="000000" w:themeColor="text1"/>
                <w:sz w:val="20"/>
                <w:szCs w:val="20"/>
              </w:rPr>
            </w:pPr>
            <w:proofErr w:type="spellStart"/>
            <w:r w:rsidRPr="00334394">
              <w:rPr>
                <w:rFonts w:ascii="Times" w:hAnsi="Times" w:cs="Calibri"/>
                <w:color w:val="000000" w:themeColor="text1"/>
                <w:sz w:val="20"/>
                <w:szCs w:val="20"/>
              </w:rPr>
              <w:t>Nyunt</w:t>
            </w:r>
            <w:proofErr w:type="spellEnd"/>
            <w:r w:rsidRPr="00334394">
              <w:rPr>
                <w:rFonts w:ascii="Times" w:hAnsi="Times" w:cs="Calibri"/>
                <w:color w:val="000000" w:themeColor="text1"/>
                <w:sz w:val="20"/>
                <w:szCs w:val="20"/>
              </w:rPr>
              <w:t xml:space="preserve"> et al., 2014 </w:t>
            </w:r>
          </w:p>
        </w:tc>
        <w:tc>
          <w:tcPr>
            <w:tcW w:w="1276" w:type="dxa"/>
          </w:tcPr>
          <w:p w14:paraId="4275F37B"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420A88C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345 migrant workers in palm oil and rubber plantation sites</w:t>
            </w:r>
          </w:p>
        </w:tc>
        <w:tc>
          <w:tcPr>
            <w:tcW w:w="1417" w:type="dxa"/>
          </w:tcPr>
          <w:p w14:paraId="292E24FE"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Mixed methods</w:t>
            </w:r>
          </w:p>
        </w:tc>
        <w:tc>
          <w:tcPr>
            <w:tcW w:w="1418" w:type="dxa"/>
          </w:tcPr>
          <w:p w14:paraId="6A4DF0EC"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Descriptive statistics</w:t>
            </w:r>
          </w:p>
        </w:tc>
        <w:tc>
          <w:tcPr>
            <w:tcW w:w="2834" w:type="dxa"/>
          </w:tcPr>
          <w:p w14:paraId="4B2086F8"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 xml:space="preserve">To explore knowledge, distribution and utilization of ITNs. </w:t>
            </w:r>
          </w:p>
        </w:tc>
        <w:tc>
          <w:tcPr>
            <w:tcW w:w="2835" w:type="dxa"/>
            <w:tcMar>
              <w:top w:w="100" w:type="dxa"/>
              <w:left w:w="100" w:type="dxa"/>
              <w:bottom w:w="100" w:type="dxa"/>
              <w:right w:w="100" w:type="dxa"/>
            </w:tcMar>
          </w:tcPr>
          <w:p w14:paraId="39E6ADE3"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The major reason for non-use of ITNs was working over night at work sites and the major reasons for use of ITNs were free distribution of nets and preventing mosquito bites. Perceived risk of malaria was higher among consistent ITN users compared to nonusers. Qualitative findings suggest that perceived poor net durability, discomfort, and misuse are key ITN challenges. </w:t>
            </w:r>
          </w:p>
        </w:tc>
      </w:tr>
      <w:tr w:rsidR="00E7529D" w:rsidRPr="00334394" w14:paraId="2C90FCB4" w14:textId="77777777" w:rsidTr="004A188C">
        <w:trPr>
          <w:trHeight w:val="20"/>
        </w:trPr>
        <w:tc>
          <w:tcPr>
            <w:tcW w:w="1276" w:type="dxa"/>
            <w:tcMar>
              <w:top w:w="100" w:type="dxa"/>
              <w:left w:w="100" w:type="dxa"/>
              <w:bottom w:w="100" w:type="dxa"/>
              <w:right w:w="100" w:type="dxa"/>
            </w:tcMar>
          </w:tcPr>
          <w:p w14:paraId="46CA5E6E" w14:textId="33D0E533"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San Oo et al., 2013 </w:t>
            </w:r>
          </w:p>
        </w:tc>
        <w:tc>
          <w:tcPr>
            <w:tcW w:w="1276" w:type="dxa"/>
          </w:tcPr>
          <w:p w14:paraId="5C958251"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6EB54DE4"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256 household heads &gt; 18 y</w:t>
            </w:r>
          </w:p>
        </w:tc>
        <w:tc>
          <w:tcPr>
            <w:tcW w:w="1417" w:type="dxa"/>
          </w:tcPr>
          <w:p w14:paraId="3C7A1652"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Cross-sectional</w:t>
            </w:r>
          </w:p>
        </w:tc>
        <w:tc>
          <w:tcPr>
            <w:tcW w:w="1418" w:type="dxa"/>
          </w:tcPr>
          <w:p w14:paraId="32B7103F"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Proportions and tabulations, descriptive statistics</w:t>
            </w:r>
          </w:p>
        </w:tc>
        <w:tc>
          <w:tcPr>
            <w:tcW w:w="2834" w:type="dxa"/>
          </w:tcPr>
          <w:p w14:paraId="33F70D2A"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To assess knowledge of malaria, usefulness of bed net, perception on uses of nets, observe ownership and identify treatment seeking behaviour for malaria. </w:t>
            </w:r>
          </w:p>
        </w:tc>
        <w:tc>
          <w:tcPr>
            <w:tcW w:w="2835" w:type="dxa"/>
            <w:tcMar>
              <w:top w:w="100" w:type="dxa"/>
              <w:left w:w="100" w:type="dxa"/>
              <w:bottom w:w="100" w:type="dxa"/>
              <w:right w:w="100" w:type="dxa"/>
            </w:tcMar>
          </w:tcPr>
          <w:p w14:paraId="27C0DAA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Low knowledge levels on malaria and ITN use, as well as poor attitude is a need for increasing availability of information on ITNs. </w:t>
            </w:r>
          </w:p>
        </w:tc>
      </w:tr>
      <w:tr w:rsidR="00E7529D" w:rsidRPr="00334394" w14:paraId="26DACC9B" w14:textId="77777777" w:rsidTr="004A188C">
        <w:trPr>
          <w:trHeight w:val="20"/>
        </w:trPr>
        <w:tc>
          <w:tcPr>
            <w:tcW w:w="1276" w:type="dxa"/>
            <w:tcMar>
              <w:top w:w="100" w:type="dxa"/>
              <w:left w:w="100" w:type="dxa"/>
              <w:bottom w:w="100" w:type="dxa"/>
              <w:right w:w="100" w:type="dxa"/>
            </w:tcMar>
          </w:tcPr>
          <w:p w14:paraId="513B5C88" w14:textId="6FF5A819"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Sri-</w:t>
            </w:r>
            <w:proofErr w:type="spellStart"/>
            <w:r w:rsidRPr="00334394">
              <w:rPr>
                <w:rFonts w:ascii="Times" w:hAnsi="Times" w:cs="Calibri"/>
                <w:color w:val="000000" w:themeColor="text1"/>
                <w:sz w:val="20"/>
                <w:szCs w:val="20"/>
              </w:rPr>
              <w:t>aroon</w:t>
            </w:r>
            <w:proofErr w:type="spellEnd"/>
            <w:r w:rsidRPr="00334394">
              <w:rPr>
                <w:rFonts w:ascii="Times" w:hAnsi="Times" w:cs="Calibri"/>
                <w:color w:val="000000" w:themeColor="text1"/>
                <w:sz w:val="20"/>
                <w:szCs w:val="20"/>
              </w:rPr>
              <w:t xml:space="preserve"> et al., 1998 </w:t>
            </w:r>
          </w:p>
        </w:tc>
        <w:tc>
          <w:tcPr>
            <w:tcW w:w="1276" w:type="dxa"/>
          </w:tcPr>
          <w:p w14:paraId="6D59B0C2"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24DEFD23"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184 mothers and caretakers with children &lt; 11y</w:t>
            </w:r>
          </w:p>
        </w:tc>
        <w:tc>
          <w:tcPr>
            <w:tcW w:w="1417" w:type="dxa"/>
          </w:tcPr>
          <w:p w14:paraId="19A1E88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Mixed methods</w:t>
            </w:r>
          </w:p>
        </w:tc>
        <w:tc>
          <w:tcPr>
            <w:tcW w:w="1418" w:type="dxa"/>
          </w:tcPr>
          <w:p w14:paraId="73626173"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Descriptive statistics, bivariate analysis</w:t>
            </w:r>
          </w:p>
        </w:tc>
        <w:tc>
          <w:tcPr>
            <w:tcW w:w="2834" w:type="dxa"/>
          </w:tcPr>
          <w:p w14:paraId="204173E3"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 xml:space="preserve">To examine the effect of socio-behavioural backgrounds of mothers on decision making in terms of bed nets. </w:t>
            </w:r>
          </w:p>
        </w:tc>
        <w:tc>
          <w:tcPr>
            <w:tcW w:w="2835" w:type="dxa"/>
            <w:tcMar>
              <w:top w:w="100" w:type="dxa"/>
              <w:left w:w="100" w:type="dxa"/>
              <w:bottom w:w="100" w:type="dxa"/>
              <w:right w:w="100" w:type="dxa"/>
            </w:tcMar>
          </w:tcPr>
          <w:p w14:paraId="0A078FBA"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Knowledge of malaria prevention and information gained about use of impregnated bednets among mothers and caregivers were linked to the use of impregnated bed nets.</w:t>
            </w:r>
          </w:p>
          <w:p w14:paraId="5F219841"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Knowledge of disease causes, transmission, severity, and susceptibility to malaria were not found to be significantly associated with net use.</w:t>
            </w:r>
          </w:p>
        </w:tc>
      </w:tr>
      <w:tr w:rsidR="00E7529D" w:rsidRPr="00334394" w14:paraId="7BCDBA26" w14:textId="77777777" w:rsidTr="004A188C">
        <w:trPr>
          <w:trHeight w:val="20"/>
        </w:trPr>
        <w:tc>
          <w:tcPr>
            <w:tcW w:w="1276" w:type="dxa"/>
            <w:tcMar>
              <w:top w:w="100" w:type="dxa"/>
              <w:left w:w="100" w:type="dxa"/>
              <w:bottom w:w="100" w:type="dxa"/>
              <w:right w:w="100" w:type="dxa"/>
            </w:tcMar>
          </w:tcPr>
          <w:p w14:paraId="32E82BBA" w14:textId="3E3EA75E"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Stewart et al., 2003 </w:t>
            </w:r>
          </w:p>
        </w:tc>
        <w:tc>
          <w:tcPr>
            <w:tcW w:w="1276" w:type="dxa"/>
          </w:tcPr>
          <w:p w14:paraId="0FE25B1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Multi-country </w:t>
            </w:r>
          </w:p>
        </w:tc>
        <w:tc>
          <w:tcPr>
            <w:tcW w:w="1418" w:type="dxa"/>
          </w:tcPr>
          <w:p w14:paraId="79CE012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General population </w:t>
            </w:r>
          </w:p>
        </w:tc>
        <w:tc>
          <w:tcPr>
            <w:tcW w:w="1417" w:type="dxa"/>
          </w:tcPr>
          <w:p w14:paraId="6F0F6060"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Report, Grey literature</w:t>
            </w:r>
          </w:p>
        </w:tc>
        <w:tc>
          <w:tcPr>
            <w:tcW w:w="1418" w:type="dxa"/>
          </w:tcPr>
          <w:p w14:paraId="3BF14507"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NA</w:t>
            </w:r>
          </w:p>
        </w:tc>
        <w:tc>
          <w:tcPr>
            <w:tcW w:w="2834" w:type="dxa"/>
          </w:tcPr>
          <w:p w14:paraId="31F1E4A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Discuss a range of factors influencing usage of ITNs. </w:t>
            </w:r>
          </w:p>
        </w:tc>
        <w:tc>
          <w:tcPr>
            <w:tcW w:w="2835" w:type="dxa"/>
            <w:tcMar>
              <w:top w:w="100" w:type="dxa"/>
              <w:left w:w="100" w:type="dxa"/>
              <w:bottom w:w="100" w:type="dxa"/>
              <w:right w:w="100" w:type="dxa"/>
            </w:tcMar>
          </w:tcPr>
          <w:p w14:paraId="27DD9C9B"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Economic, environmental, entomological, and social factors affecting net use were identified, with social factors standing out as the dominant reason affecting net use.  </w:t>
            </w:r>
          </w:p>
        </w:tc>
      </w:tr>
      <w:tr w:rsidR="00E7529D" w:rsidRPr="00334394" w14:paraId="24E85CCF" w14:textId="77777777" w:rsidTr="004A188C">
        <w:trPr>
          <w:trHeight w:val="20"/>
        </w:trPr>
        <w:tc>
          <w:tcPr>
            <w:tcW w:w="1276" w:type="dxa"/>
            <w:tcMar>
              <w:top w:w="100" w:type="dxa"/>
              <w:left w:w="100" w:type="dxa"/>
              <w:bottom w:w="100" w:type="dxa"/>
              <w:right w:w="100" w:type="dxa"/>
            </w:tcMar>
          </w:tcPr>
          <w:p w14:paraId="1E6B4DD3" w14:textId="04A7845D"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Tun, K and </w:t>
            </w:r>
            <w:proofErr w:type="spellStart"/>
            <w:r w:rsidRPr="00334394">
              <w:rPr>
                <w:rFonts w:ascii="Times" w:hAnsi="Times" w:cs="Calibri"/>
                <w:color w:val="000000" w:themeColor="text1"/>
                <w:sz w:val="20"/>
                <w:szCs w:val="20"/>
              </w:rPr>
              <w:t>Soe</w:t>
            </w:r>
            <w:proofErr w:type="spellEnd"/>
            <w:r w:rsidRPr="00334394">
              <w:rPr>
                <w:rFonts w:ascii="Times" w:hAnsi="Times" w:cs="Calibri"/>
                <w:color w:val="000000" w:themeColor="text1"/>
                <w:sz w:val="20"/>
                <w:szCs w:val="20"/>
              </w:rPr>
              <w:t xml:space="preserve">, M., 2009 </w:t>
            </w:r>
          </w:p>
        </w:tc>
        <w:tc>
          <w:tcPr>
            <w:tcW w:w="1276" w:type="dxa"/>
          </w:tcPr>
          <w:p w14:paraId="1595619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Myanmar </w:t>
            </w:r>
          </w:p>
        </w:tc>
        <w:tc>
          <w:tcPr>
            <w:tcW w:w="1418" w:type="dxa"/>
          </w:tcPr>
          <w:p w14:paraId="1ECE5BDD"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Household heads or adults &gt; 18y</w:t>
            </w:r>
          </w:p>
        </w:tc>
        <w:tc>
          <w:tcPr>
            <w:tcW w:w="1417" w:type="dxa"/>
          </w:tcPr>
          <w:p w14:paraId="6DA6FDFB"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Quantitative</w:t>
            </w:r>
          </w:p>
        </w:tc>
        <w:tc>
          <w:tcPr>
            <w:tcW w:w="1418" w:type="dxa"/>
          </w:tcPr>
          <w:p w14:paraId="3A6A7813"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Descriptive statistics</w:t>
            </w:r>
          </w:p>
        </w:tc>
        <w:tc>
          <w:tcPr>
            <w:tcW w:w="2834" w:type="dxa"/>
          </w:tcPr>
          <w:p w14:paraId="218D4E57" w14:textId="77777777" w:rsidR="00E7529D" w:rsidRPr="00334394" w:rsidRDefault="00E7529D" w:rsidP="004A188C">
            <w:pPr>
              <w:jc w:val="both"/>
              <w:rPr>
                <w:rFonts w:ascii="Times" w:hAnsi="Times" w:cs="Calibri"/>
                <w:color w:val="000000" w:themeColor="text1"/>
                <w:sz w:val="20"/>
                <w:szCs w:val="20"/>
              </w:rPr>
            </w:pPr>
            <w:r w:rsidRPr="00334394">
              <w:rPr>
                <w:rFonts w:ascii="Times" w:hAnsi="Times" w:cs="Calibri"/>
                <w:color w:val="000000" w:themeColor="text1"/>
                <w:sz w:val="20"/>
                <w:szCs w:val="20"/>
              </w:rPr>
              <w:t>To assess knowledge, attitude and practice of community on ITN.</w:t>
            </w:r>
          </w:p>
        </w:tc>
        <w:tc>
          <w:tcPr>
            <w:tcW w:w="2835" w:type="dxa"/>
            <w:tcMar>
              <w:top w:w="100" w:type="dxa"/>
              <w:left w:w="100" w:type="dxa"/>
              <w:bottom w:w="100" w:type="dxa"/>
              <w:right w:w="100" w:type="dxa"/>
            </w:tcMar>
          </w:tcPr>
          <w:p w14:paraId="4503267D"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The top reason for not using ITNs was not knowing about ITNs and lack of ITNs. Other reasons mentioned to lesser degree include not being able to afford purchasing ITNs and disliking its use, not knowing where to buy ITN treatment tablets. </w:t>
            </w:r>
          </w:p>
        </w:tc>
      </w:tr>
      <w:tr w:rsidR="00E7529D" w:rsidRPr="00334394" w14:paraId="05114875" w14:textId="77777777" w:rsidTr="004A188C">
        <w:trPr>
          <w:trHeight w:val="20"/>
        </w:trPr>
        <w:tc>
          <w:tcPr>
            <w:tcW w:w="1276" w:type="dxa"/>
            <w:tcMar>
              <w:top w:w="100" w:type="dxa"/>
              <w:left w:w="100" w:type="dxa"/>
              <w:bottom w:w="100" w:type="dxa"/>
              <w:right w:w="100" w:type="dxa"/>
            </w:tcMar>
          </w:tcPr>
          <w:p w14:paraId="013D2B0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United States Agency for International Development (USAID), 2012 </w:t>
            </w:r>
          </w:p>
        </w:tc>
        <w:tc>
          <w:tcPr>
            <w:tcW w:w="1276" w:type="dxa"/>
          </w:tcPr>
          <w:p w14:paraId="22A9278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 Thailand, Cambodia</w:t>
            </w:r>
          </w:p>
        </w:tc>
        <w:tc>
          <w:tcPr>
            <w:tcW w:w="1418" w:type="dxa"/>
          </w:tcPr>
          <w:p w14:paraId="4E5E3A6A"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General population </w:t>
            </w:r>
          </w:p>
        </w:tc>
        <w:tc>
          <w:tcPr>
            <w:tcW w:w="1417" w:type="dxa"/>
          </w:tcPr>
          <w:p w14:paraId="0FF3C7B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Report, Grey literature </w:t>
            </w:r>
          </w:p>
        </w:tc>
        <w:tc>
          <w:tcPr>
            <w:tcW w:w="1418" w:type="dxa"/>
          </w:tcPr>
          <w:p w14:paraId="1641997D"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NA</w:t>
            </w:r>
          </w:p>
        </w:tc>
        <w:tc>
          <w:tcPr>
            <w:tcW w:w="2834" w:type="dxa"/>
          </w:tcPr>
          <w:p w14:paraId="6DAA1A5D" w14:textId="77777777" w:rsidR="00E7529D" w:rsidRPr="00334394" w:rsidRDefault="00E7529D" w:rsidP="004A188C">
            <w:pPr>
              <w:jc w:val="both"/>
              <w:rPr>
                <w:rFonts w:ascii="Times" w:hAnsi="Times" w:cs="Calibri"/>
                <w:color w:val="000000" w:themeColor="text1"/>
                <w:sz w:val="20"/>
                <w:szCs w:val="20"/>
              </w:rPr>
            </w:pPr>
            <w:r w:rsidRPr="00334394">
              <w:rPr>
                <w:rFonts w:ascii="Times" w:hAnsi="Times" w:cs="Calibri"/>
                <w:color w:val="000000" w:themeColor="text1"/>
                <w:sz w:val="20"/>
                <w:szCs w:val="20"/>
              </w:rPr>
              <w:t xml:space="preserve">Provide a review of malaria prevention strategies for countries in the Greater Mekong </w:t>
            </w:r>
            <w:r w:rsidRPr="00334394">
              <w:rPr>
                <w:rFonts w:ascii="Times" w:hAnsi="Times" w:cs="Calibri"/>
                <w:color w:val="000000" w:themeColor="text1"/>
                <w:sz w:val="20"/>
                <w:szCs w:val="20"/>
                <w:lang w:val="en-US" w:eastAsia="en-US"/>
              </w:rPr>
              <w:t>Subregion</w:t>
            </w:r>
            <w:r w:rsidRPr="00334394">
              <w:rPr>
                <w:rFonts w:ascii="Times" w:hAnsi="Times" w:cs="Calibri"/>
                <w:color w:val="000000" w:themeColor="text1"/>
                <w:sz w:val="20"/>
                <w:szCs w:val="20"/>
              </w:rPr>
              <w:t xml:space="preserve">. </w:t>
            </w:r>
          </w:p>
        </w:tc>
        <w:tc>
          <w:tcPr>
            <w:tcW w:w="2835" w:type="dxa"/>
            <w:tcMar>
              <w:top w:w="100" w:type="dxa"/>
              <w:left w:w="100" w:type="dxa"/>
              <w:bottom w:w="100" w:type="dxa"/>
              <w:right w:w="100" w:type="dxa"/>
            </w:tcMar>
          </w:tcPr>
          <w:p w14:paraId="31C2465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Overview suggests that consumer preferences and poor affordability affects ITN use. Nets used for nuisance biting, malaria prevention, and privacy. </w:t>
            </w:r>
          </w:p>
        </w:tc>
      </w:tr>
      <w:tr w:rsidR="00E7529D" w:rsidRPr="00334394" w14:paraId="609FBBBC" w14:textId="77777777" w:rsidTr="004A188C">
        <w:trPr>
          <w:trHeight w:val="20"/>
        </w:trPr>
        <w:tc>
          <w:tcPr>
            <w:tcW w:w="1276" w:type="dxa"/>
            <w:tcMar>
              <w:top w:w="100" w:type="dxa"/>
              <w:left w:w="100" w:type="dxa"/>
              <w:bottom w:w="100" w:type="dxa"/>
              <w:right w:w="100" w:type="dxa"/>
            </w:tcMar>
          </w:tcPr>
          <w:p w14:paraId="0315639C" w14:textId="77777777" w:rsidR="00E7529D" w:rsidRPr="00334394" w:rsidRDefault="00E7529D" w:rsidP="004A188C">
            <w:pPr>
              <w:widowControl w:val="0"/>
              <w:rPr>
                <w:rFonts w:ascii="Times" w:hAnsi="Times" w:cs="Calibri"/>
                <w:color w:val="000000" w:themeColor="text1"/>
                <w:sz w:val="20"/>
                <w:szCs w:val="20"/>
              </w:rPr>
            </w:pPr>
            <w:proofErr w:type="spellStart"/>
            <w:r w:rsidRPr="00334394">
              <w:rPr>
                <w:rFonts w:ascii="Times" w:hAnsi="Times" w:cs="Calibri"/>
                <w:color w:val="000000" w:themeColor="text1"/>
                <w:sz w:val="20"/>
                <w:szCs w:val="20"/>
              </w:rPr>
              <w:t>Vilay</w:t>
            </w:r>
            <w:proofErr w:type="spellEnd"/>
            <w:r w:rsidRPr="00334394">
              <w:rPr>
                <w:rFonts w:ascii="Times" w:hAnsi="Times" w:cs="Calibri"/>
                <w:color w:val="000000" w:themeColor="text1"/>
                <w:sz w:val="20"/>
                <w:szCs w:val="20"/>
              </w:rPr>
              <w:t xml:space="preserve"> et al., 2019</w:t>
            </w:r>
          </w:p>
        </w:tc>
        <w:tc>
          <w:tcPr>
            <w:tcW w:w="1276" w:type="dxa"/>
          </w:tcPr>
          <w:p w14:paraId="669B0680"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Laos</w:t>
            </w:r>
          </w:p>
        </w:tc>
        <w:tc>
          <w:tcPr>
            <w:tcW w:w="1418" w:type="dxa"/>
          </w:tcPr>
          <w:p w14:paraId="64554A7F"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313 military personnel </w:t>
            </w:r>
          </w:p>
        </w:tc>
        <w:tc>
          <w:tcPr>
            <w:tcW w:w="1417" w:type="dxa"/>
          </w:tcPr>
          <w:p w14:paraId="3717CD7E"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Mixed methods</w:t>
            </w:r>
          </w:p>
        </w:tc>
        <w:tc>
          <w:tcPr>
            <w:tcW w:w="1418" w:type="dxa"/>
          </w:tcPr>
          <w:p w14:paraId="27332F12"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Descriptive statistics</w:t>
            </w:r>
          </w:p>
        </w:tc>
        <w:tc>
          <w:tcPr>
            <w:tcW w:w="2834" w:type="dxa"/>
          </w:tcPr>
          <w:p w14:paraId="71A18646" w14:textId="77777777" w:rsidR="00E7529D" w:rsidRPr="00334394" w:rsidRDefault="00E7529D" w:rsidP="004A188C">
            <w:pPr>
              <w:jc w:val="both"/>
              <w:rPr>
                <w:rFonts w:ascii="Times" w:hAnsi="Times" w:cs="Calibri"/>
                <w:color w:val="000000" w:themeColor="text1"/>
                <w:sz w:val="20"/>
                <w:szCs w:val="20"/>
              </w:rPr>
            </w:pPr>
            <w:r w:rsidRPr="00334394">
              <w:rPr>
                <w:rFonts w:ascii="Times" w:hAnsi="Times" w:cs="Calibri"/>
                <w:color w:val="000000" w:themeColor="text1"/>
                <w:sz w:val="20"/>
                <w:szCs w:val="20"/>
              </w:rPr>
              <w:t>This study determined the prevalence of malaria infection and assessed knowledge, perception, and preventive and treatment behavior regarding malaria among military personnel in two southern provinces in Lao PDR.</w:t>
            </w:r>
          </w:p>
        </w:tc>
        <w:tc>
          <w:tcPr>
            <w:tcW w:w="2835" w:type="dxa"/>
            <w:tcMar>
              <w:top w:w="100" w:type="dxa"/>
              <w:left w:w="100" w:type="dxa"/>
              <w:bottom w:w="100" w:type="dxa"/>
              <w:right w:w="100" w:type="dxa"/>
            </w:tcMar>
          </w:tcPr>
          <w:p w14:paraId="5CA9293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Participants viewed nets as important and necessary, but these measures were not always available. Despite being distributed for free, in some cases, participants had to purchase their own tools at markets. Data suggests that nets were not used due to a lack of sufficient supply of ITNs, inappropriate location for hanging nets, and security inspections.   </w:t>
            </w:r>
          </w:p>
        </w:tc>
      </w:tr>
      <w:tr w:rsidR="00E7529D" w:rsidRPr="00334394" w14:paraId="6F606C44" w14:textId="77777777" w:rsidTr="004A188C">
        <w:trPr>
          <w:trHeight w:val="20"/>
        </w:trPr>
        <w:tc>
          <w:tcPr>
            <w:tcW w:w="1276" w:type="dxa"/>
            <w:tcMar>
              <w:top w:w="100" w:type="dxa"/>
              <w:left w:w="100" w:type="dxa"/>
              <w:bottom w:w="100" w:type="dxa"/>
              <w:right w:w="100" w:type="dxa"/>
            </w:tcMar>
          </w:tcPr>
          <w:p w14:paraId="6AF20C70" w14:textId="298D94A4" w:rsidR="00E7529D" w:rsidRPr="00334394" w:rsidRDefault="00E7529D" w:rsidP="00DE70D7">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Wharton-Smith, A and Shafique, M., 2014 </w:t>
            </w:r>
          </w:p>
        </w:tc>
        <w:tc>
          <w:tcPr>
            <w:tcW w:w="1276" w:type="dxa"/>
          </w:tcPr>
          <w:p w14:paraId="62D4092A"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Myanmar</w:t>
            </w:r>
          </w:p>
        </w:tc>
        <w:tc>
          <w:tcPr>
            <w:tcW w:w="1418" w:type="dxa"/>
          </w:tcPr>
          <w:p w14:paraId="7B70806C"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General population</w:t>
            </w:r>
          </w:p>
        </w:tc>
        <w:tc>
          <w:tcPr>
            <w:tcW w:w="1417" w:type="dxa"/>
          </w:tcPr>
          <w:p w14:paraId="25FBAC3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Report, Grey literature</w:t>
            </w:r>
          </w:p>
        </w:tc>
        <w:tc>
          <w:tcPr>
            <w:tcW w:w="1418" w:type="dxa"/>
          </w:tcPr>
          <w:p w14:paraId="430A92EC" w14:textId="77777777" w:rsidR="00E7529D" w:rsidRPr="00334394" w:rsidRDefault="00E7529D" w:rsidP="004A188C">
            <w:pPr>
              <w:rPr>
                <w:rFonts w:ascii="Times" w:hAnsi="Times" w:cs="Calibri"/>
                <w:color w:val="000000" w:themeColor="text1"/>
                <w:sz w:val="20"/>
                <w:szCs w:val="20"/>
              </w:rPr>
            </w:pPr>
            <w:r w:rsidRPr="00334394">
              <w:rPr>
                <w:rFonts w:ascii="Times" w:hAnsi="Times" w:cs="Calibri"/>
                <w:color w:val="000000" w:themeColor="text1"/>
                <w:sz w:val="20"/>
                <w:szCs w:val="20"/>
              </w:rPr>
              <w:t>NA</w:t>
            </w:r>
          </w:p>
        </w:tc>
        <w:tc>
          <w:tcPr>
            <w:tcW w:w="2834" w:type="dxa"/>
          </w:tcPr>
          <w:p w14:paraId="07B33284"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Outlines findings of a behavioral study that was done to assess consumer preferences and barriers to use of LLINs in Myanmar.</w:t>
            </w:r>
          </w:p>
        </w:tc>
        <w:tc>
          <w:tcPr>
            <w:tcW w:w="2835" w:type="dxa"/>
            <w:tcMar>
              <w:top w:w="100" w:type="dxa"/>
              <w:left w:w="100" w:type="dxa"/>
              <w:bottom w:w="100" w:type="dxa"/>
              <w:right w:w="100" w:type="dxa"/>
            </w:tcMar>
          </w:tcPr>
          <w:p w14:paraId="00A5B013"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Lack of knowledge of malaria was a common reason cited for non-use of nets. Net preferences such as texture and perceived adverse effects affected use of LLINs. </w:t>
            </w:r>
          </w:p>
        </w:tc>
      </w:tr>
      <w:tr w:rsidR="00E7529D" w:rsidRPr="00334394" w14:paraId="68E4AC5E" w14:textId="77777777" w:rsidTr="004A188C">
        <w:trPr>
          <w:trHeight w:val="20"/>
        </w:trPr>
        <w:tc>
          <w:tcPr>
            <w:tcW w:w="1276" w:type="dxa"/>
            <w:tcBorders>
              <w:bottom w:val="single" w:sz="4" w:space="0" w:color="auto"/>
            </w:tcBorders>
            <w:tcMar>
              <w:top w:w="100" w:type="dxa"/>
              <w:left w:w="100" w:type="dxa"/>
              <w:bottom w:w="100" w:type="dxa"/>
              <w:right w:w="100" w:type="dxa"/>
            </w:tcMar>
          </w:tcPr>
          <w:p w14:paraId="612662B7"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 xml:space="preserve">Welch &amp; </w:t>
            </w:r>
            <w:proofErr w:type="spellStart"/>
            <w:r w:rsidRPr="00334394">
              <w:rPr>
                <w:rFonts w:ascii="Times" w:hAnsi="Times" w:cs="Calibri"/>
                <w:color w:val="000000" w:themeColor="text1"/>
                <w:sz w:val="20"/>
                <w:szCs w:val="20"/>
              </w:rPr>
              <w:t>Fuster</w:t>
            </w:r>
            <w:proofErr w:type="spellEnd"/>
            <w:r w:rsidRPr="00334394">
              <w:rPr>
                <w:rFonts w:ascii="Times" w:hAnsi="Times" w:cs="Calibri"/>
                <w:color w:val="000000" w:themeColor="text1"/>
                <w:sz w:val="20"/>
                <w:szCs w:val="20"/>
              </w:rPr>
              <w:t xml:space="preserve">, 2012 </w:t>
            </w:r>
          </w:p>
        </w:tc>
        <w:tc>
          <w:tcPr>
            <w:tcW w:w="1276" w:type="dxa"/>
            <w:tcBorders>
              <w:bottom w:val="single" w:sz="4" w:space="0" w:color="auto"/>
            </w:tcBorders>
          </w:tcPr>
          <w:p w14:paraId="18A5EF28"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Cambodia</w:t>
            </w:r>
          </w:p>
        </w:tc>
        <w:tc>
          <w:tcPr>
            <w:tcW w:w="1418" w:type="dxa"/>
            <w:tcBorders>
              <w:bottom w:val="single" w:sz="4" w:space="0" w:color="auto"/>
            </w:tcBorders>
          </w:tcPr>
          <w:p w14:paraId="30D4A1DB"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168,232 household members</w:t>
            </w:r>
          </w:p>
        </w:tc>
        <w:tc>
          <w:tcPr>
            <w:tcW w:w="1417" w:type="dxa"/>
            <w:tcBorders>
              <w:bottom w:val="single" w:sz="4" w:space="0" w:color="auto"/>
            </w:tcBorders>
          </w:tcPr>
          <w:p w14:paraId="68521D9B"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Cross-sectional</w:t>
            </w:r>
          </w:p>
        </w:tc>
        <w:tc>
          <w:tcPr>
            <w:tcW w:w="1418" w:type="dxa"/>
            <w:tcBorders>
              <w:bottom w:val="single" w:sz="4" w:space="0" w:color="auto"/>
            </w:tcBorders>
          </w:tcPr>
          <w:p w14:paraId="3146B55A"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Descriptive statistics, bivariate, and multivariate analysis</w:t>
            </w:r>
          </w:p>
        </w:tc>
        <w:tc>
          <w:tcPr>
            <w:tcW w:w="2834" w:type="dxa"/>
            <w:tcBorders>
              <w:bottom w:val="single" w:sz="4" w:space="0" w:color="auto"/>
            </w:tcBorders>
          </w:tcPr>
          <w:p w14:paraId="00A802B5" w14:textId="77777777" w:rsidR="00E7529D" w:rsidRPr="00334394" w:rsidRDefault="00E7529D" w:rsidP="004A188C">
            <w:pPr>
              <w:autoSpaceDE w:val="0"/>
              <w:autoSpaceDN w:val="0"/>
              <w:adjustRightInd w:val="0"/>
              <w:rPr>
                <w:rFonts w:ascii="Times" w:hAnsi="Times" w:cs="Calibri"/>
                <w:color w:val="000000" w:themeColor="text1"/>
                <w:sz w:val="20"/>
                <w:szCs w:val="20"/>
              </w:rPr>
            </w:pPr>
            <w:r w:rsidRPr="00334394">
              <w:rPr>
                <w:rFonts w:ascii="Times" w:hAnsi="Times" w:cs="Calibri"/>
                <w:color w:val="000000" w:themeColor="text1"/>
                <w:sz w:val="20"/>
                <w:szCs w:val="20"/>
              </w:rPr>
              <w:t>Assess current disparities in access to ITNs, what factors may be associated with disparities in access</w:t>
            </w:r>
          </w:p>
          <w:p w14:paraId="487C9865" w14:textId="77777777" w:rsidR="00E7529D" w:rsidRPr="00334394" w:rsidRDefault="00E7529D" w:rsidP="004A188C">
            <w:pPr>
              <w:widowControl w:val="0"/>
              <w:rPr>
                <w:rFonts w:ascii="Times" w:hAnsi="Times" w:cs="Calibri"/>
                <w:color w:val="000000" w:themeColor="text1"/>
                <w:sz w:val="20"/>
                <w:szCs w:val="20"/>
              </w:rPr>
            </w:pPr>
            <w:r w:rsidRPr="00334394">
              <w:rPr>
                <w:rFonts w:ascii="Times" w:hAnsi="Times" w:cs="Calibri"/>
                <w:color w:val="000000" w:themeColor="text1"/>
                <w:sz w:val="20"/>
                <w:szCs w:val="20"/>
              </w:rPr>
              <w:t>and the progress of antimalaria interventions.</w:t>
            </w:r>
          </w:p>
        </w:tc>
        <w:tc>
          <w:tcPr>
            <w:tcW w:w="2835" w:type="dxa"/>
            <w:tcBorders>
              <w:bottom w:val="single" w:sz="4" w:space="0" w:color="auto"/>
            </w:tcBorders>
            <w:tcMar>
              <w:top w:w="100" w:type="dxa"/>
              <w:left w:w="100" w:type="dxa"/>
              <w:bottom w:w="100" w:type="dxa"/>
              <w:right w:w="100" w:type="dxa"/>
            </w:tcMar>
          </w:tcPr>
          <w:p w14:paraId="6EEF2ED6" w14:textId="77777777" w:rsidR="00E7529D" w:rsidRPr="00334394" w:rsidRDefault="00E7529D" w:rsidP="004A188C">
            <w:pPr>
              <w:autoSpaceDE w:val="0"/>
              <w:autoSpaceDN w:val="0"/>
              <w:adjustRightInd w:val="0"/>
              <w:rPr>
                <w:rFonts w:ascii="Times" w:hAnsi="Times" w:cs="Calibri"/>
                <w:color w:val="000000" w:themeColor="text1"/>
                <w:sz w:val="20"/>
                <w:szCs w:val="20"/>
                <w:lang w:val="en-US"/>
              </w:rPr>
            </w:pPr>
            <w:r w:rsidRPr="00334394">
              <w:rPr>
                <w:rFonts w:ascii="Times" w:hAnsi="Times" w:cs="Calibri"/>
                <w:color w:val="000000" w:themeColor="text1"/>
                <w:sz w:val="20"/>
                <w:szCs w:val="20"/>
              </w:rPr>
              <w:t>Problematic distance from ITN distributors, rural location, and poverty were all associated with greater unlikelihood of possession of least one household ITN.</w:t>
            </w:r>
          </w:p>
        </w:tc>
      </w:tr>
    </w:tbl>
    <w:p w14:paraId="27B59041" w14:textId="77777777" w:rsidR="00E7529D" w:rsidRDefault="00E7529D" w:rsidP="00E7529D">
      <w:pPr>
        <w:rPr>
          <w:lang w:eastAsia="en-CA"/>
        </w:rPr>
      </w:pPr>
    </w:p>
    <w:p w14:paraId="7B6BDBFC" w14:textId="77777777" w:rsidR="00E7529D" w:rsidRDefault="00E7529D" w:rsidP="00E7529D">
      <w:pPr>
        <w:rPr>
          <w:b/>
        </w:rPr>
      </w:pPr>
    </w:p>
    <w:p w14:paraId="73E35299" w14:textId="77777777" w:rsidR="00E7529D" w:rsidRDefault="00E7529D" w:rsidP="00E7529D">
      <w:pPr>
        <w:rPr>
          <w:b/>
        </w:rPr>
      </w:pPr>
    </w:p>
    <w:bookmarkEnd w:id="1"/>
    <w:p w14:paraId="12759B24" w14:textId="77777777" w:rsidR="00F42240" w:rsidRDefault="00A73816"/>
    <w:sectPr w:rsidR="00F42240" w:rsidSect="00A73816">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0000500000000000000"/>
    <w:charset w:val="00"/>
    <w:family w:val="roman"/>
    <w:pitch w:val="variable"/>
    <w:sig w:usb0="20002A87" w:usb1="00000000" w:usb2="00000000"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29D"/>
    <w:rsid w:val="00022331"/>
    <w:rsid w:val="00027189"/>
    <w:rsid w:val="0003262A"/>
    <w:rsid w:val="00034B99"/>
    <w:rsid w:val="00037BDE"/>
    <w:rsid w:val="00070014"/>
    <w:rsid w:val="00072E33"/>
    <w:rsid w:val="0007370B"/>
    <w:rsid w:val="00077C7F"/>
    <w:rsid w:val="00086581"/>
    <w:rsid w:val="00091D2D"/>
    <w:rsid w:val="000942F3"/>
    <w:rsid w:val="000944BB"/>
    <w:rsid w:val="000A2A33"/>
    <w:rsid w:val="000A6F7D"/>
    <w:rsid w:val="000B579F"/>
    <w:rsid w:val="000E6B0E"/>
    <w:rsid w:val="000F6B9E"/>
    <w:rsid w:val="000F7882"/>
    <w:rsid w:val="0010085C"/>
    <w:rsid w:val="00104406"/>
    <w:rsid w:val="001144E9"/>
    <w:rsid w:val="00114BC4"/>
    <w:rsid w:val="001339E5"/>
    <w:rsid w:val="0013553A"/>
    <w:rsid w:val="0017113C"/>
    <w:rsid w:val="00194226"/>
    <w:rsid w:val="00194D02"/>
    <w:rsid w:val="001A6040"/>
    <w:rsid w:val="001B016B"/>
    <w:rsid w:val="001B39E1"/>
    <w:rsid w:val="001D0D16"/>
    <w:rsid w:val="001F77E2"/>
    <w:rsid w:val="0020165B"/>
    <w:rsid w:val="0023790A"/>
    <w:rsid w:val="00253C70"/>
    <w:rsid w:val="00262394"/>
    <w:rsid w:val="002652E9"/>
    <w:rsid w:val="00282E07"/>
    <w:rsid w:val="002862F9"/>
    <w:rsid w:val="00290519"/>
    <w:rsid w:val="00293EA4"/>
    <w:rsid w:val="002977F1"/>
    <w:rsid w:val="002D4B62"/>
    <w:rsid w:val="002E769D"/>
    <w:rsid w:val="002F5616"/>
    <w:rsid w:val="002F7A22"/>
    <w:rsid w:val="00304560"/>
    <w:rsid w:val="00317273"/>
    <w:rsid w:val="00332002"/>
    <w:rsid w:val="00343550"/>
    <w:rsid w:val="00352B94"/>
    <w:rsid w:val="00364E38"/>
    <w:rsid w:val="00372AD0"/>
    <w:rsid w:val="00384ADD"/>
    <w:rsid w:val="00392041"/>
    <w:rsid w:val="003C1B69"/>
    <w:rsid w:val="003C3E81"/>
    <w:rsid w:val="003D24A8"/>
    <w:rsid w:val="003F01E0"/>
    <w:rsid w:val="003F2E71"/>
    <w:rsid w:val="003F3C96"/>
    <w:rsid w:val="00404F9B"/>
    <w:rsid w:val="004053B6"/>
    <w:rsid w:val="00411B61"/>
    <w:rsid w:val="00433644"/>
    <w:rsid w:val="0043622C"/>
    <w:rsid w:val="004440E0"/>
    <w:rsid w:val="00446F16"/>
    <w:rsid w:val="004558A7"/>
    <w:rsid w:val="00485DED"/>
    <w:rsid w:val="004924E3"/>
    <w:rsid w:val="004A18E1"/>
    <w:rsid w:val="004A6A9F"/>
    <w:rsid w:val="004C7DCA"/>
    <w:rsid w:val="004D1FCE"/>
    <w:rsid w:val="004E5C0D"/>
    <w:rsid w:val="004F2610"/>
    <w:rsid w:val="00506F4A"/>
    <w:rsid w:val="00507939"/>
    <w:rsid w:val="00510EF3"/>
    <w:rsid w:val="00515224"/>
    <w:rsid w:val="00527FE0"/>
    <w:rsid w:val="00531B94"/>
    <w:rsid w:val="00551CC4"/>
    <w:rsid w:val="0056627A"/>
    <w:rsid w:val="005832B3"/>
    <w:rsid w:val="005843F0"/>
    <w:rsid w:val="00585AC1"/>
    <w:rsid w:val="005862AE"/>
    <w:rsid w:val="00587378"/>
    <w:rsid w:val="005A0188"/>
    <w:rsid w:val="005A75E1"/>
    <w:rsid w:val="005B1CAB"/>
    <w:rsid w:val="005B4D7D"/>
    <w:rsid w:val="005C3CF5"/>
    <w:rsid w:val="005D6E1B"/>
    <w:rsid w:val="005D7CAB"/>
    <w:rsid w:val="005E6460"/>
    <w:rsid w:val="005F3AF4"/>
    <w:rsid w:val="006058EC"/>
    <w:rsid w:val="006139FE"/>
    <w:rsid w:val="00633B02"/>
    <w:rsid w:val="00642DC5"/>
    <w:rsid w:val="006437F4"/>
    <w:rsid w:val="00646355"/>
    <w:rsid w:val="00646528"/>
    <w:rsid w:val="00650CDC"/>
    <w:rsid w:val="006579B5"/>
    <w:rsid w:val="00660434"/>
    <w:rsid w:val="00686FB4"/>
    <w:rsid w:val="006B52B7"/>
    <w:rsid w:val="006D153F"/>
    <w:rsid w:val="006D4E8B"/>
    <w:rsid w:val="006E0615"/>
    <w:rsid w:val="006E6674"/>
    <w:rsid w:val="006F41C6"/>
    <w:rsid w:val="007054D0"/>
    <w:rsid w:val="00712E97"/>
    <w:rsid w:val="007215B3"/>
    <w:rsid w:val="00727F68"/>
    <w:rsid w:val="00733839"/>
    <w:rsid w:val="00746EFB"/>
    <w:rsid w:val="00771EA0"/>
    <w:rsid w:val="00796423"/>
    <w:rsid w:val="007C15C3"/>
    <w:rsid w:val="007C7631"/>
    <w:rsid w:val="007F295B"/>
    <w:rsid w:val="007F6C65"/>
    <w:rsid w:val="007F72E7"/>
    <w:rsid w:val="0082263C"/>
    <w:rsid w:val="00826487"/>
    <w:rsid w:val="00832247"/>
    <w:rsid w:val="008405D4"/>
    <w:rsid w:val="00847DF8"/>
    <w:rsid w:val="00855897"/>
    <w:rsid w:val="008672A5"/>
    <w:rsid w:val="008B619A"/>
    <w:rsid w:val="008C43F9"/>
    <w:rsid w:val="008E0144"/>
    <w:rsid w:val="008E1F20"/>
    <w:rsid w:val="008F2BCC"/>
    <w:rsid w:val="00902920"/>
    <w:rsid w:val="009064A2"/>
    <w:rsid w:val="00921304"/>
    <w:rsid w:val="00931EDB"/>
    <w:rsid w:val="00960786"/>
    <w:rsid w:val="00960E44"/>
    <w:rsid w:val="009635AE"/>
    <w:rsid w:val="00974AC7"/>
    <w:rsid w:val="009A1CF7"/>
    <w:rsid w:val="009B2A72"/>
    <w:rsid w:val="009B39D1"/>
    <w:rsid w:val="009C1295"/>
    <w:rsid w:val="009C4F99"/>
    <w:rsid w:val="009C7BA5"/>
    <w:rsid w:val="009D15EC"/>
    <w:rsid w:val="009D37A2"/>
    <w:rsid w:val="009E153A"/>
    <w:rsid w:val="009E5861"/>
    <w:rsid w:val="00A01E89"/>
    <w:rsid w:val="00A06826"/>
    <w:rsid w:val="00A079C0"/>
    <w:rsid w:val="00A148AB"/>
    <w:rsid w:val="00A202FC"/>
    <w:rsid w:val="00A42794"/>
    <w:rsid w:val="00A43606"/>
    <w:rsid w:val="00A45E06"/>
    <w:rsid w:val="00A60EF4"/>
    <w:rsid w:val="00A62FDF"/>
    <w:rsid w:val="00A73816"/>
    <w:rsid w:val="00AC06F5"/>
    <w:rsid w:val="00AE454A"/>
    <w:rsid w:val="00B20574"/>
    <w:rsid w:val="00B21462"/>
    <w:rsid w:val="00B34BF7"/>
    <w:rsid w:val="00B377B8"/>
    <w:rsid w:val="00B5712A"/>
    <w:rsid w:val="00B77BD2"/>
    <w:rsid w:val="00B97F4B"/>
    <w:rsid w:val="00BA0EBB"/>
    <w:rsid w:val="00BA326C"/>
    <w:rsid w:val="00BC2BD4"/>
    <w:rsid w:val="00BC7DA0"/>
    <w:rsid w:val="00BD5C6F"/>
    <w:rsid w:val="00BF0126"/>
    <w:rsid w:val="00C03C89"/>
    <w:rsid w:val="00C14F55"/>
    <w:rsid w:val="00C178D4"/>
    <w:rsid w:val="00C225AA"/>
    <w:rsid w:val="00C33E4B"/>
    <w:rsid w:val="00C40413"/>
    <w:rsid w:val="00C43297"/>
    <w:rsid w:val="00C43BFD"/>
    <w:rsid w:val="00C63990"/>
    <w:rsid w:val="00C71E88"/>
    <w:rsid w:val="00CA0981"/>
    <w:rsid w:val="00CA71B8"/>
    <w:rsid w:val="00CC23E8"/>
    <w:rsid w:val="00CC45C9"/>
    <w:rsid w:val="00CE4855"/>
    <w:rsid w:val="00CF1CCE"/>
    <w:rsid w:val="00D02960"/>
    <w:rsid w:val="00D033E3"/>
    <w:rsid w:val="00D04069"/>
    <w:rsid w:val="00D218A4"/>
    <w:rsid w:val="00D2340F"/>
    <w:rsid w:val="00D24B83"/>
    <w:rsid w:val="00D31A43"/>
    <w:rsid w:val="00D3371F"/>
    <w:rsid w:val="00D73CC6"/>
    <w:rsid w:val="00D75570"/>
    <w:rsid w:val="00D84429"/>
    <w:rsid w:val="00DB515D"/>
    <w:rsid w:val="00DC3885"/>
    <w:rsid w:val="00DC3F0E"/>
    <w:rsid w:val="00DC557E"/>
    <w:rsid w:val="00DD07EB"/>
    <w:rsid w:val="00DE6910"/>
    <w:rsid w:val="00DE70D7"/>
    <w:rsid w:val="00DF43FF"/>
    <w:rsid w:val="00E145F7"/>
    <w:rsid w:val="00E15B8A"/>
    <w:rsid w:val="00E16AC8"/>
    <w:rsid w:val="00E3322B"/>
    <w:rsid w:val="00E55CFA"/>
    <w:rsid w:val="00E60336"/>
    <w:rsid w:val="00E7529D"/>
    <w:rsid w:val="00E85AC6"/>
    <w:rsid w:val="00EB2355"/>
    <w:rsid w:val="00EB51A1"/>
    <w:rsid w:val="00ED04B4"/>
    <w:rsid w:val="00EE032F"/>
    <w:rsid w:val="00EF7FDE"/>
    <w:rsid w:val="00F01310"/>
    <w:rsid w:val="00F117A3"/>
    <w:rsid w:val="00F30DE3"/>
    <w:rsid w:val="00F326FD"/>
    <w:rsid w:val="00F47791"/>
    <w:rsid w:val="00F61AF6"/>
    <w:rsid w:val="00F92852"/>
    <w:rsid w:val="00FA3117"/>
    <w:rsid w:val="00FC088E"/>
    <w:rsid w:val="00FD6022"/>
    <w:rsid w:val="00FE6378"/>
    <w:rsid w:val="00FF3ABF"/>
    <w:rsid w:val="00FF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DE7F"/>
  <w14:defaultImageDpi w14:val="32767"/>
  <w15:chartTrackingRefBased/>
  <w15:docId w15:val="{E1703DE5-D89D-7A4C-B6A4-A615D319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29D"/>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E7529D"/>
    <w:pPr>
      <w:spacing w:before="120" w:after="120" w:line="360" w:lineRule="auto"/>
    </w:pPr>
    <w:rPr>
      <w:b/>
      <w:szCs w:val="20"/>
      <w:lang w:eastAsia="en-CA"/>
    </w:rPr>
  </w:style>
  <w:style w:type="paragraph" w:styleId="NormalWeb">
    <w:name w:val="Normal (Web)"/>
    <w:basedOn w:val="Normal"/>
    <w:uiPriority w:val="99"/>
    <w:unhideWhenUsed/>
    <w:rsid w:val="00E752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1365</Words>
  <Characters>7786</Characters>
  <Application>Microsoft Office Word</Application>
  <DocSecurity>0</DocSecurity>
  <Lines>64</Lines>
  <Paragraphs>18</Paragraphs>
  <ScaleCrop>false</ScaleCrop>
  <Company/>
  <LinksUpToDate>false</LinksUpToDate>
  <CharactersWithSpaces>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Breagh Cheng</dc:creator>
  <cp:keywords/>
  <dc:description/>
  <cp:lastModifiedBy>Rajalakshmi</cp:lastModifiedBy>
  <cp:revision>6</cp:revision>
  <dcterms:created xsi:type="dcterms:W3CDTF">2021-04-09T02:33:00Z</dcterms:created>
  <dcterms:modified xsi:type="dcterms:W3CDTF">2021-04-13T04:54:00Z</dcterms:modified>
</cp:coreProperties>
</file>