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8351E7" w14:textId="7CE8B0D8" w:rsidR="004D4880" w:rsidRPr="00202E67" w:rsidRDefault="00891C15" w:rsidP="004D4880">
      <w:pPr>
        <w:pStyle w:val="Caption"/>
        <w:keepNext/>
        <w:spacing w:line="480" w:lineRule="auto"/>
        <w:rPr>
          <w:rFonts w:ascii="Times" w:hAnsi="Times" w:cs="Calibri"/>
          <w:bCs/>
          <w:color w:val="000000" w:themeColor="text1"/>
        </w:rPr>
      </w:pPr>
      <w:bookmarkStart w:id="0" w:name="_Toc53389860"/>
      <w:r>
        <w:rPr>
          <w:rFonts w:ascii="Times" w:hAnsi="Times" w:cs="Calibri"/>
          <w:b w:val="0"/>
          <w:color w:val="000000" w:themeColor="text1"/>
        </w:rPr>
        <w:t xml:space="preserve">Additional file 3: </w:t>
      </w:r>
      <w:r w:rsidR="004D4880" w:rsidRPr="00202E67">
        <w:rPr>
          <w:rFonts w:ascii="Times" w:hAnsi="Times" w:cs="Calibri"/>
          <w:b w:val="0"/>
          <w:bCs/>
          <w:color w:val="000000" w:themeColor="text1"/>
        </w:rPr>
        <w:t>Summary of publications disc</w:t>
      </w:r>
      <w:bookmarkStart w:id="1" w:name="_GoBack"/>
      <w:bookmarkEnd w:id="1"/>
      <w:r w:rsidR="004D4880" w:rsidRPr="00202E67">
        <w:rPr>
          <w:rFonts w:ascii="Times" w:hAnsi="Times" w:cs="Calibri"/>
          <w:b w:val="0"/>
          <w:bCs/>
          <w:color w:val="000000" w:themeColor="text1"/>
        </w:rPr>
        <w:t>ussing mass drug administration (MDA) (n=12).</w:t>
      </w:r>
      <w:bookmarkEnd w:id="0"/>
    </w:p>
    <w:tbl>
      <w:tblPr>
        <w:tblW w:w="12616" w:type="dxa"/>
        <w:tblLayout w:type="fixed"/>
        <w:tblLook w:val="0600" w:firstRow="0" w:lastRow="0" w:firstColumn="0" w:lastColumn="0" w:noHBand="1" w:noVBand="1"/>
      </w:tblPr>
      <w:tblGrid>
        <w:gridCol w:w="2042"/>
        <w:gridCol w:w="1263"/>
        <w:gridCol w:w="1569"/>
        <w:gridCol w:w="1267"/>
        <w:gridCol w:w="1403"/>
        <w:gridCol w:w="1756"/>
        <w:gridCol w:w="3316"/>
      </w:tblGrid>
      <w:tr w:rsidR="004D4880" w:rsidRPr="00584D7C" w14:paraId="035E5BA0" w14:textId="77777777" w:rsidTr="004A188C">
        <w:trPr>
          <w:trHeight w:val="57"/>
        </w:trPr>
        <w:tc>
          <w:tcPr>
            <w:tcW w:w="2042" w:type="dxa"/>
            <w:tcBorders>
              <w:top w:val="single" w:sz="4" w:space="0" w:color="auto"/>
            </w:tcBorders>
            <w:shd w:val="clear" w:color="auto" w:fill="auto"/>
            <w:tcMar>
              <w:top w:w="100" w:type="dxa"/>
              <w:left w:w="100" w:type="dxa"/>
              <w:bottom w:w="100" w:type="dxa"/>
              <w:right w:w="100" w:type="dxa"/>
            </w:tcMar>
          </w:tcPr>
          <w:p w14:paraId="69E9CD14" w14:textId="77777777" w:rsidR="004D4880" w:rsidRPr="00584D7C" w:rsidRDefault="004D4880" w:rsidP="004A188C">
            <w:pPr>
              <w:widowControl w:val="0"/>
              <w:rPr>
                <w:rFonts w:ascii="Times" w:hAnsi="Times" w:cs="Calibri"/>
                <w:b/>
                <w:color w:val="000000" w:themeColor="text1"/>
                <w:sz w:val="22"/>
                <w:szCs w:val="22"/>
              </w:rPr>
            </w:pPr>
            <w:r w:rsidRPr="00584D7C">
              <w:rPr>
                <w:rFonts w:ascii="Times" w:hAnsi="Times" w:cs="Calibri"/>
                <w:b/>
                <w:color w:val="000000" w:themeColor="text1"/>
                <w:sz w:val="22"/>
                <w:szCs w:val="22"/>
              </w:rPr>
              <w:t>Reference</w:t>
            </w:r>
          </w:p>
        </w:tc>
        <w:tc>
          <w:tcPr>
            <w:tcW w:w="1263" w:type="dxa"/>
            <w:tcBorders>
              <w:top w:val="single" w:sz="4" w:space="0" w:color="auto"/>
            </w:tcBorders>
          </w:tcPr>
          <w:p w14:paraId="496D6104" w14:textId="77777777" w:rsidR="004D4880" w:rsidRPr="00584D7C" w:rsidRDefault="004D4880" w:rsidP="004A188C">
            <w:pPr>
              <w:widowControl w:val="0"/>
              <w:ind w:right="-111"/>
              <w:rPr>
                <w:rFonts w:ascii="Times" w:hAnsi="Times" w:cs="Calibri"/>
                <w:b/>
                <w:color w:val="000000" w:themeColor="text1"/>
                <w:sz w:val="22"/>
                <w:szCs w:val="22"/>
              </w:rPr>
            </w:pPr>
            <w:r w:rsidRPr="00584D7C">
              <w:rPr>
                <w:rFonts w:ascii="Times" w:hAnsi="Times" w:cs="Calibri"/>
                <w:b/>
                <w:color w:val="000000" w:themeColor="text1"/>
                <w:sz w:val="22"/>
                <w:szCs w:val="22"/>
              </w:rPr>
              <w:t>Location</w:t>
            </w:r>
          </w:p>
        </w:tc>
        <w:tc>
          <w:tcPr>
            <w:tcW w:w="1569" w:type="dxa"/>
            <w:tcBorders>
              <w:top w:val="single" w:sz="4" w:space="0" w:color="auto"/>
            </w:tcBorders>
          </w:tcPr>
          <w:p w14:paraId="042FADC0" w14:textId="77777777" w:rsidR="004D4880" w:rsidRPr="00584D7C" w:rsidRDefault="004D4880" w:rsidP="004A188C">
            <w:pPr>
              <w:widowControl w:val="0"/>
              <w:rPr>
                <w:rFonts w:ascii="Times" w:hAnsi="Times" w:cs="Calibri"/>
                <w:b/>
                <w:color w:val="000000" w:themeColor="text1"/>
                <w:sz w:val="22"/>
                <w:szCs w:val="22"/>
              </w:rPr>
            </w:pPr>
            <w:r w:rsidRPr="00584D7C">
              <w:rPr>
                <w:rFonts w:ascii="Times" w:hAnsi="Times" w:cs="Calibri"/>
                <w:b/>
                <w:color w:val="000000" w:themeColor="text1"/>
                <w:sz w:val="22"/>
                <w:szCs w:val="22"/>
              </w:rPr>
              <w:t>Population</w:t>
            </w:r>
          </w:p>
        </w:tc>
        <w:tc>
          <w:tcPr>
            <w:tcW w:w="1267" w:type="dxa"/>
            <w:tcBorders>
              <w:top w:val="single" w:sz="4" w:space="0" w:color="auto"/>
            </w:tcBorders>
            <w:shd w:val="clear" w:color="auto" w:fill="auto"/>
            <w:tcMar>
              <w:top w:w="100" w:type="dxa"/>
              <w:left w:w="100" w:type="dxa"/>
              <w:bottom w:w="100" w:type="dxa"/>
              <w:right w:w="100" w:type="dxa"/>
            </w:tcMar>
          </w:tcPr>
          <w:p w14:paraId="34294351" w14:textId="77777777" w:rsidR="004D4880" w:rsidRPr="00584D7C" w:rsidRDefault="004D4880" w:rsidP="004A188C">
            <w:pPr>
              <w:widowControl w:val="0"/>
              <w:rPr>
                <w:rFonts w:ascii="Times" w:hAnsi="Times" w:cs="Calibri"/>
                <w:b/>
                <w:color w:val="000000" w:themeColor="text1"/>
                <w:sz w:val="22"/>
                <w:szCs w:val="22"/>
              </w:rPr>
            </w:pPr>
            <w:r w:rsidRPr="00584D7C">
              <w:rPr>
                <w:rFonts w:ascii="Times" w:hAnsi="Times" w:cs="Calibri"/>
                <w:b/>
                <w:color w:val="000000" w:themeColor="text1"/>
                <w:sz w:val="22"/>
                <w:szCs w:val="22"/>
              </w:rPr>
              <w:t>Design</w:t>
            </w:r>
          </w:p>
        </w:tc>
        <w:tc>
          <w:tcPr>
            <w:tcW w:w="1403" w:type="dxa"/>
            <w:tcBorders>
              <w:top w:val="single" w:sz="4" w:space="0" w:color="auto"/>
            </w:tcBorders>
          </w:tcPr>
          <w:p w14:paraId="2E08467B" w14:textId="77777777" w:rsidR="004D4880" w:rsidRPr="00584D7C" w:rsidRDefault="004D4880" w:rsidP="004A188C">
            <w:pPr>
              <w:rPr>
                <w:rFonts w:ascii="Times" w:hAnsi="Times" w:cs="Calibri"/>
                <w:color w:val="000000" w:themeColor="text1"/>
                <w:sz w:val="22"/>
                <w:szCs w:val="22"/>
              </w:rPr>
            </w:pPr>
            <w:r w:rsidRPr="00584D7C">
              <w:rPr>
                <w:rFonts w:ascii="Times" w:hAnsi="Times" w:cs="Calibri"/>
                <w:b/>
                <w:color w:val="000000" w:themeColor="text1"/>
                <w:sz w:val="22"/>
                <w:szCs w:val="22"/>
              </w:rPr>
              <w:t>Statistical analysis</w:t>
            </w:r>
          </w:p>
        </w:tc>
        <w:tc>
          <w:tcPr>
            <w:tcW w:w="1756" w:type="dxa"/>
            <w:tcBorders>
              <w:top w:val="single" w:sz="4" w:space="0" w:color="auto"/>
            </w:tcBorders>
          </w:tcPr>
          <w:p w14:paraId="0E849E2D" w14:textId="77777777" w:rsidR="004D4880" w:rsidRPr="00584D7C" w:rsidRDefault="004D4880" w:rsidP="004A188C">
            <w:pPr>
              <w:widowControl w:val="0"/>
              <w:rPr>
                <w:rFonts w:ascii="Times" w:hAnsi="Times" w:cs="Calibri"/>
                <w:b/>
                <w:color w:val="000000" w:themeColor="text1"/>
                <w:sz w:val="22"/>
                <w:szCs w:val="22"/>
              </w:rPr>
            </w:pPr>
            <w:r w:rsidRPr="00584D7C">
              <w:rPr>
                <w:rFonts w:ascii="Times" w:hAnsi="Times" w:cs="Calibri"/>
                <w:b/>
                <w:color w:val="000000" w:themeColor="text1"/>
                <w:sz w:val="22"/>
                <w:szCs w:val="22"/>
              </w:rPr>
              <w:t>Objective</w:t>
            </w:r>
          </w:p>
        </w:tc>
        <w:tc>
          <w:tcPr>
            <w:tcW w:w="3316" w:type="dxa"/>
            <w:tcBorders>
              <w:top w:val="single" w:sz="4" w:space="0" w:color="auto"/>
            </w:tcBorders>
            <w:shd w:val="clear" w:color="auto" w:fill="auto"/>
            <w:tcMar>
              <w:top w:w="100" w:type="dxa"/>
              <w:left w:w="100" w:type="dxa"/>
              <w:bottom w:w="100" w:type="dxa"/>
              <w:right w:w="100" w:type="dxa"/>
            </w:tcMar>
          </w:tcPr>
          <w:p w14:paraId="10B4CE63" w14:textId="77777777" w:rsidR="004D4880" w:rsidRPr="00584D7C" w:rsidRDefault="004D4880" w:rsidP="004A188C">
            <w:pPr>
              <w:widowControl w:val="0"/>
              <w:rPr>
                <w:rFonts w:ascii="Times" w:hAnsi="Times" w:cs="Calibri"/>
                <w:b/>
                <w:color w:val="000000" w:themeColor="text1"/>
                <w:sz w:val="22"/>
                <w:szCs w:val="22"/>
              </w:rPr>
            </w:pPr>
            <w:r w:rsidRPr="00584D7C">
              <w:rPr>
                <w:rFonts w:ascii="Times" w:hAnsi="Times" w:cs="Calibri"/>
                <w:b/>
                <w:color w:val="000000" w:themeColor="text1"/>
                <w:sz w:val="22"/>
                <w:szCs w:val="22"/>
              </w:rPr>
              <w:t>Summary</w:t>
            </w:r>
          </w:p>
        </w:tc>
      </w:tr>
      <w:tr w:rsidR="004D4880" w:rsidRPr="00584D7C" w14:paraId="2FB91A8B" w14:textId="77777777" w:rsidTr="004A188C">
        <w:trPr>
          <w:trHeight w:val="57"/>
        </w:trPr>
        <w:tc>
          <w:tcPr>
            <w:tcW w:w="2042" w:type="dxa"/>
            <w:tcMar>
              <w:top w:w="100" w:type="dxa"/>
              <w:left w:w="100" w:type="dxa"/>
              <w:bottom w:w="100" w:type="dxa"/>
              <w:right w:w="100" w:type="dxa"/>
            </w:tcMar>
          </w:tcPr>
          <w:p w14:paraId="55EDAA51" w14:textId="037713B3" w:rsidR="004D4880" w:rsidRPr="00584D7C" w:rsidRDefault="004D4880" w:rsidP="00146B85">
            <w:pPr>
              <w:widowControl w:val="0"/>
              <w:rPr>
                <w:rFonts w:ascii="Times" w:hAnsi="Times" w:cs="Calibri"/>
                <w:color w:val="000000" w:themeColor="text1"/>
                <w:sz w:val="20"/>
                <w:szCs w:val="20"/>
              </w:rPr>
            </w:pPr>
            <w:proofErr w:type="spellStart"/>
            <w:r w:rsidRPr="00584D7C">
              <w:rPr>
                <w:rFonts w:ascii="Times" w:hAnsi="Times" w:cs="Calibri"/>
                <w:color w:val="000000" w:themeColor="text1"/>
                <w:sz w:val="20"/>
                <w:szCs w:val="20"/>
              </w:rPr>
              <w:t>Adhikari</w:t>
            </w:r>
            <w:proofErr w:type="spellEnd"/>
            <w:r w:rsidRPr="00584D7C">
              <w:rPr>
                <w:rFonts w:ascii="Times" w:hAnsi="Times" w:cs="Calibri"/>
                <w:color w:val="000000" w:themeColor="text1"/>
                <w:sz w:val="20"/>
                <w:szCs w:val="20"/>
              </w:rPr>
              <w:t xml:space="preserve"> et al. (2018) </w:t>
            </w:r>
          </w:p>
        </w:tc>
        <w:tc>
          <w:tcPr>
            <w:tcW w:w="1263" w:type="dxa"/>
          </w:tcPr>
          <w:p w14:paraId="19ABD12D"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Laos</w:t>
            </w:r>
          </w:p>
        </w:tc>
        <w:tc>
          <w:tcPr>
            <w:tcW w:w="1569" w:type="dxa"/>
          </w:tcPr>
          <w:p w14:paraId="6F846677"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 xml:space="preserve">281 adult household heads </w:t>
            </w:r>
          </w:p>
        </w:tc>
        <w:tc>
          <w:tcPr>
            <w:tcW w:w="1267" w:type="dxa"/>
            <w:tcMar>
              <w:top w:w="100" w:type="dxa"/>
              <w:left w:w="100" w:type="dxa"/>
              <w:bottom w:w="100" w:type="dxa"/>
              <w:right w:w="100" w:type="dxa"/>
            </w:tcMar>
          </w:tcPr>
          <w:p w14:paraId="455BC922"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Cross-sectional</w:t>
            </w:r>
          </w:p>
        </w:tc>
        <w:tc>
          <w:tcPr>
            <w:tcW w:w="1403" w:type="dxa"/>
          </w:tcPr>
          <w:p w14:paraId="6D3FF863"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Descriptive statistics, bivariate and multivariate analysis</w:t>
            </w:r>
          </w:p>
        </w:tc>
        <w:tc>
          <w:tcPr>
            <w:tcW w:w="1756" w:type="dxa"/>
          </w:tcPr>
          <w:p w14:paraId="4A28E267" w14:textId="77777777" w:rsidR="004D4880" w:rsidRPr="00584D7C" w:rsidRDefault="004D4880" w:rsidP="004A188C">
            <w:pPr>
              <w:rPr>
                <w:rFonts w:ascii="Times" w:hAnsi="Times" w:cs="Calibri"/>
                <w:color w:val="000000" w:themeColor="text1"/>
                <w:sz w:val="20"/>
                <w:szCs w:val="20"/>
              </w:rPr>
            </w:pPr>
            <w:r w:rsidRPr="00584D7C">
              <w:rPr>
                <w:rFonts w:ascii="Times" w:hAnsi="Times" w:cs="Calibri"/>
                <w:color w:val="000000" w:themeColor="text1"/>
                <w:sz w:val="20"/>
                <w:szCs w:val="20"/>
              </w:rPr>
              <w:t xml:space="preserve">How community engagement and sociocultural context affected uptake of MDA. </w:t>
            </w:r>
          </w:p>
        </w:tc>
        <w:tc>
          <w:tcPr>
            <w:tcW w:w="3316" w:type="dxa"/>
            <w:tcMar>
              <w:top w:w="100" w:type="dxa"/>
              <w:left w:w="100" w:type="dxa"/>
              <w:bottom w:w="100" w:type="dxa"/>
              <w:right w:w="100" w:type="dxa"/>
            </w:tcMar>
          </w:tcPr>
          <w:p w14:paraId="1D826DC0" w14:textId="77777777" w:rsidR="004D4880" w:rsidRPr="00584D7C" w:rsidRDefault="004D4880" w:rsidP="004A188C">
            <w:pPr>
              <w:rPr>
                <w:rFonts w:ascii="Times" w:hAnsi="Times" w:cs="Calibri"/>
                <w:color w:val="000000" w:themeColor="text1"/>
                <w:sz w:val="20"/>
                <w:szCs w:val="20"/>
              </w:rPr>
            </w:pPr>
            <w:r w:rsidRPr="00584D7C">
              <w:rPr>
                <w:rFonts w:ascii="Times" w:hAnsi="Times" w:cs="Calibri"/>
                <w:color w:val="000000" w:themeColor="text1"/>
                <w:sz w:val="20"/>
                <w:szCs w:val="20"/>
              </w:rPr>
              <w:t xml:space="preserve">Awareness of asymptomatic malaria was positively associated with knowledge of MDA rationale and desire to participate in future MDA campaigns. </w:t>
            </w:r>
          </w:p>
        </w:tc>
      </w:tr>
      <w:tr w:rsidR="004D4880" w:rsidRPr="00584D7C" w14:paraId="7F47008F" w14:textId="77777777" w:rsidTr="004A188C">
        <w:trPr>
          <w:trHeight w:val="57"/>
        </w:trPr>
        <w:tc>
          <w:tcPr>
            <w:tcW w:w="2042" w:type="dxa"/>
            <w:tcMar>
              <w:top w:w="100" w:type="dxa"/>
              <w:left w:w="100" w:type="dxa"/>
              <w:bottom w:w="100" w:type="dxa"/>
              <w:right w:w="100" w:type="dxa"/>
            </w:tcMar>
          </w:tcPr>
          <w:p w14:paraId="6B3C1E62" w14:textId="0A3B6E42" w:rsidR="004D4880" w:rsidRPr="00584D7C" w:rsidRDefault="004D4880" w:rsidP="00146B85">
            <w:pPr>
              <w:widowControl w:val="0"/>
              <w:rPr>
                <w:rFonts w:ascii="Times" w:hAnsi="Times" w:cs="Calibri"/>
                <w:color w:val="000000" w:themeColor="text1"/>
                <w:sz w:val="20"/>
                <w:szCs w:val="20"/>
              </w:rPr>
            </w:pPr>
            <w:proofErr w:type="spellStart"/>
            <w:r w:rsidRPr="00584D7C">
              <w:rPr>
                <w:rFonts w:ascii="Times" w:hAnsi="Times" w:cs="Calibri"/>
                <w:color w:val="000000" w:themeColor="text1"/>
                <w:sz w:val="20"/>
                <w:szCs w:val="20"/>
              </w:rPr>
              <w:t>Adhikari</w:t>
            </w:r>
            <w:proofErr w:type="spellEnd"/>
            <w:r w:rsidRPr="00584D7C">
              <w:rPr>
                <w:rFonts w:ascii="Times" w:hAnsi="Times" w:cs="Calibri"/>
                <w:color w:val="000000" w:themeColor="text1"/>
                <w:sz w:val="20"/>
                <w:szCs w:val="20"/>
              </w:rPr>
              <w:t xml:space="preserve"> et al. (2018) </w:t>
            </w:r>
          </w:p>
        </w:tc>
        <w:tc>
          <w:tcPr>
            <w:tcW w:w="1263" w:type="dxa"/>
          </w:tcPr>
          <w:p w14:paraId="7C669846"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Laos</w:t>
            </w:r>
          </w:p>
        </w:tc>
        <w:tc>
          <w:tcPr>
            <w:tcW w:w="1569" w:type="dxa"/>
          </w:tcPr>
          <w:p w14:paraId="06ECAD3E" w14:textId="77777777" w:rsidR="004D4880" w:rsidRPr="00584D7C" w:rsidRDefault="004D4880" w:rsidP="004A188C">
            <w:pPr>
              <w:rPr>
                <w:rFonts w:ascii="Times" w:hAnsi="Times" w:cs="Calibri"/>
                <w:color w:val="000000" w:themeColor="text1"/>
                <w:sz w:val="20"/>
                <w:szCs w:val="20"/>
              </w:rPr>
            </w:pPr>
            <w:r w:rsidRPr="00584D7C">
              <w:rPr>
                <w:rFonts w:ascii="Times" w:hAnsi="Times" w:cs="Calibri"/>
                <w:color w:val="000000" w:themeColor="text1"/>
                <w:sz w:val="20"/>
                <w:szCs w:val="20"/>
              </w:rPr>
              <w:t>100 community members</w:t>
            </w:r>
          </w:p>
          <w:p w14:paraId="40BEE815" w14:textId="77777777" w:rsidR="004D4880" w:rsidRPr="00584D7C" w:rsidRDefault="004D4880" w:rsidP="004A188C">
            <w:pPr>
              <w:widowControl w:val="0"/>
              <w:rPr>
                <w:rFonts w:ascii="Times" w:hAnsi="Times" w:cs="Calibri"/>
                <w:color w:val="000000" w:themeColor="text1"/>
                <w:sz w:val="20"/>
                <w:szCs w:val="20"/>
              </w:rPr>
            </w:pPr>
          </w:p>
        </w:tc>
        <w:tc>
          <w:tcPr>
            <w:tcW w:w="1267" w:type="dxa"/>
            <w:tcMar>
              <w:top w:w="100" w:type="dxa"/>
              <w:left w:w="100" w:type="dxa"/>
              <w:bottom w:w="100" w:type="dxa"/>
              <w:right w:w="100" w:type="dxa"/>
            </w:tcMar>
          </w:tcPr>
          <w:p w14:paraId="76DA4F2F"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Qualitative</w:t>
            </w:r>
          </w:p>
        </w:tc>
        <w:tc>
          <w:tcPr>
            <w:tcW w:w="1403" w:type="dxa"/>
          </w:tcPr>
          <w:p w14:paraId="301CAAF2"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Multivariate analysis</w:t>
            </w:r>
          </w:p>
        </w:tc>
        <w:tc>
          <w:tcPr>
            <w:tcW w:w="1756" w:type="dxa"/>
          </w:tcPr>
          <w:p w14:paraId="56D6DCE8" w14:textId="77777777" w:rsidR="004D4880" w:rsidRPr="00584D7C" w:rsidRDefault="004D4880" w:rsidP="004A188C">
            <w:pPr>
              <w:rPr>
                <w:rFonts w:ascii="Times" w:hAnsi="Times" w:cs="Calibri"/>
                <w:color w:val="000000" w:themeColor="text1"/>
                <w:sz w:val="20"/>
                <w:szCs w:val="20"/>
              </w:rPr>
            </w:pPr>
            <w:r w:rsidRPr="00584D7C">
              <w:rPr>
                <w:rFonts w:ascii="Times" w:hAnsi="Times" w:cs="Calibri"/>
                <w:color w:val="000000" w:themeColor="text1"/>
                <w:sz w:val="20"/>
                <w:szCs w:val="20"/>
              </w:rPr>
              <w:t xml:space="preserve">Reasons for participation in targeted malaria elimination. </w:t>
            </w:r>
          </w:p>
        </w:tc>
        <w:tc>
          <w:tcPr>
            <w:tcW w:w="3316" w:type="dxa"/>
            <w:tcMar>
              <w:top w:w="100" w:type="dxa"/>
              <w:left w:w="100" w:type="dxa"/>
              <w:bottom w:w="100" w:type="dxa"/>
              <w:right w:w="100" w:type="dxa"/>
            </w:tcMar>
          </w:tcPr>
          <w:p w14:paraId="0BE585B4" w14:textId="77777777" w:rsidR="004D4880" w:rsidRPr="00584D7C" w:rsidRDefault="004D4880" w:rsidP="004A188C">
            <w:pPr>
              <w:rPr>
                <w:rFonts w:ascii="Times" w:hAnsi="Times" w:cs="Calibri"/>
                <w:color w:val="000000" w:themeColor="text1"/>
                <w:sz w:val="20"/>
                <w:szCs w:val="20"/>
              </w:rPr>
            </w:pPr>
            <w:r w:rsidRPr="00584D7C">
              <w:rPr>
                <w:rFonts w:ascii="Times" w:hAnsi="Times" w:cs="Calibri"/>
                <w:color w:val="000000" w:themeColor="text1"/>
                <w:sz w:val="20"/>
                <w:szCs w:val="20"/>
              </w:rPr>
              <w:t xml:space="preserve">Complete participation in Targeted Malaria Elimination (TME) was significantly associated with participation in community engagement activities, knowledge that the blood tests were for malaria, family members’ participation at TME, and perceptions that TME was worthwhile. </w:t>
            </w:r>
          </w:p>
        </w:tc>
      </w:tr>
      <w:tr w:rsidR="004D4880" w:rsidRPr="00584D7C" w14:paraId="74901CAE" w14:textId="77777777" w:rsidTr="004A188C">
        <w:trPr>
          <w:trHeight w:val="57"/>
        </w:trPr>
        <w:tc>
          <w:tcPr>
            <w:tcW w:w="2042" w:type="dxa"/>
            <w:tcMar>
              <w:top w:w="100" w:type="dxa"/>
              <w:left w:w="100" w:type="dxa"/>
              <w:bottom w:w="100" w:type="dxa"/>
              <w:right w:w="100" w:type="dxa"/>
            </w:tcMar>
          </w:tcPr>
          <w:p w14:paraId="61ED7AAA" w14:textId="25017E3E" w:rsidR="004D4880" w:rsidRPr="00584D7C" w:rsidRDefault="004D4880" w:rsidP="00146B85">
            <w:pPr>
              <w:widowControl w:val="0"/>
              <w:rPr>
                <w:rFonts w:ascii="Times" w:hAnsi="Times" w:cs="Calibri"/>
                <w:color w:val="000000" w:themeColor="text1"/>
                <w:sz w:val="20"/>
                <w:szCs w:val="20"/>
              </w:rPr>
            </w:pPr>
            <w:proofErr w:type="spellStart"/>
            <w:r w:rsidRPr="00584D7C">
              <w:rPr>
                <w:rFonts w:ascii="Times" w:hAnsi="Times" w:cs="Calibri"/>
                <w:color w:val="000000" w:themeColor="text1"/>
                <w:sz w:val="20"/>
                <w:szCs w:val="20"/>
              </w:rPr>
              <w:t>Kaehler</w:t>
            </w:r>
            <w:proofErr w:type="spellEnd"/>
            <w:r w:rsidRPr="00584D7C">
              <w:rPr>
                <w:rFonts w:ascii="Times" w:hAnsi="Times" w:cs="Calibri"/>
                <w:color w:val="000000" w:themeColor="text1"/>
                <w:sz w:val="20"/>
                <w:szCs w:val="20"/>
              </w:rPr>
              <w:t xml:space="preserve"> et al. (2019) </w:t>
            </w:r>
          </w:p>
        </w:tc>
        <w:tc>
          <w:tcPr>
            <w:tcW w:w="1263" w:type="dxa"/>
          </w:tcPr>
          <w:p w14:paraId="6E87AA64"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Thailand, Myanmar, Cambodia, Laos, Vietnam</w:t>
            </w:r>
          </w:p>
        </w:tc>
        <w:tc>
          <w:tcPr>
            <w:tcW w:w="1569" w:type="dxa"/>
          </w:tcPr>
          <w:p w14:paraId="65A0A7FA"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32 policymakers, principal investigators</w:t>
            </w:r>
          </w:p>
        </w:tc>
        <w:tc>
          <w:tcPr>
            <w:tcW w:w="1267" w:type="dxa"/>
            <w:tcMar>
              <w:top w:w="100" w:type="dxa"/>
              <w:left w:w="100" w:type="dxa"/>
              <w:bottom w:w="100" w:type="dxa"/>
              <w:right w:w="100" w:type="dxa"/>
            </w:tcMar>
          </w:tcPr>
          <w:p w14:paraId="5F590027"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Qualitative</w:t>
            </w:r>
          </w:p>
        </w:tc>
        <w:tc>
          <w:tcPr>
            <w:tcW w:w="1403" w:type="dxa"/>
          </w:tcPr>
          <w:p w14:paraId="7467CC4E" w14:textId="77777777" w:rsidR="004D4880" w:rsidRPr="00584D7C" w:rsidRDefault="004D4880" w:rsidP="004A188C">
            <w:pPr>
              <w:rPr>
                <w:rFonts w:ascii="Times" w:hAnsi="Times" w:cs="Calibri"/>
                <w:color w:val="000000" w:themeColor="text1"/>
                <w:sz w:val="20"/>
                <w:szCs w:val="20"/>
              </w:rPr>
            </w:pPr>
            <w:r w:rsidRPr="00584D7C">
              <w:rPr>
                <w:rFonts w:ascii="Times" w:hAnsi="Times" w:cs="Calibri"/>
                <w:color w:val="000000" w:themeColor="text1"/>
                <w:sz w:val="20"/>
                <w:szCs w:val="20"/>
              </w:rPr>
              <w:t>NA</w:t>
            </w:r>
          </w:p>
        </w:tc>
        <w:tc>
          <w:tcPr>
            <w:tcW w:w="1756" w:type="dxa"/>
          </w:tcPr>
          <w:p w14:paraId="4D15BB01" w14:textId="77777777" w:rsidR="004D4880" w:rsidRPr="00584D7C" w:rsidRDefault="004D4880" w:rsidP="004A188C">
            <w:pPr>
              <w:rPr>
                <w:rFonts w:ascii="Times" w:hAnsi="Times" w:cs="Calibri"/>
                <w:color w:val="000000" w:themeColor="text1"/>
                <w:sz w:val="20"/>
                <w:szCs w:val="20"/>
              </w:rPr>
            </w:pPr>
            <w:r w:rsidRPr="00584D7C">
              <w:rPr>
                <w:rFonts w:ascii="Times" w:hAnsi="Times" w:cs="Calibri"/>
                <w:color w:val="000000" w:themeColor="text1"/>
                <w:sz w:val="20"/>
                <w:szCs w:val="20"/>
              </w:rPr>
              <w:t xml:space="preserve">Identify attitudes towards and perceptions of MDA for malaria elimination among policymakers and malaria experts. </w:t>
            </w:r>
          </w:p>
        </w:tc>
        <w:tc>
          <w:tcPr>
            <w:tcW w:w="3316" w:type="dxa"/>
            <w:tcMar>
              <w:top w:w="100" w:type="dxa"/>
              <w:left w:w="100" w:type="dxa"/>
              <w:bottom w:w="100" w:type="dxa"/>
              <w:right w:w="100" w:type="dxa"/>
            </w:tcMar>
          </w:tcPr>
          <w:p w14:paraId="55B3FA24" w14:textId="77777777" w:rsidR="004D4880" w:rsidRPr="00584D7C" w:rsidRDefault="004D4880" w:rsidP="004A188C">
            <w:pPr>
              <w:rPr>
                <w:rFonts w:ascii="Times" w:hAnsi="Times" w:cs="Calibri"/>
                <w:color w:val="000000" w:themeColor="text1"/>
                <w:sz w:val="20"/>
                <w:szCs w:val="20"/>
              </w:rPr>
            </w:pPr>
            <w:r w:rsidRPr="00584D7C">
              <w:rPr>
                <w:rFonts w:ascii="Times" w:hAnsi="Times" w:cs="Calibri"/>
                <w:color w:val="000000" w:themeColor="text1"/>
                <w:sz w:val="20"/>
                <w:szCs w:val="20"/>
              </w:rPr>
              <w:t xml:space="preserve">Four challenges were identified that influenced uptake of MDA in Southeast Asia, including weak evidence base for MDA, determining appropriate implementation sites, national and local politics, and implementation issues that affected eventual participation rates. Community engagement was an important facilitator of MDA participation. Rumors was a major barrier that had significant negative impacts on population coverage, as well as historical trauma from past MDA projects and difficulty in understanding MDA rationale.  </w:t>
            </w:r>
          </w:p>
        </w:tc>
      </w:tr>
      <w:tr w:rsidR="004D4880" w:rsidRPr="00584D7C" w14:paraId="0DAC5EA2" w14:textId="77777777" w:rsidTr="004A188C">
        <w:trPr>
          <w:trHeight w:val="57"/>
        </w:trPr>
        <w:tc>
          <w:tcPr>
            <w:tcW w:w="2042" w:type="dxa"/>
            <w:tcMar>
              <w:top w:w="100" w:type="dxa"/>
              <w:left w:w="100" w:type="dxa"/>
              <w:bottom w:w="100" w:type="dxa"/>
              <w:right w:w="100" w:type="dxa"/>
            </w:tcMar>
          </w:tcPr>
          <w:p w14:paraId="57A924BD" w14:textId="4554E711" w:rsidR="004D4880" w:rsidRPr="00584D7C" w:rsidRDefault="004D4880" w:rsidP="00146B85">
            <w:pPr>
              <w:widowControl w:val="0"/>
              <w:rPr>
                <w:rFonts w:ascii="Times" w:hAnsi="Times" w:cs="Calibri"/>
                <w:color w:val="000000" w:themeColor="text1"/>
                <w:sz w:val="20"/>
                <w:szCs w:val="20"/>
              </w:rPr>
            </w:pPr>
            <w:proofErr w:type="spellStart"/>
            <w:r w:rsidRPr="00584D7C">
              <w:rPr>
                <w:rFonts w:ascii="Times" w:hAnsi="Times" w:cs="Calibri"/>
                <w:color w:val="000000" w:themeColor="text1"/>
                <w:sz w:val="20"/>
                <w:szCs w:val="20"/>
              </w:rPr>
              <w:t>Kajeechiwa</w:t>
            </w:r>
            <w:proofErr w:type="spellEnd"/>
            <w:r w:rsidRPr="00584D7C">
              <w:rPr>
                <w:rFonts w:ascii="Times" w:hAnsi="Times" w:cs="Calibri"/>
                <w:color w:val="000000" w:themeColor="text1"/>
                <w:sz w:val="20"/>
                <w:szCs w:val="20"/>
              </w:rPr>
              <w:t xml:space="preserve"> et al. (2016) </w:t>
            </w:r>
          </w:p>
        </w:tc>
        <w:tc>
          <w:tcPr>
            <w:tcW w:w="1263" w:type="dxa"/>
          </w:tcPr>
          <w:p w14:paraId="0EF3454C"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Myanmar</w:t>
            </w:r>
          </w:p>
        </w:tc>
        <w:tc>
          <w:tcPr>
            <w:tcW w:w="1569" w:type="dxa"/>
          </w:tcPr>
          <w:p w14:paraId="25B637E6"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848 household members</w:t>
            </w:r>
          </w:p>
        </w:tc>
        <w:tc>
          <w:tcPr>
            <w:tcW w:w="1267" w:type="dxa"/>
            <w:tcMar>
              <w:top w:w="100" w:type="dxa"/>
              <w:left w:w="100" w:type="dxa"/>
              <w:bottom w:w="100" w:type="dxa"/>
              <w:right w:w="100" w:type="dxa"/>
            </w:tcMar>
          </w:tcPr>
          <w:p w14:paraId="5A8B2A60"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Mixed methods</w:t>
            </w:r>
          </w:p>
        </w:tc>
        <w:tc>
          <w:tcPr>
            <w:tcW w:w="1403" w:type="dxa"/>
          </w:tcPr>
          <w:p w14:paraId="27E58B14"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Descriptive statistics, multivariate analysis</w:t>
            </w:r>
          </w:p>
        </w:tc>
        <w:tc>
          <w:tcPr>
            <w:tcW w:w="1756" w:type="dxa"/>
          </w:tcPr>
          <w:p w14:paraId="2C154ED1" w14:textId="77777777" w:rsidR="004D4880" w:rsidRPr="00584D7C" w:rsidRDefault="004D4880" w:rsidP="004A188C">
            <w:pPr>
              <w:rPr>
                <w:rFonts w:ascii="Times" w:hAnsi="Times" w:cs="Calibri"/>
                <w:color w:val="000000" w:themeColor="text1"/>
                <w:sz w:val="20"/>
                <w:szCs w:val="20"/>
              </w:rPr>
            </w:pPr>
            <w:r w:rsidRPr="00584D7C">
              <w:rPr>
                <w:rFonts w:ascii="Times" w:hAnsi="Times" w:cs="Calibri"/>
                <w:color w:val="000000" w:themeColor="text1"/>
                <w:sz w:val="20"/>
                <w:szCs w:val="20"/>
              </w:rPr>
              <w:t xml:space="preserve">Identify reasons for participation or non-participation in drug administration campaign. </w:t>
            </w:r>
          </w:p>
        </w:tc>
        <w:tc>
          <w:tcPr>
            <w:tcW w:w="3316" w:type="dxa"/>
            <w:tcMar>
              <w:top w:w="100" w:type="dxa"/>
              <w:left w:w="100" w:type="dxa"/>
              <w:bottom w:w="100" w:type="dxa"/>
              <w:right w:w="100" w:type="dxa"/>
            </w:tcMar>
          </w:tcPr>
          <w:p w14:paraId="487D6584" w14:textId="77777777" w:rsidR="004D4880" w:rsidRPr="00584D7C" w:rsidRDefault="004D4880" w:rsidP="004A188C">
            <w:pPr>
              <w:pStyle w:val="NormalWeb"/>
              <w:spacing w:before="0" w:beforeAutospacing="0" w:after="0" w:afterAutospacing="0"/>
              <w:rPr>
                <w:rFonts w:ascii="Times" w:hAnsi="Times" w:cs="Calibri"/>
                <w:color w:val="000000" w:themeColor="text1"/>
                <w:sz w:val="20"/>
                <w:szCs w:val="20"/>
              </w:rPr>
            </w:pPr>
            <w:r w:rsidRPr="00584D7C">
              <w:rPr>
                <w:rFonts w:ascii="Times" w:hAnsi="Times" w:cs="Calibri"/>
                <w:color w:val="000000" w:themeColor="text1"/>
                <w:sz w:val="20"/>
                <w:szCs w:val="20"/>
              </w:rPr>
              <w:t xml:space="preserve">People who felt they received sufficient information about the campaign were more likely to participate in MDA. Respondents from certain villages (KNH, TPN) were more likely to participate in MDA from other villages (HKT, TOT). Refusals in HKT was associated with Burman ethnicity, who were mostly store owners that had to close shops to participate in MDA. A universal reason for non-participation was inadequate understanding of malaria intervention. Those who didn’t know causes of malaria were more likely to not participate in MDA and villagers who recognized malaria symptoms ie. </w:t>
            </w:r>
            <w:proofErr w:type="spellStart"/>
            <w:proofErr w:type="gramStart"/>
            <w:r w:rsidRPr="00584D7C">
              <w:rPr>
                <w:rFonts w:ascii="Times" w:hAnsi="Times" w:cs="Calibri"/>
                <w:color w:val="000000" w:themeColor="text1"/>
                <w:sz w:val="20"/>
                <w:szCs w:val="20"/>
              </w:rPr>
              <w:t>headache,</w:t>
            </w:r>
            <w:proofErr w:type="gramEnd"/>
            <w:r w:rsidRPr="00584D7C">
              <w:rPr>
                <w:rFonts w:ascii="Times" w:hAnsi="Times" w:cs="Calibri"/>
                <w:color w:val="000000" w:themeColor="text1"/>
                <w:sz w:val="20"/>
                <w:szCs w:val="20"/>
              </w:rPr>
              <w:t>were</w:t>
            </w:r>
            <w:proofErr w:type="spellEnd"/>
            <w:r w:rsidRPr="00584D7C">
              <w:rPr>
                <w:rFonts w:ascii="Times" w:hAnsi="Times" w:cs="Calibri"/>
                <w:color w:val="000000" w:themeColor="text1"/>
                <w:sz w:val="20"/>
                <w:szCs w:val="20"/>
              </w:rPr>
              <w:t xml:space="preserve"> more likely to participate. Other reasons include absences from village at time of campaign and unconfirmed rumours about adverse effects.  </w:t>
            </w:r>
          </w:p>
        </w:tc>
      </w:tr>
      <w:tr w:rsidR="004D4880" w:rsidRPr="00584D7C" w14:paraId="4240DBD2" w14:textId="77777777" w:rsidTr="004A188C">
        <w:trPr>
          <w:trHeight w:val="57"/>
        </w:trPr>
        <w:tc>
          <w:tcPr>
            <w:tcW w:w="2042" w:type="dxa"/>
            <w:tcMar>
              <w:top w:w="100" w:type="dxa"/>
              <w:left w:w="100" w:type="dxa"/>
              <w:bottom w:w="100" w:type="dxa"/>
              <w:right w:w="100" w:type="dxa"/>
            </w:tcMar>
          </w:tcPr>
          <w:p w14:paraId="28B732FC" w14:textId="65314925" w:rsidR="004D4880" w:rsidRPr="00584D7C" w:rsidRDefault="004D4880" w:rsidP="00146B85">
            <w:pPr>
              <w:widowControl w:val="0"/>
              <w:rPr>
                <w:rFonts w:ascii="Times" w:hAnsi="Times" w:cs="Calibri"/>
                <w:color w:val="000000" w:themeColor="text1"/>
                <w:sz w:val="20"/>
                <w:szCs w:val="20"/>
              </w:rPr>
            </w:pPr>
            <w:proofErr w:type="spellStart"/>
            <w:r w:rsidRPr="00584D7C">
              <w:rPr>
                <w:rFonts w:ascii="Times" w:hAnsi="Times" w:cs="Calibri"/>
                <w:color w:val="000000" w:themeColor="text1"/>
                <w:sz w:val="20"/>
                <w:szCs w:val="20"/>
              </w:rPr>
              <w:t>Kajeechiwa</w:t>
            </w:r>
            <w:proofErr w:type="spellEnd"/>
            <w:r w:rsidRPr="00584D7C">
              <w:rPr>
                <w:rFonts w:ascii="Times" w:hAnsi="Times" w:cs="Calibri"/>
                <w:color w:val="000000" w:themeColor="text1"/>
                <w:sz w:val="20"/>
                <w:szCs w:val="20"/>
              </w:rPr>
              <w:t xml:space="preserve"> et al. (2017) </w:t>
            </w:r>
          </w:p>
        </w:tc>
        <w:tc>
          <w:tcPr>
            <w:tcW w:w="1263" w:type="dxa"/>
          </w:tcPr>
          <w:p w14:paraId="172BC7FD"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Myanmar</w:t>
            </w:r>
          </w:p>
        </w:tc>
        <w:tc>
          <w:tcPr>
            <w:tcW w:w="1569" w:type="dxa"/>
          </w:tcPr>
          <w:p w14:paraId="05A3F19B"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848 household members</w:t>
            </w:r>
          </w:p>
          <w:p w14:paraId="7D787FBA" w14:textId="77777777" w:rsidR="004D4880" w:rsidRPr="00584D7C" w:rsidRDefault="004D4880" w:rsidP="004A188C">
            <w:pPr>
              <w:widowControl w:val="0"/>
              <w:rPr>
                <w:rFonts w:ascii="Times" w:hAnsi="Times" w:cs="Calibri"/>
                <w:color w:val="000000" w:themeColor="text1"/>
                <w:sz w:val="20"/>
                <w:szCs w:val="20"/>
              </w:rPr>
            </w:pPr>
          </w:p>
        </w:tc>
        <w:tc>
          <w:tcPr>
            <w:tcW w:w="1267" w:type="dxa"/>
            <w:tcMar>
              <w:top w:w="100" w:type="dxa"/>
              <w:left w:w="100" w:type="dxa"/>
              <w:bottom w:w="100" w:type="dxa"/>
              <w:right w:w="100" w:type="dxa"/>
            </w:tcMar>
          </w:tcPr>
          <w:p w14:paraId="12C8FA29"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Qualitative</w:t>
            </w:r>
          </w:p>
        </w:tc>
        <w:tc>
          <w:tcPr>
            <w:tcW w:w="1403" w:type="dxa"/>
          </w:tcPr>
          <w:p w14:paraId="4331A679"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NA</w:t>
            </w:r>
          </w:p>
        </w:tc>
        <w:tc>
          <w:tcPr>
            <w:tcW w:w="1756" w:type="dxa"/>
          </w:tcPr>
          <w:p w14:paraId="62CC56E8"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Describes the community engagement</w:t>
            </w:r>
          </w:p>
          <w:p w14:paraId="542EF226"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efforts for a pilot malaria elimination project, the challenges encountered and</w:t>
            </w:r>
          </w:p>
          <w:p w14:paraId="280C7CEA"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lessons learnt.</w:t>
            </w:r>
          </w:p>
        </w:tc>
        <w:tc>
          <w:tcPr>
            <w:tcW w:w="3316" w:type="dxa"/>
            <w:tcMar>
              <w:top w:w="100" w:type="dxa"/>
              <w:left w:w="100" w:type="dxa"/>
              <w:bottom w:w="100" w:type="dxa"/>
              <w:right w:w="100" w:type="dxa"/>
            </w:tcMar>
          </w:tcPr>
          <w:p w14:paraId="0220E013"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 xml:space="preserve">Broad factors impacting implementing include difficult in reaching certain villages was difficult due to rainy season and logistical issues, as well as seasonality of implementation that coincided with working schedules of villagers. Challenges in explaining difficult concepts of malaria, as well as rumors underpinned by fear of adverse events, contributed to hesitation to participate. </w:t>
            </w:r>
          </w:p>
        </w:tc>
      </w:tr>
      <w:tr w:rsidR="004D4880" w:rsidRPr="00584D7C" w14:paraId="2D23325E" w14:textId="77777777" w:rsidTr="004A188C">
        <w:trPr>
          <w:trHeight w:val="57"/>
        </w:trPr>
        <w:tc>
          <w:tcPr>
            <w:tcW w:w="2042" w:type="dxa"/>
            <w:tcMar>
              <w:top w:w="100" w:type="dxa"/>
              <w:left w:w="100" w:type="dxa"/>
              <w:bottom w:w="100" w:type="dxa"/>
              <w:right w:w="100" w:type="dxa"/>
            </w:tcMar>
          </w:tcPr>
          <w:p w14:paraId="4D3DD37E" w14:textId="2ED005B5" w:rsidR="004D4880" w:rsidRPr="00584D7C" w:rsidRDefault="004D4880" w:rsidP="00146B85">
            <w:pPr>
              <w:widowControl w:val="0"/>
              <w:rPr>
                <w:rFonts w:ascii="Times" w:hAnsi="Times" w:cs="Calibri"/>
                <w:color w:val="000000" w:themeColor="text1"/>
                <w:sz w:val="20"/>
                <w:szCs w:val="20"/>
              </w:rPr>
            </w:pPr>
            <w:r w:rsidRPr="00584D7C">
              <w:rPr>
                <w:rFonts w:ascii="Times" w:hAnsi="Times" w:cs="Calibri"/>
                <w:color w:val="000000" w:themeColor="text1"/>
                <w:sz w:val="20"/>
                <w:szCs w:val="20"/>
              </w:rPr>
              <w:t xml:space="preserve">Nguyen et al. (2017) </w:t>
            </w:r>
          </w:p>
        </w:tc>
        <w:tc>
          <w:tcPr>
            <w:tcW w:w="1263" w:type="dxa"/>
          </w:tcPr>
          <w:p w14:paraId="57E76F33"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Vietnam</w:t>
            </w:r>
          </w:p>
        </w:tc>
        <w:tc>
          <w:tcPr>
            <w:tcW w:w="1569" w:type="dxa"/>
          </w:tcPr>
          <w:p w14:paraId="64A1DCFA"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148 villagers</w:t>
            </w:r>
          </w:p>
        </w:tc>
        <w:tc>
          <w:tcPr>
            <w:tcW w:w="1267" w:type="dxa"/>
            <w:tcMar>
              <w:top w:w="100" w:type="dxa"/>
              <w:left w:w="100" w:type="dxa"/>
              <w:bottom w:w="100" w:type="dxa"/>
              <w:right w:w="100" w:type="dxa"/>
            </w:tcMar>
          </w:tcPr>
          <w:p w14:paraId="30A760C7"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Cross-sectional</w:t>
            </w:r>
          </w:p>
        </w:tc>
        <w:tc>
          <w:tcPr>
            <w:tcW w:w="1403" w:type="dxa"/>
          </w:tcPr>
          <w:p w14:paraId="203872BC"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Multivariate analysis</w:t>
            </w:r>
          </w:p>
        </w:tc>
        <w:tc>
          <w:tcPr>
            <w:tcW w:w="1756" w:type="dxa"/>
          </w:tcPr>
          <w:p w14:paraId="309651DE" w14:textId="77777777" w:rsidR="004D4880" w:rsidRPr="00584D7C" w:rsidRDefault="004D4880" w:rsidP="004A188C">
            <w:pPr>
              <w:autoSpaceDE w:val="0"/>
              <w:autoSpaceDN w:val="0"/>
              <w:adjustRightInd w:val="0"/>
              <w:rPr>
                <w:rFonts w:ascii="Times" w:hAnsi="Times" w:cs="Calibri"/>
                <w:color w:val="000000" w:themeColor="text1"/>
                <w:sz w:val="20"/>
                <w:szCs w:val="20"/>
              </w:rPr>
            </w:pPr>
            <w:r w:rsidRPr="00584D7C">
              <w:rPr>
                <w:rFonts w:ascii="Times" w:hAnsi="Times" w:cs="Calibri"/>
                <w:color w:val="000000" w:themeColor="text1"/>
                <w:sz w:val="20"/>
                <w:szCs w:val="20"/>
              </w:rPr>
              <w:t>To explore why some people</w:t>
            </w:r>
            <w:r>
              <w:rPr>
                <w:rFonts w:ascii="Times" w:hAnsi="Times" w:cs="Calibri"/>
                <w:color w:val="000000" w:themeColor="text1"/>
                <w:sz w:val="20"/>
                <w:szCs w:val="20"/>
              </w:rPr>
              <w:t xml:space="preserve"> </w:t>
            </w:r>
            <w:r w:rsidRPr="00584D7C">
              <w:rPr>
                <w:rFonts w:ascii="Times" w:hAnsi="Times" w:cs="Calibri"/>
                <w:color w:val="000000" w:themeColor="text1"/>
                <w:sz w:val="20"/>
                <w:szCs w:val="20"/>
              </w:rPr>
              <w:t>participate in</w:t>
            </w:r>
          </w:p>
          <w:p w14:paraId="11CF74A3"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 xml:space="preserve">MDAs and others do not. </w:t>
            </w:r>
          </w:p>
        </w:tc>
        <w:tc>
          <w:tcPr>
            <w:tcW w:w="3316" w:type="dxa"/>
            <w:tcMar>
              <w:top w:w="100" w:type="dxa"/>
              <w:left w:w="100" w:type="dxa"/>
              <w:bottom w:w="100" w:type="dxa"/>
              <w:right w:w="100" w:type="dxa"/>
            </w:tcMar>
          </w:tcPr>
          <w:p w14:paraId="5EBA5386" w14:textId="77777777" w:rsidR="004D4880" w:rsidRPr="00584D7C" w:rsidRDefault="004D4880" w:rsidP="004A188C">
            <w:pPr>
              <w:rPr>
                <w:rFonts w:ascii="Times" w:hAnsi="Times" w:cs="Calibri"/>
                <w:color w:val="000000" w:themeColor="text1"/>
                <w:sz w:val="20"/>
                <w:szCs w:val="20"/>
              </w:rPr>
            </w:pPr>
            <w:r w:rsidRPr="00584D7C">
              <w:rPr>
                <w:rFonts w:ascii="Times" w:hAnsi="Times" w:cs="Calibri"/>
                <w:color w:val="000000" w:themeColor="text1"/>
                <w:sz w:val="20"/>
                <w:szCs w:val="20"/>
              </w:rPr>
              <w:t>A critical difference between participation and non-participation was being adequately informed about the campaign, as the more informed one was about MDA’s purpose, the more likely they were to participate and complete entire course. There was a strong association between participation and sensitization by an informant. Demographic variables positively associated with net use include village residency, older age, ethnicity, literacy, and religion. Non-significant participation factors included occupation and whether they had children.</w:t>
            </w:r>
          </w:p>
        </w:tc>
      </w:tr>
      <w:tr w:rsidR="004D4880" w:rsidRPr="00584D7C" w14:paraId="137C8720" w14:textId="77777777" w:rsidTr="004A188C">
        <w:trPr>
          <w:trHeight w:val="57"/>
        </w:trPr>
        <w:tc>
          <w:tcPr>
            <w:tcW w:w="2042" w:type="dxa"/>
            <w:tcMar>
              <w:top w:w="100" w:type="dxa"/>
              <w:left w:w="100" w:type="dxa"/>
              <w:bottom w:w="100" w:type="dxa"/>
              <w:right w:w="100" w:type="dxa"/>
            </w:tcMar>
          </w:tcPr>
          <w:p w14:paraId="3A500F33" w14:textId="7D77AE7E" w:rsidR="004D4880" w:rsidRPr="00584D7C" w:rsidRDefault="004D4880" w:rsidP="00146B85">
            <w:pPr>
              <w:widowControl w:val="0"/>
              <w:rPr>
                <w:rFonts w:ascii="Times" w:hAnsi="Times" w:cs="Calibri"/>
                <w:color w:val="000000" w:themeColor="text1"/>
                <w:sz w:val="20"/>
                <w:szCs w:val="20"/>
              </w:rPr>
            </w:pPr>
            <w:proofErr w:type="spellStart"/>
            <w:r w:rsidRPr="00584D7C">
              <w:rPr>
                <w:rFonts w:ascii="Times" w:hAnsi="Times" w:cs="Calibri"/>
                <w:color w:val="000000" w:themeColor="text1"/>
                <w:sz w:val="20"/>
                <w:szCs w:val="20"/>
              </w:rPr>
              <w:t>Nofal</w:t>
            </w:r>
            <w:proofErr w:type="spellEnd"/>
            <w:r w:rsidRPr="00584D7C">
              <w:rPr>
                <w:rFonts w:ascii="Times" w:hAnsi="Times" w:cs="Calibri"/>
                <w:color w:val="000000" w:themeColor="text1"/>
                <w:sz w:val="20"/>
                <w:szCs w:val="20"/>
              </w:rPr>
              <w:t xml:space="preserve"> et al. (2019) </w:t>
            </w:r>
          </w:p>
        </w:tc>
        <w:tc>
          <w:tcPr>
            <w:tcW w:w="1263" w:type="dxa"/>
          </w:tcPr>
          <w:p w14:paraId="2C63E335"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Cambodia, Vietnam, Myanmar, Thailand</w:t>
            </w:r>
          </w:p>
        </w:tc>
        <w:tc>
          <w:tcPr>
            <w:tcW w:w="1569" w:type="dxa"/>
          </w:tcPr>
          <w:p w14:paraId="0F102D44"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22 studies</w:t>
            </w:r>
          </w:p>
        </w:tc>
        <w:tc>
          <w:tcPr>
            <w:tcW w:w="1267" w:type="dxa"/>
            <w:tcMar>
              <w:top w:w="100" w:type="dxa"/>
              <w:left w:w="100" w:type="dxa"/>
              <w:bottom w:w="100" w:type="dxa"/>
              <w:right w:w="100" w:type="dxa"/>
            </w:tcMar>
          </w:tcPr>
          <w:p w14:paraId="7AA54857"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 xml:space="preserve">Systematic review </w:t>
            </w:r>
          </w:p>
        </w:tc>
        <w:tc>
          <w:tcPr>
            <w:tcW w:w="1403" w:type="dxa"/>
          </w:tcPr>
          <w:p w14:paraId="31D52C1D"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NA</w:t>
            </w:r>
          </w:p>
        </w:tc>
        <w:tc>
          <w:tcPr>
            <w:tcW w:w="1756" w:type="dxa"/>
          </w:tcPr>
          <w:p w14:paraId="5A0A2DC6" w14:textId="77777777" w:rsidR="004D4880" w:rsidRPr="00584D7C" w:rsidRDefault="004D4880" w:rsidP="004A188C">
            <w:pPr>
              <w:autoSpaceDE w:val="0"/>
              <w:autoSpaceDN w:val="0"/>
              <w:adjustRightInd w:val="0"/>
              <w:rPr>
                <w:rFonts w:ascii="Times" w:hAnsi="Times" w:cs="Calibri"/>
                <w:color w:val="000000" w:themeColor="text1"/>
                <w:sz w:val="20"/>
                <w:szCs w:val="20"/>
              </w:rPr>
            </w:pPr>
            <w:r w:rsidRPr="00584D7C">
              <w:rPr>
                <w:rFonts w:ascii="Times" w:hAnsi="Times" w:cs="Calibri"/>
                <w:color w:val="000000" w:themeColor="text1"/>
                <w:sz w:val="20"/>
                <w:szCs w:val="20"/>
              </w:rPr>
              <w:t>Provide an overview of the qualitative research on behaviours and perceptions that influence uptake of and adherence to malaria interventions among forest-goers in the Greater Mekong Subregion.</w:t>
            </w:r>
          </w:p>
        </w:tc>
        <w:tc>
          <w:tcPr>
            <w:tcW w:w="3316" w:type="dxa"/>
            <w:tcMar>
              <w:top w:w="100" w:type="dxa"/>
              <w:left w:w="100" w:type="dxa"/>
              <w:bottom w:w="100" w:type="dxa"/>
              <w:right w:w="100" w:type="dxa"/>
            </w:tcMar>
          </w:tcPr>
          <w:p w14:paraId="538AEB95" w14:textId="77777777" w:rsidR="004D4880" w:rsidRPr="00584D7C" w:rsidRDefault="004D4880" w:rsidP="004A188C">
            <w:pPr>
              <w:rPr>
                <w:rFonts w:ascii="Times" w:hAnsi="Times" w:cs="Calibri"/>
                <w:color w:val="000000" w:themeColor="text1"/>
                <w:sz w:val="20"/>
                <w:szCs w:val="20"/>
              </w:rPr>
            </w:pPr>
            <w:r w:rsidRPr="00584D7C">
              <w:rPr>
                <w:rFonts w:ascii="Times" w:hAnsi="Times" w:cs="Calibri"/>
                <w:color w:val="000000" w:themeColor="text1"/>
                <w:sz w:val="20"/>
                <w:szCs w:val="20"/>
              </w:rPr>
              <w:t xml:space="preserve">Participation was affected by concerns related to the safety of blood tests and perceived side-effects of antimalarial drugs or fears that test results would reveal illegal forest work. Non-participation linked to being absent from village during time of MDA implementation. </w:t>
            </w:r>
          </w:p>
        </w:tc>
      </w:tr>
      <w:tr w:rsidR="004D4880" w:rsidRPr="00584D7C" w14:paraId="77695997" w14:textId="77777777" w:rsidTr="004A188C">
        <w:trPr>
          <w:trHeight w:val="57"/>
        </w:trPr>
        <w:tc>
          <w:tcPr>
            <w:tcW w:w="2042" w:type="dxa"/>
            <w:tcMar>
              <w:top w:w="100" w:type="dxa"/>
              <w:left w:w="100" w:type="dxa"/>
              <w:bottom w:w="100" w:type="dxa"/>
              <w:right w:w="100" w:type="dxa"/>
            </w:tcMar>
          </w:tcPr>
          <w:p w14:paraId="2B58A1DB" w14:textId="736E0B63" w:rsidR="004D4880" w:rsidRPr="00584D7C" w:rsidRDefault="004D4880" w:rsidP="00146B85">
            <w:pPr>
              <w:widowControl w:val="0"/>
              <w:rPr>
                <w:rFonts w:ascii="Times" w:hAnsi="Times" w:cs="Calibri"/>
                <w:color w:val="000000" w:themeColor="text1"/>
                <w:sz w:val="20"/>
                <w:szCs w:val="20"/>
              </w:rPr>
            </w:pPr>
            <w:r w:rsidRPr="00584D7C">
              <w:rPr>
                <w:rFonts w:ascii="Times" w:hAnsi="Times" w:cs="Calibri"/>
                <w:color w:val="000000" w:themeColor="text1"/>
                <w:sz w:val="20"/>
                <w:szCs w:val="20"/>
              </w:rPr>
              <w:t xml:space="preserve">Pell et al. (2019) </w:t>
            </w:r>
          </w:p>
        </w:tc>
        <w:tc>
          <w:tcPr>
            <w:tcW w:w="1263" w:type="dxa"/>
          </w:tcPr>
          <w:p w14:paraId="02461020"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Myanmar, Vietnam, Cambodia, Laos</w:t>
            </w:r>
          </w:p>
        </w:tc>
        <w:tc>
          <w:tcPr>
            <w:tcW w:w="1569" w:type="dxa"/>
          </w:tcPr>
          <w:p w14:paraId="54E54CA1"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1591 community members, leaders, and trial staff</w:t>
            </w:r>
          </w:p>
        </w:tc>
        <w:tc>
          <w:tcPr>
            <w:tcW w:w="1267" w:type="dxa"/>
            <w:tcMar>
              <w:top w:w="100" w:type="dxa"/>
              <w:left w:w="100" w:type="dxa"/>
              <w:bottom w:w="100" w:type="dxa"/>
              <w:right w:w="100" w:type="dxa"/>
            </w:tcMar>
          </w:tcPr>
          <w:p w14:paraId="7BB98E62"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Mixed methods</w:t>
            </w:r>
          </w:p>
        </w:tc>
        <w:tc>
          <w:tcPr>
            <w:tcW w:w="1403" w:type="dxa"/>
          </w:tcPr>
          <w:p w14:paraId="18984AE7"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Descriptive statistics, multivariate analysis</w:t>
            </w:r>
          </w:p>
        </w:tc>
        <w:tc>
          <w:tcPr>
            <w:tcW w:w="1756" w:type="dxa"/>
          </w:tcPr>
          <w:p w14:paraId="257E38CA" w14:textId="77777777" w:rsidR="004D4880" w:rsidRPr="00584D7C" w:rsidRDefault="004D4880" w:rsidP="004A188C">
            <w:pPr>
              <w:autoSpaceDE w:val="0"/>
              <w:autoSpaceDN w:val="0"/>
              <w:adjustRightInd w:val="0"/>
              <w:rPr>
                <w:rFonts w:ascii="Times" w:hAnsi="Times" w:cs="Calibri"/>
                <w:color w:val="000000" w:themeColor="text1"/>
                <w:sz w:val="20"/>
                <w:szCs w:val="20"/>
              </w:rPr>
            </w:pPr>
            <w:r w:rsidRPr="00584D7C">
              <w:rPr>
                <w:rFonts w:ascii="Times" w:hAnsi="Times" w:cs="Calibri"/>
                <w:color w:val="000000" w:themeColor="text1"/>
                <w:sz w:val="20"/>
                <w:szCs w:val="20"/>
              </w:rPr>
              <w:t>Examines the impact</w:t>
            </w:r>
          </w:p>
          <w:p w14:paraId="7655720C"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of the community engagement, local social context and study design on MDA coverage.</w:t>
            </w:r>
          </w:p>
        </w:tc>
        <w:tc>
          <w:tcPr>
            <w:tcW w:w="3316" w:type="dxa"/>
            <w:tcMar>
              <w:top w:w="100" w:type="dxa"/>
              <w:left w:w="100" w:type="dxa"/>
              <w:bottom w:w="100" w:type="dxa"/>
              <w:right w:w="100" w:type="dxa"/>
            </w:tcMar>
          </w:tcPr>
          <w:p w14:paraId="4705404D" w14:textId="77777777" w:rsidR="004D4880" w:rsidRPr="00584D7C" w:rsidRDefault="004D4880" w:rsidP="004A188C">
            <w:pPr>
              <w:rPr>
                <w:rFonts w:ascii="Times" w:hAnsi="Times" w:cs="Calibri"/>
                <w:color w:val="000000" w:themeColor="text1"/>
                <w:sz w:val="20"/>
                <w:szCs w:val="20"/>
              </w:rPr>
            </w:pPr>
            <w:r w:rsidRPr="00584D7C">
              <w:rPr>
                <w:rFonts w:ascii="Times" w:hAnsi="Times" w:cs="Calibri"/>
                <w:color w:val="000000" w:themeColor="text1"/>
                <w:sz w:val="20"/>
                <w:szCs w:val="20"/>
              </w:rPr>
              <w:t xml:space="preserve"> 100% completion of all three rounds of MDA was positively associated with having heard of MDA and malaria-related knowledge. Villagers’ had a general appreciation for value of addressing malaria and improved intervention confidence through provision of essential health services.  </w:t>
            </w:r>
          </w:p>
          <w:p w14:paraId="2F80B340" w14:textId="77777777" w:rsidR="004D4880" w:rsidRPr="00584D7C" w:rsidRDefault="004D4880" w:rsidP="004A188C">
            <w:pPr>
              <w:autoSpaceDE w:val="0"/>
              <w:autoSpaceDN w:val="0"/>
              <w:adjustRightInd w:val="0"/>
              <w:rPr>
                <w:rFonts w:ascii="Times" w:hAnsi="Times" w:cs="Calibri"/>
                <w:color w:val="000000" w:themeColor="text1"/>
                <w:sz w:val="20"/>
                <w:szCs w:val="20"/>
              </w:rPr>
            </w:pPr>
            <w:r w:rsidRPr="00584D7C">
              <w:rPr>
                <w:rFonts w:ascii="Times" w:hAnsi="Times" w:cs="Calibri"/>
                <w:color w:val="000000" w:themeColor="text1"/>
                <w:sz w:val="20"/>
                <w:szCs w:val="20"/>
              </w:rPr>
              <w:t>The role of trust was highlighted as a determinant and barrier, demonstrated by the negative impact of rumors and community divisions on participation and hesitation due to fear of adverse health events, blood tests, and historical trauma. Coverage didn’t decrease in absence of cash compensation.</w:t>
            </w:r>
          </w:p>
        </w:tc>
      </w:tr>
      <w:tr w:rsidR="004D4880" w:rsidRPr="00584D7C" w14:paraId="3DC63756" w14:textId="77777777" w:rsidTr="004A188C">
        <w:trPr>
          <w:trHeight w:val="57"/>
        </w:trPr>
        <w:tc>
          <w:tcPr>
            <w:tcW w:w="2042" w:type="dxa"/>
            <w:tcMar>
              <w:top w:w="100" w:type="dxa"/>
              <w:left w:w="100" w:type="dxa"/>
              <w:bottom w:w="100" w:type="dxa"/>
              <w:right w:w="100" w:type="dxa"/>
            </w:tcMar>
          </w:tcPr>
          <w:p w14:paraId="1F9EF0AA" w14:textId="264C547B" w:rsidR="004D4880" w:rsidRPr="00584D7C" w:rsidRDefault="004D4880" w:rsidP="00146B85">
            <w:pPr>
              <w:widowControl w:val="0"/>
              <w:rPr>
                <w:rFonts w:ascii="Times" w:hAnsi="Times" w:cs="Calibri"/>
                <w:color w:val="000000" w:themeColor="text1"/>
                <w:sz w:val="20"/>
                <w:szCs w:val="20"/>
              </w:rPr>
            </w:pPr>
            <w:r w:rsidRPr="00584D7C">
              <w:rPr>
                <w:rFonts w:ascii="Times" w:hAnsi="Times" w:cs="Calibri"/>
                <w:color w:val="000000" w:themeColor="text1"/>
                <w:sz w:val="20"/>
                <w:szCs w:val="20"/>
              </w:rPr>
              <w:t>Pell et al. (2017)</w:t>
            </w:r>
            <w:r w:rsidR="00146B85" w:rsidRPr="00584D7C">
              <w:rPr>
                <w:rFonts w:ascii="Times" w:hAnsi="Times" w:cs="Calibri"/>
                <w:color w:val="000000" w:themeColor="text1"/>
                <w:sz w:val="20"/>
                <w:szCs w:val="20"/>
              </w:rPr>
              <w:t xml:space="preserve"> </w:t>
            </w:r>
          </w:p>
        </w:tc>
        <w:tc>
          <w:tcPr>
            <w:tcW w:w="1263" w:type="dxa"/>
          </w:tcPr>
          <w:p w14:paraId="2F837882"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Cambodia</w:t>
            </w:r>
          </w:p>
        </w:tc>
        <w:tc>
          <w:tcPr>
            <w:tcW w:w="1569" w:type="dxa"/>
          </w:tcPr>
          <w:p w14:paraId="61B2E964"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30 adult household members</w:t>
            </w:r>
          </w:p>
        </w:tc>
        <w:tc>
          <w:tcPr>
            <w:tcW w:w="1267" w:type="dxa"/>
            <w:tcMar>
              <w:top w:w="100" w:type="dxa"/>
              <w:left w:w="100" w:type="dxa"/>
              <w:bottom w:w="100" w:type="dxa"/>
              <w:right w:w="100" w:type="dxa"/>
            </w:tcMar>
          </w:tcPr>
          <w:p w14:paraId="27B09D30"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Qualitative</w:t>
            </w:r>
          </w:p>
        </w:tc>
        <w:tc>
          <w:tcPr>
            <w:tcW w:w="1403" w:type="dxa"/>
          </w:tcPr>
          <w:p w14:paraId="3D8AF794"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NA</w:t>
            </w:r>
          </w:p>
        </w:tc>
        <w:tc>
          <w:tcPr>
            <w:tcW w:w="1756" w:type="dxa"/>
          </w:tcPr>
          <w:p w14:paraId="1748CB00" w14:textId="77777777" w:rsidR="004D4880" w:rsidRPr="00584D7C" w:rsidRDefault="004D4880" w:rsidP="004A188C">
            <w:pPr>
              <w:autoSpaceDE w:val="0"/>
              <w:autoSpaceDN w:val="0"/>
              <w:adjustRightInd w:val="0"/>
              <w:rPr>
                <w:rFonts w:ascii="Times" w:hAnsi="Times" w:cs="Calibri"/>
                <w:color w:val="000000" w:themeColor="text1"/>
                <w:sz w:val="20"/>
                <w:szCs w:val="20"/>
              </w:rPr>
            </w:pPr>
            <w:r w:rsidRPr="00584D7C">
              <w:rPr>
                <w:rFonts w:ascii="Times" w:hAnsi="Times" w:cs="Calibri"/>
                <w:color w:val="000000" w:themeColor="text1"/>
                <w:sz w:val="20"/>
                <w:szCs w:val="20"/>
              </w:rPr>
              <w:t>Explores the factors that influenced mass anti-malarial administration</w:t>
            </w:r>
          </w:p>
          <w:p w14:paraId="5EA0777F" w14:textId="77777777" w:rsidR="004D4880" w:rsidRPr="00584D7C" w:rsidRDefault="004D4880" w:rsidP="004A188C">
            <w:pPr>
              <w:rPr>
                <w:rFonts w:ascii="Times" w:hAnsi="Times" w:cs="Calibri"/>
                <w:color w:val="000000" w:themeColor="text1"/>
                <w:sz w:val="20"/>
                <w:szCs w:val="20"/>
              </w:rPr>
            </w:pPr>
            <w:r w:rsidRPr="00584D7C">
              <w:rPr>
                <w:rFonts w:ascii="Times" w:hAnsi="Times" w:cs="Calibri"/>
                <w:color w:val="000000" w:themeColor="text1"/>
                <w:sz w:val="20"/>
                <w:szCs w:val="20"/>
              </w:rPr>
              <w:t xml:space="preserve">coverage within a clinical trial. </w:t>
            </w:r>
          </w:p>
        </w:tc>
        <w:tc>
          <w:tcPr>
            <w:tcW w:w="3316" w:type="dxa"/>
            <w:tcMar>
              <w:top w:w="100" w:type="dxa"/>
              <w:left w:w="100" w:type="dxa"/>
              <w:bottom w:w="100" w:type="dxa"/>
              <w:right w:w="100" w:type="dxa"/>
            </w:tcMar>
          </w:tcPr>
          <w:p w14:paraId="4D151B54" w14:textId="77777777" w:rsidR="004D4880" w:rsidRPr="00584D7C" w:rsidRDefault="004D4880" w:rsidP="004A188C">
            <w:pPr>
              <w:rPr>
                <w:rFonts w:ascii="Times" w:hAnsi="Times" w:cs="Calibri"/>
                <w:color w:val="000000" w:themeColor="text1"/>
                <w:sz w:val="20"/>
                <w:szCs w:val="20"/>
              </w:rPr>
            </w:pPr>
            <w:r w:rsidRPr="00584D7C">
              <w:rPr>
                <w:rFonts w:ascii="Times" w:hAnsi="Times" w:cs="Calibri"/>
                <w:color w:val="000000" w:themeColor="text1"/>
                <w:sz w:val="20"/>
                <w:szCs w:val="20"/>
              </w:rPr>
              <w:t>Individual level factors contributing to participation in MDA included familiarity and concern about malaria and aim of malaria elimination, awareness of MDA. Contextual factors include community dynamics, local politics, the tendency for village conformity, and group decision making. Non-participation primarily related to fear of adverse events and blood drawing. Community engagement addressed community health concerns and its effects mediated by trust relationships with study staff. Coverage not decreased in absence of cash compensation for participation.</w:t>
            </w:r>
          </w:p>
        </w:tc>
      </w:tr>
      <w:tr w:rsidR="004D4880" w:rsidRPr="00584D7C" w14:paraId="7AC8DE19" w14:textId="77777777" w:rsidTr="004A188C">
        <w:trPr>
          <w:trHeight w:val="57"/>
        </w:trPr>
        <w:tc>
          <w:tcPr>
            <w:tcW w:w="2042" w:type="dxa"/>
            <w:tcMar>
              <w:top w:w="100" w:type="dxa"/>
              <w:left w:w="100" w:type="dxa"/>
              <w:bottom w:w="100" w:type="dxa"/>
              <w:right w:w="100" w:type="dxa"/>
            </w:tcMar>
          </w:tcPr>
          <w:p w14:paraId="7845C591" w14:textId="5951AB2E" w:rsidR="004D4880" w:rsidRPr="00584D7C" w:rsidRDefault="004D4880" w:rsidP="00146B85">
            <w:pPr>
              <w:widowControl w:val="0"/>
              <w:rPr>
                <w:rFonts w:ascii="Times" w:hAnsi="Times" w:cs="Calibri"/>
                <w:color w:val="000000" w:themeColor="text1"/>
                <w:sz w:val="20"/>
                <w:szCs w:val="20"/>
              </w:rPr>
            </w:pPr>
            <w:proofErr w:type="spellStart"/>
            <w:r w:rsidRPr="00584D7C">
              <w:rPr>
                <w:rFonts w:ascii="Times" w:hAnsi="Times" w:cs="Calibri"/>
                <w:color w:val="000000" w:themeColor="text1"/>
                <w:sz w:val="20"/>
                <w:szCs w:val="20"/>
              </w:rPr>
              <w:t>Peto</w:t>
            </w:r>
            <w:proofErr w:type="spellEnd"/>
            <w:r w:rsidRPr="00584D7C">
              <w:rPr>
                <w:rFonts w:ascii="Times" w:hAnsi="Times" w:cs="Calibri"/>
                <w:color w:val="000000" w:themeColor="text1"/>
                <w:sz w:val="20"/>
                <w:szCs w:val="20"/>
              </w:rPr>
              <w:t xml:space="preserve"> et al. (2018) </w:t>
            </w:r>
          </w:p>
        </w:tc>
        <w:tc>
          <w:tcPr>
            <w:tcW w:w="1263" w:type="dxa"/>
          </w:tcPr>
          <w:p w14:paraId="27B93806"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Cambodia</w:t>
            </w:r>
          </w:p>
        </w:tc>
        <w:tc>
          <w:tcPr>
            <w:tcW w:w="1569" w:type="dxa"/>
          </w:tcPr>
          <w:p w14:paraId="07A70AD6"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188 villagers</w:t>
            </w:r>
          </w:p>
        </w:tc>
        <w:tc>
          <w:tcPr>
            <w:tcW w:w="1267" w:type="dxa"/>
            <w:tcMar>
              <w:top w:w="100" w:type="dxa"/>
              <w:left w:w="100" w:type="dxa"/>
              <w:bottom w:w="100" w:type="dxa"/>
              <w:right w:w="100" w:type="dxa"/>
            </w:tcMar>
          </w:tcPr>
          <w:p w14:paraId="2E576040"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Mixed methods</w:t>
            </w:r>
          </w:p>
        </w:tc>
        <w:tc>
          <w:tcPr>
            <w:tcW w:w="1403" w:type="dxa"/>
          </w:tcPr>
          <w:p w14:paraId="69144D0A"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NA</w:t>
            </w:r>
          </w:p>
        </w:tc>
        <w:tc>
          <w:tcPr>
            <w:tcW w:w="1756" w:type="dxa"/>
          </w:tcPr>
          <w:p w14:paraId="4ADC7803"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 xml:space="preserve">Discusses lessons learned about community responses to two mass anti-malarial administrations.  </w:t>
            </w:r>
          </w:p>
        </w:tc>
        <w:tc>
          <w:tcPr>
            <w:tcW w:w="3316" w:type="dxa"/>
            <w:tcMar>
              <w:top w:w="100" w:type="dxa"/>
              <w:left w:w="100" w:type="dxa"/>
              <w:bottom w:w="100" w:type="dxa"/>
              <w:right w:w="100" w:type="dxa"/>
            </w:tcMar>
          </w:tcPr>
          <w:p w14:paraId="06F4DCD7" w14:textId="77777777" w:rsidR="004D4880" w:rsidRPr="00584D7C" w:rsidRDefault="004D4880" w:rsidP="004A188C">
            <w:pPr>
              <w:rPr>
                <w:rFonts w:ascii="Times" w:hAnsi="Times" w:cs="Calibri"/>
                <w:color w:val="000000" w:themeColor="text1"/>
                <w:sz w:val="20"/>
                <w:szCs w:val="20"/>
              </w:rPr>
            </w:pPr>
            <w:r w:rsidRPr="00584D7C">
              <w:rPr>
                <w:rFonts w:ascii="Times" w:hAnsi="Times" w:cs="Calibri"/>
                <w:color w:val="000000" w:themeColor="text1"/>
                <w:sz w:val="20"/>
                <w:szCs w:val="20"/>
              </w:rPr>
              <w:t xml:space="preserve">MDA coverage did not change in the absence of financial incentives, suggesting that its role in participation may be overstated. Tendency for conformity were linked to high coverage, while lower coverage was seen in communities with stronger political and social divisions. Awareness of asymptomatic infection was also associated with higher participation. Villagers’ appreciated increased medical attention and convenience of house-to-house delivery. </w:t>
            </w:r>
          </w:p>
        </w:tc>
      </w:tr>
      <w:tr w:rsidR="004D4880" w:rsidRPr="00584D7C" w14:paraId="072C8A62" w14:textId="77777777" w:rsidTr="004A188C">
        <w:trPr>
          <w:trHeight w:val="57"/>
        </w:trPr>
        <w:tc>
          <w:tcPr>
            <w:tcW w:w="2042" w:type="dxa"/>
            <w:tcMar>
              <w:top w:w="100" w:type="dxa"/>
              <w:left w:w="100" w:type="dxa"/>
              <w:bottom w:w="100" w:type="dxa"/>
              <w:right w:w="100" w:type="dxa"/>
            </w:tcMar>
          </w:tcPr>
          <w:p w14:paraId="06FD558E" w14:textId="2D20DBE7" w:rsidR="004D4880" w:rsidRPr="00584D7C" w:rsidRDefault="004D4880" w:rsidP="00146B85">
            <w:pPr>
              <w:widowControl w:val="0"/>
              <w:rPr>
                <w:rFonts w:ascii="Times" w:hAnsi="Times" w:cs="Calibri"/>
                <w:color w:val="000000" w:themeColor="text1"/>
                <w:sz w:val="20"/>
                <w:szCs w:val="20"/>
              </w:rPr>
            </w:pPr>
            <w:proofErr w:type="spellStart"/>
            <w:r w:rsidRPr="00584D7C">
              <w:rPr>
                <w:rFonts w:ascii="Times" w:hAnsi="Times" w:cs="Calibri"/>
                <w:color w:val="000000" w:themeColor="text1"/>
                <w:sz w:val="20"/>
                <w:szCs w:val="20"/>
              </w:rPr>
              <w:t>Sahan</w:t>
            </w:r>
            <w:proofErr w:type="spellEnd"/>
            <w:r w:rsidRPr="00584D7C">
              <w:rPr>
                <w:rFonts w:ascii="Times" w:hAnsi="Times" w:cs="Calibri"/>
                <w:color w:val="000000" w:themeColor="text1"/>
                <w:sz w:val="20"/>
                <w:szCs w:val="20"/>
              </w:rPr>
              <w:t xml:space="preserve"> et al. (2017) </w:t>
            </w:r>
          </w:p>
        </w:tc>
        <w:tc>
          <w:tcPr>
            <w:tcW w:w="1263" w:type="dxa"/>
          </w:tcPr>
          <w:p w14:paraId="3FC7CE6D"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Myanmar</w:t>
            </w:r>
          </w:p>
        </w:tc>
        <w:tc>
          <w:tcPr>
            <w:tcW w:w="1569" w:type="dxa"/>
          </w:tcPr>
          <w:p w14:paraId="6F46FB05"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45 villagers and study staff</w:t>
            </w:r>
          </w:p>
        </w:tc>
        <w:tc>
          <w:tcPr>
            <w:tcW w:w="1267" w:type="dxa"/>
            <w:tcMar>
              <w:top w:w="100" w:type="dxa"/>
              <w:left w:w="100" w:type="dxa"/>
              <w:bottom w:w="100" w:type="dxa"/>
              <w:right w:w="100" w:type="dxa"/>
            </w:tcMar>
          </w:tcPr>
          <w:p w14:paraId="1118DD57"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Qualitative</w:t>
            </w:r>
          </w:p>
        </w:tc>
        <w:tc>
          <w:tcPr>
            <w:tcW w:w="1403" w:type="dxa"/>
          </w:tcPr>
          <w:p w14:paraId="01F00317"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NA</w:t>
            </w:r>
          </w:p>
        </w:tc>
        <w:tc>
          <w:tcPr>
            <w:tcW w:w="1756" w:type="dxa"/>
          </w:tcPr>
          <w:p w14:paraId="6FB32A79" w14:textId="77777777" w:rsidR="004D4880" w:rsidRPr="00584D7C" w:rsidRDefault="004D4880" w:rsidP="004A188C">
            <w:pPr>
              <w:autoSpaceDE w:val="0"/>
              <w:autoSpaceDN w:val="0"/>
              <w:adjustRightInd w:val="0"/>
              <w:rPr>
                <w:rFonts w:ascii="Times" w:hAnsi="Times" w:cs="Calibri"/>
                <w:color w:val="000000" w:themeColor="text1"/>
                <w:sz w:val="20"/>
                <w:szCs w:val="20"/>
              </w:rPr>
            </w:pPr>
            <w:r w:rsidRPr="00584D7C">
              <w:rPr>
                <w:rFonts w:ascii="Times" w:hAnsi="Times" w:cs="Calibri"/>
                <w:color w:val="000000" w:themeColor="text1"/>
                <w:sz w:val="20"/>
                <w:szCs w:val="20"/>
              </w:rPr>
              <w:t>How these factors influenced attitudes and behaviours</w:t>
            </w:r>
          </w:p>
          <w:p w14:paraId="477148BD"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towards Targeted Malaria Treatment (TMT)</w:t>
            </w:r>
          </w:p>
        </w:tc>
        <w:tc>
          <w:tcPr>
            <w:tcW w:w="3316" w:type="dxa"/>
            <w:tcMar>
              <w:top w:w="100" w:type="dxa"/>
              <w:left w:w="100" w:type="dxa"/>
              <w:bottom w:w="100" w:type="dxa"/>
              <w:right w:w="100" w:type="dxa"/>
            </w:tcMar>
          </w:tcPr>
          <w:p w14:paraId="600050E7" w14:textId="77777777" w:rsidR="004D4880" w:rsidRPr="00584D7C" w:rsidRDefault="004D4880" w:rsidP="004A188C">
            <w:pPr>
              <w:rPr>
                <w:rFonts w:ascii="Times" w:hAnsi="Times" w:cs="Calibri"/>
                <w:color w:val="000000" w:themeColor="text1"/>
                <w:sz w:val="20"/>
                <w:szCs w:val="20"/>
              </w:rPr>
            </w:pPr>
            <w:r w:rsidRPr="00584D7C">
              <w:rPr>
                <w:rFonts w:ascii="Times" w:hAnsi="Times" w:cs="Calibri"/>
                <w:color w:val="000000" w:themeColor="text1"/>
                <w:sz w:val="20"/>
                <w:szCs w:val="20"/>
              </w:rPr>
              <w:t xml:space="preserve">Trust had a key influence on participation in a setting with limited health infrastructure. Trust was founded not only on the immediate short-term provision of additional healthcare, but also through demonstrating a commitment to the local health needs. Decisions about participation were also made in the background of malaria-related knowledge and at times, were made on behalf of others. </w:t>
            </w:r>
          </w:p>
        </w:tc>
      </w:tr>
      <w:tr w:rsidR="004D4880" w:rsidRPr="00584D7C" w14:paraId="0F5E17BA" w14:textId="77777777" w:rsidTr="004A188C">
        <w:trPr>
          <w:trHeight w:val="57"/>
        </w:trPr>
        <w:tc>
          <w:tcPr>
            <w:tcW w:w="2042" w:type="dxa"/>
            <w:tcBorders>
              <w:bottom w:val="single" w:sz="4" w:space="0" w:color="auto"/>
            </w:tcBorders>
            <w:tcMar>
              <w:top w:w="100" w:type="dxa"/>
              <w:left w:w="100" w:type="dxa"/>
              <w:bottom w:w="100" w:type="dxa"/>
              <w:right w:w="100" w:type="dxa"/>
            </w:tcMar>
          </w:tcPr>
          <w:p w14:paraId="52C58A9F" w14:textId="60A0FEBD" w:rsidR="004D4880" w:rsidRPr="00584D7C" w:rsidRDefault="004D4880" w:rsidP="00146B85">
            <w:pPr>
              <w:widowControl w:val="0"/>
              <w:rPr>
                <w:rFonts w:ascii="Times" w:hAnsi="Times" w:cs="Calibri"/>
                <w:color w:val="000000" w:themeColor="text1"/>
                <w:sz w:val="20"/>
                <w:szCs w:val="20"/>
              </w:rPr>
            </w:pPr>
            <w:proofErr w:type="spellStart"/>
            <w:r w:rsidRPr="00584D7C">
              <w:rPr>
                <w:rFonts w:ascii="Times" w:hAnsi="Times" w:cs="Calibri"/>
                <w:color w:val="000000" w:themeColor="text1"/>
                <w:sz w:val="20"/>
                <w:szCs w:val="20"/>
              </w:rPr>
              <w:t>Shoklo</w:t>
            </w:r>
            <w:proofErr w:type="spellEnd"/>
            <w:r w:rsidRPr="00584D7C">
              <w:rPr>
                <w:rFonts w:ascii="Times" w:hAnsi="Times" w:cs="Calibri"/>
                <w:color w:val="000000" w:themeColor="text1"/>
                <w:sz w:val="20"/>
                <w:szCs w:val="20"/>
              </w:rPr>
              <w:t xml:space="preserve"> Malaria Research Unit  </w:t>
            </w:r>
          </w:p>
        </w:tc>
        <w:tc>
          <w:tcPr>
            <w:tcW w:w="1263" w:type="dxa"/>
            <w:tcBorders>
              <w:bottom w:val="single" w:sz="4" w:space="0" w:color="auto"/>
            </w:tcBorders>
          </w:tcPr>
          <w:p w14:paraId="7F63D85D"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Myanmar</w:t>
            </w:r>
          </w:p>
        </w:tc>
        <w:tc>
          <w:tcPr>
            <w:tcW w:w="1569" w:type="dxa"/>
            <w:tcBorders>
              <w:bottom w:val="single" w:sz="4" w:space="0" w:color="auto"/>
            </w:tcBorders>
          </w:tcPr>
          <w:p w14:paraId="3470697D"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General population</w:t>
            </w:r>
          </w:p>
        </w:tc>
        <w:tc>
          <w:tcPr>
            <w:tcW w:w="1267" w:type="dxa"/>
            <w:tcBorders>
              <w:bottom w:val="single" w:sz="4" w:space="0" w:color="auto"/>
            </w:tcBorders>
            <w:tcMar>
              <w:top w:w="100" w:type="dxa"/>
              <w:left w:w="100" w:type="dxa"/>
              <w:bottom w:w="100" w:type="dxa"/>
              <w:right w:w="100" w:type="dxa"/>
            </w:tcMar>
          </w:tcPr>
          <w:p w14:paraId="578BA412"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Report, Grey literature</w:t>
            </w:r>
          </w:p>
        </w:tc>
        <w:tc>
          <w:tcPr>
            <w:tcW w:w="1403" w:type="dxa"/>
            <w:tcBorders>
              <w:bottom w:val="single" w:sz="4" w:space="0" w:color="auto"/>
            </w:tcBorders>
          </w:tcPr>
          <w:p w14:paraId="23222134" w14:textId="77777777" w:rsidR="004D4880" w:rsidRPr="00584D7C" w:rsidRDefault="004D4880" w:rsidP="004A188C">
            <w:pPr>
              <w:widowControl w:val="0"/>
              <w:rPr>
                <w:rFonts w:ascii="Times" w:hAnsi="Times" w:cs="Calibri"/>
                <w:color w:val="000000" w:themeColor="text1"/>
                <w:sz w:val="20"/>
                <w:szCs w:val="20"/>
              </w:rPr>
            </w:pPr>
            <w:r w:rsidRPr="00584D7C">
              <w:rPr>
                <w:rFonts w:ascii="Times" w:hAnsi="Times" w:cs="Calibri"/>
                <w:color w:val="000000" w:themeColor="text1"/>
                <w:sz w:val="20"/>
                <w:szCs w:val="20"/>
              </w:rPr>
              <w:t>NA</w:t>
            </w:r>
          </w:p>
        </w:tc>
        <w:tc>
          <w:tcPr>
            <w:tcW w:w="1756" w:type="dxa"/>
            <w:tcBorders>
              <w:bottom w:val="single" w:sz="4" w:space="0" w:color="auto"/>
            </w:tcBorders>
          </w:tcPr>
          <w:p w14:paraId="6F60997C" w14:textId="77777777" w:rsidR="004D4880" w:rsidRPr="00584D7C" w:rsidRDefault="004D4880" w:rsidP="004A188C">
            <w:pPr>
              <w:autoSpaceDE w:val="0"/>
              <w:autoSpaceDN w:val="0"/>
              <w:adjustRightInd w:val="0"/>
              <w:rPr>
                <w:rFonts w:ascii="Times" w:hAnsi="Times" w:cs="Calibri"/>
                <w:color w:val="000000" w:themeColor="text1"/>
                <w:sz w:val="20"/>
                <w:szCs w:val="20"/>
              </w:rPr>
            </w:pPr>
            <w:r w:rsidRPr="00584D7C">
              <w:rPr>
                <w:rFonts w:ascii="Times" w:hAnsi="Times" w:cs="Calibri"/>
                <w:color w:val="000000" w:themeColor="text1"/>
                <w:sz w:val="20"/>
                <w:szCs w:val="20"/>
              </w:rPr>
              <w:t xml:space="preserve">Discusses results from a mass drug administration campaign, including reasons for non-participation. </w:t>
            </w:r>
          </w:p>
        </w:tc>
        <w:tc>
          <w:tcPr>
            <w:tcW w:w="3316" w:type="dxa"/>
            <w:tcBorders>
              <w:bottom w:val="single" w:sz="4" w:space="0" w:color="auto"/>
            </w:tcBorders>
            <w:tcMar>
              <w:top w:w="100" w:type="dxa"/>
              <w:left w:w="100" w:type="dxa"/>
              <w:bottom w:w="100" w:type="dxa"/>
              <w:right w:w="100" w:type="dxa"/>
            </w:tcMar>
          </w:tcPr>
          <w:p w14:paraId="67ED22D4" w14:textId="77777777" w:rsidR="004D4880" w:rsidRPr="00584D7C" w:rsidRDefault="004D4880" w:rsidP="004A188C">
            <w:pPr>
              <w:rPr>
                <w:rFonts w:ascii="Times" w:hAnsi="Times" w:cs="Calibri"/>
                <w:color w:val="000000" w:themeColor="text1"/>
                <w:sz w:val="20"/>
                <w:szCs w:val="20"/>
              </w:rPr>
            </w:pPr>
            <w:r w:rsidRPr="00584D7C">
              <w:rPr>
                <w:rFonts w:ascii="Times" w:hAnsi="Times" w:cs="Calibri"/>
                <w:color w:val="000000" w:themeColor="text1"/>
                <w:sz w:val="20"/>
                <w:szCs w:val="20"/>
              </w:rPr>
              <w:t xml:space="preserve">MDA was overall well-accepted. Non-participation was due to refusals, ineligibility, and incomplete participation. Among those who refused participation, the main reason was not wanting to take medicine due to not feeling sick, not trusting western medicine, or not perceiving malaria as a problem. Participants who had other conditions also reported not wanting to take another drug. Community engagement was key for community participation as it fostered trust. Rumors in some villages had a significant negative impact on participation rates that recovered after rumor control from staff.  </w:t>
            </w:r>
          </w:p>
        </w:tc>
      </w:tr>
    </w:tbl>
    <w:p w14:paraId="27C105F3" w14:textId="77777777" w:rsidR="004D4880" w:rsidRDefault="004D4880" w:rsidP="004D4880">
      <w:pPr>
        <w:pStyle w:val="Caption"/>
        <w:keepNext/>
        <w:rPr>
          <w:rFonts w:ascii="Times" w:hAnsi="Times" w:cs="Calibri"/>
          <w:b w:val="0"/>
          <w:bCs/>
          <w:color w:val="000000" w:themeColor="text1"/>
          <w:sz w:val="20"/>
        </w:rPr>
      </w:pPr>
    </w:p>
    <w:p w14:paraId="330E0AC7" w14:textId="77777777" w:rsidR="004D4880" w:rsidRDefault="004D4880" w:rsidP="004D4880">
      <w:pPr>
        <w:rPr>
          <w:lang w:eastAsia="en-CA"/>
        </w:rPr>
      </w:pPr>
    </w:p>
    <w:p w14:paraId="3CC0436B" w14:textId="77777777" w:rsidR="004D4880" w:rsidRDefault="004D4880" w:rsidP="004D4880">
      <w:pPr>
        <w:rPr>
          <w:lang w:eastAsia="en-CA"/>
        </w:rPr>
      </w:pPr>
    </w:p>
    <w:p w14:paraId="36E73285" w14:textId="77777777" w:rsidR="004D4880" w:rsidRDefault="004D4880" w:rsidP="004D4880">
      <w:pPr>
        <w:rPr>
          <w:lang w:eastAsia="en-CA"/>
        </w:rPr>
      </w:pPr>
    </w:p>
    <w:sectPr w:rsidR="004D4880" w:rsidSect="006A7540">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DengXian">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0000500000000000000"/>
    <w:charset w:val="00"/>
    <w:family w:val="roman"/>
    <w:pitch w:val="variable"/>
    <w:sig w:usb0="20002A87" w:usb1="00000000" w:usb2="00000000"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880"/>
    <w:rsid w:val="00022331"/>
    <w:rsid w:val="00027189"/>
    <w:rsid w:val="0003262A"/>
    <w:rsid w:val="00034B99"/>
    <w:rsid w:val="00037BDE"/>
    <w:rsid w:val="00070014"/>
    <w:rsid w:val="00072E33"/>
    <w:rsid w:val="0007370B"/>
    <w:rsid w:val="00077C7F"/>
    <w:rsid w:val="00086581"/>
    <w:rsid w:val="00091D2D"/>
    <w:rsid w:val="000942F3"/>
    <w:rsid w:val="000944BB"/>
    <w:rsid w:val="000A2A33"/>
    <w:rsid w:val="000A6F7D"/>
    <w:rsid w:val="000B579F"/>
    <w:rsid w:val="000E6B0E"/>
    <w:rsid w:val="000F6B9E"/>
    <w:rsid w:val="000F7882"/>
    <w:rsid w:val="0010085C"/>
    <w:rsid w:val="00104406"/>
    <w:rsid w:val="001144E9"/>
    <w:rsid w:val="00114BC4"/>
    <w:rsid w:val="001339E5"/>
    <w:rsid w:val="0013553A"/>
    <w:rsid w:val="00146B85"/>
    <w:rsid w:val="0017113C"/>
    <w:rsid w:val="00194226"/>
    <w:rsid w:val="00194D02"/>
    <w:rsid w:val="001A6040"/>
    <w:rsid w:val="001B016B"/>
    <w:rsid w:val="001B39E1"/>
    <w:rsid w:val="001D0D16"/>
    <w:rsid w:val="001F77E2"/>
    <w:rsid w:val="0020165B"/>
    <w:rsid w:val="0023790A"/>
    <w:rsid w:val="00253C70"/>
    <w:rsid w:val="00262394"/>
    <w:rsid w:val="002652E9"/>
    <w:rsid w:val="00282E07"/>
    <w:rsid w:val="002862F9"/>
    <w:rsid w:val="00293EA4"/>
    <w:rsid w:val="002977F1"/>
    <w:rsid w:val="002D4B62"/>
    <w:rsid w:val="002E769D"/>
    <w:rsid w:val="002F5616"/>
    <w:rsid w:val="002F7A22"/>
    <w:rsid w:val="00304560"/>
    <w:rsid w:val="00317273"/>
    <w:rsid w:val="00332002"/>
    <w:rsid w:val="00343550"/>
    <w:rsid w:val="00352B94"/>
    <w:rsid w:val="00364E38"/>
    <w:rsid w:val="00372AD0"/>
    <w:rsid w:val="00384ADD"/>
    <w:rsid w:val="00392041"/>
    <w:rsid w:val="003C1B69"/>
    <w:rsid w:val="003C3E81"/>
    <w:rsid w:val="003D24A8"/>
    <w:rsid w:val="003F01E0"/>
    <w:rsid w:val="003F2E71"/>
    <w:rsid w:val="003F3C96"/>
    <w:rsid w:val="00404F9B"/>
    <w:rsid w:val="004053B6"/>
    <w:rsid w:val="00411B61"/>
    <w:rsid w:val="00433644"/>
    <w:rsid w:val="0043622C"/>
    <w:rsid w:val="004440E0"/>
    <w:rsid w:val="00446F16"/>
    <w:rsid w:val="004558A7"/>
    <w:rsid w:val="00485DED"/>
    <w:rsid w:val="004924E3"/>
    <w:rsid w:val="004A18E1"/>
    <w:rsid w:val="004A6A9F"/>
    <w:rsid w:val="004C7DCA"/>
    <w:rsid w:val="004D1FCE"/>
    <w:rsid w:val="004D4880"/>
    <w:rsid w:val="004E5C0D"/>
    <w:rsid w:val="004F2610"/>
    <w:rsid w:val="00506F4A"/>
    <w:rsid w:val="00507939"/>
    <w:rsid w:val="00510EF3"/>
    <w:rsid w:val="00515224"/>
    <w:rsid w:val="00527FE0"/>
    <w:rsid w:val="00531B94"/>
    <w:rsid w:val="00551CC4"/>
    <w:rsid w:val="0056627A"/>
    <w:rsid w:val="005832B3"/>
    <w:rsid w:val="005843F0"/>
    <w:rsid w:val="00585AC1"/>
    <w:rsid w:val="005862AE"/>
    <w:rsid w:val="00587378"/>
    <w:rsid w:val="005A0188"/>
    <w:rsid w:val="005A75E1"/>
    <w:rsid w:val="005B1CAB"/>
    <w:rsid w:val="005C3CF5"/>
    <w:rsid w:val="005D6E1B"/>
    <w:rsid w:val="005D7CAB"/>
    <w:rsid w:val="005E6460"/>
    <w:rsid w:val="005F3AF4"/>
    <w:rsid w:val="006058EC"/>
    <w:rsid w:val="006139FE"/>
    <w:rsid w:val="00633B02"/>
    <w:rsid w:val="00642DC5"/>
    <w:rsid w:val="006437F4"/>
    <w:rsid w:val="00646355"/>
    <w:rsid w:val="00646528"/>
    <w:rsid w:val="00650CDC"/>
    <w:rsid w:val="006579B5"/>
    <w:rsid w:val="00660434"/>
    <w:rsid w:val="00686FB4"/>
    <w:rsid w:val="006A7540"/>
    <w:rsid w:val="006D153F"/>
    <w:rsid w:val="006D4E8B"/>
    <w:rsid w:val="006E6674"/>
    <w:rsid w:val="006F41C6"/>
    <w:rsid w:val="007054D0"/>
    <w:rsid w:val="00712E97"/>
    <w:rsid w:val="007215B3"/>
    <w:rsid w:val="00727F68"/>
    <w:rsid w:val="00733839"/>
    <w:rsid w:val="00746EFB"/>
    <w:rsid w:val="00771EA0"/>
    <w:rsid w:val="00796423"/>
    <w:rsid w:val="007C15C3"/>
    <w:rsid w:val="007C7631"/>
    <w:rsid w:val="007F295B"/>
    <w:rsid w:val="007F6C65"/>
    <w:rsid w:val="007F72E7"/>
    <w:rsid w:val="0082263C"/>
    <w:rsid w:val="00826487"/>
    <w:rsid w:val="00832247"/>
    <w:rsid w:val="008405D4"/>
    <w:rsid w:val="00847DF8"/>
    <w:rsid w:val="00855897"/>
    <w:rsid w:val="008672A5"/>
    <w:rsid w:val="00891C15"/>
    <w:rsid w:val="008B619A"/>
    <w:rsid w:val="008C43F9"/>
    <w:rsid w:val="008E0144"/>
    <w:rsid w:val="008E1F20"/>
    <w:rsid w:val="008F2BCC"/>
    <w:rsid w:val="00902920"/>
    <w:rsid w:val="009064A2"/>
    <w:rsid w:val="00921304"/>
    <w:rsid w:val="00931EDB"/>
    <w:rsid w:val="00960786"/>
    <w:rsid w:val="00960E44"/>
    <w:rsid w:val="009635AE"/>
    <w:rsid w:val="00974AC7"/>
    <w:rsid w:val="009A1CF7"/>
    <w:rsid w:val="009B2A72"/>
    <w:rsid w:val="009B39D1"/>
    <w:rsid w:val="009C1295"/>
    <w:rsid w:val="009C4F99"/>
    <w:rsid w:val="009C7BA5"/>
    <w:rsid w:val="009D15EC"/>
    <w:rsid w:val="009D37A2"/>
    <w:rsid w:val="009E153A"/>
    <w:rsid w:val="009E5861"/>
    <w:rsid w:val="00A01E89"/>
    <w:rsid w:val="00A06826"/>
    <w:rsid w:val="00A079C0"/>
    <w:rsid w:val="00A148AB"/>
    <w:rsid w:val="00A202FC"/>
    <w:rsid w:val="00A42794"/>
    <w:rsid w:val="00A43606"/>
    <w:rsid w:val="00A45E06"/>
    <w:rsid w:val="00A60EF4"/>
    <w:rsid w:val="00A62FDF"/>
    <w:rsid w:val="00AC06F5"/>
    <w:rsid w:val="00AE454A"/>
    <w:rsid w:val="00B20574"/>
    <w:rsid w:val="00B21462"/>
    <w:rsid w:val="00B34BF7"/>
    <w:rsid w:val="00B377B8"/>
    <w:rsid w:val="00B5408A"/>
    <w:rsid w:val="00B5712A"/>
    <w:rsid w:val="00B77BD2"/>
    <w:rsid w:val="00B97F4B"/>
    <w:rsid w:val="00BA0EBB"/>
    <w:rsid w:val="00BA326C"/>
    <w:rsid w:val="00BC2BD4"/>
    <w:rsid w:val="00BC7DA0"/>
    <w:rsid w:val="00BD5C6F"/>
    <w:rsid w:val="00BF0126"/>
    <w:rsid w:val="00C03C89"/>
    <w:rsid w:val="00C14F55"/>
    <w:rsid w:val="00C178D4"/>
    <w:rsid w:val="00C225AA"/>
    <w:rsid w:val="00C33E4B"/>
    <w:rsid w:val="00C40413"/>
    <w:rsid w:val="00C43297"/>
    <w:rsid w:val="00C43BFD"/>
    <w:rsid w:val="00C55602"/>
    <w:rsid w:val="00C63990"/>
    <w:rsid w:val="00C71E88"/>
    <w:rsid w:val="00CA0981"/>
    <w:rsid w:val="00CA71B8"/>
    <w:rsid w:val="00CC23E8"/>
    <w:rsid w:val="00CC45C9"/>
    <w:rsid w:val="00CE4855"/>
    <w:rsid w:val="00CF1CCE"/>
    <w:rsid w:val="00D02960"/>
    <w:rsid w:val="00D033E3"/>
    <w:rsid w:val="00D04069"/>
    <w:rsid w:val="00D218A4"/>
    <w:rsid w:val="00D2340F"/>
    <w:rsid w:val="00D24B83"/>
    <w:rsid w:val="00D31A43"/>
    <w:rsid w:val="00D3371F"/>
    <w:rsid w:val="00D73CC6"/>
    <w:rsid w:val="00D75570"/>
    <w:rsid w:val="00D84429"/>
    <w:rsid w:val="00DB515D"/>
    <w:rsid w:val="00DC3885"/>
    <w:rsid w:val="00DC3F0E"/>
    <w:rsid w:val="00DC557E"/>
    <w:rsid w:val="00DD07EB"/>
    <w:rsid w:val="00DE6910"/>
    <w:rsid w:val="00DF43FF"/>
    <w:rsid w:val="00E145F7"/>
    <w:rsid w:val="00E15B8A"/>
    <w:rsid w:val="00E16AC8"/>
    <w:rsid w:val="00E3322B"/>
    <w:rsid w:val="00E55CFA"/>
    <w:rsid w:val="00E60336"/>
    <w:rsid w:val="00E85AC6"/>
    <w:rsid w:val="00EB2355"/>
    <w:rsid w:val="00EB51A1"/>
    <w:rsid w:val="00ED04B4"/>
    <w:rsid w:val="00EE032F"/>
    <w:rsid w:val="00EF7FDE"/>
    <w:rsid w:val="00F01310"/>
    <w:rsid w:val="00F117A3"/>
    <w:rsid w:val="00F30DE3"/>
    <w:rsid w:val="00F326FD"/>
    <w:rsid w:val="00F47791"/>
    <w:rsid w:val="00F61AF6"/>
    <w:rsid w:val="00F92852"/>
    <w:rsid w:val="00FA3117"/>
    <w:rsid w:val="00FC088E"/>
    <w:rsid w:val="00FD6022"/>
    <w:rsid w:val="00FE6378"/>
    <w:rsid w:val="00FF3ABF"/>
    <w:rsid w:val="00FF7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E8544"/>
  <w14:defaultImageDpi w14:val="32767"/>
  <w15:chartTrackingRefBased/>
  <w15:docId w15:val="{93AC39ED-9089-4545-A4F0-1EC61306F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880"/>
    <w:rPr>
      <w:rFonts w:ascii="Times New Roman" w:eastAsia="Times New Roman" w:hAnsi="Times New Roman" w:cs="Times New Roman"/>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4D4880"/>
    <w:pPr>
      <w:spacing w:before="120" w:after="120" w:line="360" w:lineRule="auto"/>
    </w:pPr>
    <w:rPr>
      <w:b/>
      <w:szCs w:val="20"/>
      <w:lang w:eastAsia="en-CA"/>
    </w:rPr>
  </w:style>
  <w:style w:type="paragraph" w:styleId="CommentText">
    <w:name w:val="annotation text"/>
    <w:basedOn w:val="Normal"/>
    <w:link w:val="CommentTextChar"/>
    <w:uiPriority w:val="99"/>
    <w:unhideWhenUsed/>
    <w:rsid w:val="004D4880"/>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4D4880"/>
    <w:rPr>
      <w:rFonts w:ascii="Arial" w:eastAsia="Arial" w:hAnsi="Arial" w:cs="Arial"/>
      <w:sz w:val="20"/>
      <w:szCs w:val="20"/>
      <w:lang w:val="en"/>
    </w:rPr>
  </w:style>
  <w:style w:type="paragraph" w:styleId="NormalWeb">
    <w:name w:val="Normal (Web)"/>
    <w:basedOn w:val="Normal"/>
    <w:uiPriority w:val="99"/>
    <w:unhideWhenUsed/>
    <w:rsid w:val="004D4880"/>
    <w:pPr>
      <w:spacing w:before="100" w:beforeAutospacing="1" w:after="100" w:afterAutospacing="1"/>
    </w:pPr>
  </w:style>
  <w:style w:type="paragraph" w:styleId="BalloonText">
    <w:name w:val="Balloon Text"/>
    <w:basedOn w:val="Normal"/>
    <w:link w:val="BalloonTextChar"/>
    <w:uiPriority w:val="99"/>
    <w:semiHidden/>
    <w:unhideWhenUsed/>
    <w:rsid w:val="004D4880"/>
    <w:rPr>
      <w:sz w:val="18"/>
      <w:szCs w:val="18"/>
    </w:rPr>
  </w:style>
  <w:style w:type="character" w:customStyle="1" w:styleId="BalloonTextChar">
    <w:name w:val="Balloon Text Char"/>
    <w:basedOn w:val="DefaultParagraphFont"/>
    <w:link w:val="BalloonText"/>
    <w:uiPriority w:val="99"/>
    <w:semiHidden/>
    <w:rsid w:val="004D4880"/>
    <w:rPr>
      <w:rFonts w:ascii="Times New Roman" w:eastAsia="Times New Roman" w:hAnsi="Times New Roman" w:cs="Times New Roman"/>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1201</Words>
  <Characters>6851</Characters>
  <Application>Microsoft Office Word</Application>
  <DocSecurity>0</DocSecurity>
  <Lines>57</Lines>
  <Paragraphs>16</Paragraphs>
  <ScaleCrop>false</ScaleCrop>
  <Company/>
  <LinksUpToDate>false</LinksUpToDate>
  <CharactersWithSpaces>8036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Breagh Cheng</dc:creator>
  <cp:keywords/>
  <dc:description/>
  <cp:lastModifiedBy>Rajalakshmi</cp:lastModifiedBy>
  <cp:revision>5</cp:revision>
  <dcterms:created xsi:type="dcterms:W3CDTF">2021-04-09T02:33:00Z</dcterms:created>
  <dcterms:modified xsi:type="dcterms:W3CDTF">2021-04-13T04:55:00Z</dcterms:modified>
</cp:coreProperties>
</file>