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20AC4" w14:textId="63549D63" w:rsidR="00942173" w:rsidRPr="00202E67" w:rsidRDefault="009234C4" w:rsidP="00F07B13">
      <w:pPr>
        <w:pStyle w:val="Caption"/>
        <w:keepNext/>
        <w:spacing w:line="240" w:lineRule="auto"/>
        <w:rPr>
          <w:rFonts w:ascii="Times" w:hAnsi="Times" w:cs="Calibri"/>
          <w:b w:val="0"/>
          <w:bCs/>
          <w:color w:val="000000" w:themeColor="text1"/>
        </w:rPr>
      </w:pPr>
      <w:bookmarkStart w:id="0" w:name="_Toc53389862"/>
      <w:r w:rsidRPr="009234C4">
        <w:rPr>
          <w:rFonts w:ascii="Times" w:hAnsi="Times" w:cs="Calibri"/>
          <w:color w:val="000000" w:themeColor="text1"/>
        </w:rPr>
        <w:t>Additional file 5:</w:t>
      </w:r>
      <w:r>
        <w:rPr>
          <w:rFonts w:ascii="Times" w:hAnsi="Times" w:cs="Calibri"/>
          <w:b w:val="0"/>
          <w:color w:val="000000" w:themeColor="text1"/>
        </w:rPr>
        <w:t xml:space="preserve">  </w:t>
      </w:r>
      <w:r w:rsidR="00942173" w:rsidRPr="00202E67">
        <w:rPr>
          <w:rFonts w:ascii="Times" w:hAnsi="Times" w:cs="Calibri"/>
          <w:b w:val="0"/>
          <w:bCs/>
          <w:color w:val="000000" w:themeColor="text1"/>
        </w:rPr>
        <w:t>Themes describing factors related to individual MDA participation</w:t>
      </w:r>
      <w:bookmarkEnd w:id="0"/>
      <w:r w:rsidR="00942173" w:rsidRPr="00202E67">
        <w:rPr>
          <w:rFonts w:ascii="Times" w:hAnsi="Times" w:cs="Calibri"/>
          <w:b w:val="0"/>
          <w:bCs/>
          <w:color w:val="000000" w:themeColor="text1"/>
        </w:rPr>
        <w:t xml:space="preserve"> </w:t>
      </w:r>
    </w:p>
    <w:tbl>
      <w:tblPr>
        <w:tblW w:w="12474" w:type="dxa"/>
        <w:tblLayout w:type="fixed"/>
        <w:tblLook w:val="0600" w:firstRow="0" w:lastRow="0" w:firstColumn="0" w:lastColumn="0" w:noHBand="1" w:noVBand="1"/>
      </w:tblPr>
      <w:tblGrid>
        <w:gridCol w:w="1560"/>
        <w:gridCol w:w="10914"/>
      </w:tblGrid>
      <w:tr w:rsidR="00942173" w:rsidRPr="00584D7C" w14:paraId="30DBA9A1" w14:textId="77777777" w:rsidTr="004A188C">
        <w:tc>
          <w:tcPr>
            <w:tcW w:w="1560" w:type="dxa"/>
            <w:tcBorders>
              <w:top w:val="single" w:sz="4" w:space="0" w:color="auto"/>
            </w:tcBorders>
            <w:shd w:val="clear" w:color="auto" w:fill="auto"/>
            <w:tcMar>
              <w:top w:w="100" w:type="dxa"/>
              <w:left w:w="100" w:type="dxa"/>
              <w:bottom w:w="100" w:type="dxa"/>
              <w:right w:w="100" w:type="dxa"/>
            </w:tcMar>
          </w:tcPr>
          <w:p w14:paraId="76A3E30E" w14:textId="77777777" w:rsidR="00942173" w:rsidRPr="00584D7C" w:rsidRDefault="00942173" w:rsidP="00F07B13">
            <w:pPr>
              <w:widowControl w:val="0"/>
              <w:pBdr>
                <w:top w:val="nil"/>
                <w:left w:val="nil"/>
                <w:bottom w:val="nil"/>
                <w:right w:val="nil"/>
                <w:between w:val="nil"/>
              </w:pBdr>
              <w:rPr>
                <w:rFonts w:ascii="Times" w:hAnsi="Times" w:cs="Calibri"/>
                <w:b/>
                <w:color w:val="000000" w:themeColor="text1"/>
                <w:sz w:val="22"/>
                <w:szCs w:val="22"/>
              </w:rPr>
            </w:pPr>
            <w:r w:rsidRPr="00584D7C">
              <w:rPr>
                <w:rFonts w:ascii="Times" w:hAnsi="Times" w:cs="Calibri"/>
                <w:b/>
                <w:color w:val="000000" w:themeColor="text1"/>
                <w:sz w:val="22"/>
                <w:szCs w:val="22"/>
              </w:rPr>
              <w:t xml:space="preserve">Themes </w:t>
            </w:r>
          </w:p>
        </w:tc>
        <w:tc>
          <w:tcPr>
            <w:tcW w:w="10914" w:type="dxa"/>
            <w:tcBorders>
              <w:top w:val="single" w:sz="4" w:space="0" w:color="auto"/>
            </w:tcBorders>
            <w:shd w:val="clear" w:color="auto" w:fill="auto"/>
            <w:tcMar>
              <w:top w:w="100" w:type="dxa"/>
              <w:left w:w="100" w:type="dxa"/>
              <w:bottom w:w="100" w:type="dxa"/>
              <w:right w:w="100" w:type="dxa"/>
            </w:tcMar>
          </w:tcPr>
          <w:p w14:paraId="084A98FC" w14:textId="77777777" w:rsidR="00942173" w:rsidRPr="00584D7C" w:rsidRDefault="00942173" w:rsidP="00F07B13">
            <w:pPr>
              <w:widowControl w:val="0"/>
              <w:pBdr>
                <w:top w:val="nil"/>
                <w:left w:val="nil"/>
                <w:bottom w:val="nil"/>
                <w:right w:val="nil"/>
                <w:between w:val="nil"/>
              </w:pBdr>
              <w:rPr>
                <w:rFonts w:ascii="Times" w:hAnsi="Times" w:cs="Calibri"/>
                <w:b/>
                <w:color w:val="000000" w:themeColor="text1"/>
                <w:sz w:val="22"/>
                <w:szCs w:val="22"/>
              </w:rPr>
            </w:pPr>
            <w:r w:rsidRPr="00584D7C">
              <w:rPr>
                <w:rFonts w:ascii="Times" w:hAnsi="Times" w:cs="Calibri"/>
                <w:b/>
                <w:color w:val="000000" w:themeColor="text1"/>
                <w:sz w:val="22"/>
                <w:szCs w:val="22"/>
              </w:rPr>
              <w:t xml:space="preserve">Description </w:t>
            </w:r>
            <w:bookmarkStart w:id="1" w:name="_GoBack"/>
            <w:bookmarkEnd w:id="1"/>
          </w:p>
        </w:tc>
      </w:tr>
      <w:tr w:rsidR="00942173" w:rsidRPr="00F969A6" w14:paraId="07AFC832" w14:textId="77777777" w:rsidTr="004A188C">
        <w:tc>
          <w:tcPr>
            <w:tcW w:w="1560" w:type="dxa"/>
            <w:shd w:val="clear" w:color="auto" w:fill="auto"/>
            <w:tcMar>
              <w:top w:w="100" w:type="dxa"/>
              <w:left w:w="100" w:type="dxa"/>
              <w:bottom w:w="100" w:type="dxa"/>
              <w:right w:w="100" w:type="dxa"/>
            </w:tcMar>
          </w:tcPr>
          <w:p w14:paraId="76075429" w14:textId="6551A262" w:rsidR="00942173" w:rsidRPr="00F969A6" w:rsidRDefault="00460E9C" w:rsidP="00F969A6">
            <w:pPr>
              <w:widowControl w:val="0"/>
              <w:rPr>
                <w:rFonts w:ascii="Times" w:hAnsi="Times" w:cs="Calibri"/>
                <w:bCs/>
                <w:color w:val="000000" w:themeColor="text1"/>
                <w:sz w:val="20"/>
                <w:szCs w:val="20"/>
              </w:rPr>
            </w:pPr>
            <w:r w:rsidRPr="00F969A6">
              <w:rPr>
                <w:rFonts w:ascii="Times" w:hAnsi="Times" w:cs="Calibri"/>
                <w:bCs/>
                <w:color w:val="000000" w:themeColor="text1"/>
                <w:sz w:val="20"/>
                <w:szCs w:val="20"/>
              </w:rPr>
              <w:t xml:space="preserve">Access and </w:t>
            </w:r>
            <w:r w:rsidR="00942173" w:rsidRPr="00F969A6">
              <w:rPr>
                <w:rFonts w:ascii="Times" w:hAnsi="Times" w:cs="Calibri"/>
                <w:bCs/>
                <w:color w:val="000000" w:themeColor="text1"/>
                <w:sz w:val="20"/>
                <w:szCs w:val="20"/>
              </w:rPr>
              <w:t>Delivery</w:t>
            </w:r>
          </w:p>
        </w:tc>
        <w:tc>
          <w:tcPr>
            <w:tcW w:w="10914" w:type="dxa"/>
            <w:shd w:val="clear" w:color="auto" w:fill="auto"/>
            <w:tcMar>
              <w:top w:w="100" w:type="dxa"/>
              <w:left w:w="100" w:type="dxa"/>
              <w:bottom w:w="100" w:type="dxa"/>
              <w:right w:w="100" w:type="dxa"/>
            </w:tcMar>
          </w:tcPr>
          <w:p w14:paraId="12349E76" w14:textId="2F708BB3" w:rsidR="00942173" w:rsidRPr="00F969A6" w:rsidRDefault="00942173" w:rsidP="00F969A6">
            <w:pPr>
              <w:widowControl w:val="0"/>
              <w:rPr>
                <w:rFonts w:ascii="Times" w:hAnsi="Times" w:cs="Calibri"/>
                <w:color w:val="000000" w:themeColor="text1"/>
                <w:sz w:val="20"/>
                <w:szCs w:val="20"/>
              </w:rPr>
            </w:pPr>
            <w:r w:rsidRPr="00F969A6">
              <w:rPr>
                <w:rFonts w:ascii="Times" w:eastAsia="Cardo" w:hAnsi="Times" w:cs="Calibri"/>
                <w:color w:val="000000" w:themeColor="text1"/>
                <w:sz w:val="20"/>
                <w:szCs w:val="20"/>
              </w:rPr>
              <w:t>Isolated settlements made travel difficult and led to high staff turnover that delayed relationship building process</w:t>
            </w:r>
            <w:r w:rsidRPr="00F969A6">
              <w:rPr>
                <w:rFonts w:ascii="Times" w:hAnsi="Times" w:cs="Calibri"/>
                <w:color w:val="000000" w:themeColor="text1"/>
                <w:sz w:val="20"/>
                <w:szCs w:val="20"/>
              </w:rPr>
              <w:t xml:space="preserve">. Participation linked to slow but critical government approval of MDA studies. In one study, MDA </w:t>
            </w:r>
            <w:r w:rsidRPr="00F969A6">
              <w:rPr>
                <w:rFonts w:ascii="Times" w:hAnsi="Times" w:cs="Calibri"/>
                <w:bCs/>
                <w:color w:val="000000" w:themeColor="text1"/>
                <w:sz w:val="20"/>
                <w:szCs w:val="20"/>
              </w:rPr>
              <w:t xml:space="preserve">participation was significantly associated with seeking malaria treatment at a government health centre for fever. No participation due to </w:t>
            </w:r>
            <w:r w:rsidRPr="00F969A6">
              <w:rPr>
                <w:rFonts w:ascii="Times" w:hAnsi="Times" w:cs="Calibri"/>
                <w:color w:val="000000" w:themeColor="text1"/>
                <w:sz w:val="20"/>
                <w:szCs w:val="20"/>
              </w:rPr>
              <w:t xml:space="preserve">village absence at time of campaign. Participation facilitated by community engagement (CE) and collaboration with village volunteers, in part because it responded to AE concerns. </w:t>
            </w:r>
          </w:p>
        </w:tc>
      </w:tr>
      <w:tr w:rsidR="00460E9C" w:rsidRPr="00F969A6" w14:paraId="040E6386" w14:textId="77777777" w:rsidTr="004A188C">
        <w:tc>
          <w:tcPr>
            <w:tcW w:w="1560" w:type="dxa"/>
            <w:shd w:val="clear" w:color="auto" w:fill="auto"/>
            <w:tcMar>
              <w:top w:w="100" w:type="dxa"/>
              <w:left w:w="100" w:type="dxa"/>
              <w:bottom w:w="100" w:type="dxa"/>
              <w:right w:w="100" w:type="dxa"/>
            </w:tcMar>
          </w:tcPr>
          <w:p w14:paraId="06A248DD" w14:textId="753AB631" w:rsidR="00460E9C" w:rsidRPr="00F969A6" w:rsidRDefault="00460E9C" w:rsidP="00F969A6">
            <w:pPr>
              <w:widowControl w:val="0"/>
              <w:rPr>
                <w:rFonts w:ascii="Times" w:hAnsi="Times" w:cs="Calibri"/>
                <w:color w:val="000000" w:themeColor="text1"/>
                <w:sz w:val="20"/>
                <w:szCs w:val="20"/>
              </w:rPr>
            </w:pPr>
            <w:r w:rsidRPr="00F969A6">
              <w:rPr>
                <w:rFonts w:ascii="Times" w:hAnsi="Times" w:cs="Calibri"/>
                <w:color w:val="000000" w:themeColor="text1"/>
                <w:sz w:val="20"/>
                <w:szCs w:val="20"/>
              </w:rPr>
              <w:t>Costs and incentives</w:t>
            </w:r>
          </w:p>
        </w:tc>
        <w:tc>
          <w:tcPr>
            <w:tcW w:w="10914" w:type="dxa"/>
            <w:shd w:val="clear" w:color="auto" w:fill="auto"/>
            <w:tcMar>
              <w:top w:w="100" w:type="dxa"/>
              <w:left w:w="100" w:type="dxa"/>
              <w:bottom w:w="100" w:type="dxa"/>
              <w:right w:w="100" w:type="dxa"/>
            </w:tcMar>
          </w:tcPr>
          <w:p w14:paraId="1AD1F771" w14:textId="4FC802DC" w:rsidR="00460E9C" w:rsidRPr="00F969A6" w:rsidRDefault="00460E9C" w:rsidP="00F969A6">
            <w:pPr>
              <w:widowControl w:val="0"/>
              <w:rPr>
                <w:rFonts w:ascii="Times" w:hAnsi="Times" w:cs="Calibri"/>
                <w:bCs/>
                <w:color w:val="000000" w:themeColor="text1"/>
                <w:sz w:val="20"/>
                <w:szCs w:val="20"/>
              </w:rPr>
            </w:pPr>
            <w:r w:rsidRPr="00F969A6">
              <w:rPr>
                <w:rFonts w:ascii="Times" w:hAnsi="Times" w:cs="Calibri"/>
                <w:bCs/>
                <w:color w:val="000000" w:themeColor="text1"/>
                <w:sz w:val="20"/>
                <w:szCs w:val="20"/>
              </w:rPr>
              <w:t>Direct and indirect costs were related to participation in MDA. Community members also strongly valued additional incentives including the provision of free essential medical services, installation of water pumps, attention to individual health concerns during door-to-door MDA delivery</w:t>
            </w:r>
            <w:r w:rsidR="00F969A6" w:rsidRPr="00F969A6">
              <w:rPr>
                <w:rFonts w:ascii="Times" w:hAnsi="Times" w:cs="Calibri"/>
                <w:bCs/>
                <w:color w:val="000000" w:themeColor="text1"/>
                <w:sz w:val="20"/>
                <w:szCs w:val="20"/>
              </w:rPr>
              <w:t xml:space="preserve">. </w:t>
            </w:r>
            <w:r w:rsidR="00850C14" w:rsidRPr="00F969A6">
              <w:rPr>
                <w:rFonts w:ascii="Times" w:hAnsi="Times" w:cs="Calibri"/>
                <w:bCs/>
                <w:color w:val="000000" w:themeColor="text1"/>
                <w:sz w:val="20"/>
                <w:szCs w:val="20"/>
              </w:rPr>
              <w:t>There is mixed evidence around the effect of financial compensation</w:t>
            </w:r>
            <w:r w:rsidR="00F969A6" w:rsidRPr="00F969A6">
              <w:rPr>
                <w:rFonts w:ascii="Times" w:hAnsi="Times" w:cs="Calibri"/>
                <w:bCs/>
                <w:color w:val="000000" w:themeColor="text1"/>
                <w:sz w:val="20"/>
                <w:szCs w:val="20"/>
              </w:rPr>
              <w:t>.</w:t>
            </w:r>
          </w:p>
        </w:tc>
      </w:tr>
      <w:tr w:rsidR="00942173" w:rsidRPr="00F969A6" w14:paraId="0B1044FE" w14:textId="77777777" w:rsidTr="004A188C">
        <w:tc>
          <w:tcPr>
            <w:tcW w:w="1560" w:type="dxa"/>
            <w:shd w:val="clear" w:color="auto" w:fill="auto"/>
            <w:tcMar>
              <w:top w:w="100" w:type="dxa"/>
              <w:left w:w="100" w:type="dxa"/>
              <w:bottom w:w="100" w:type="dxa"/>
              <w:right w:w="100" w:type="dxa"/>
            </w:tcMar>
          </w:tcPr>
          <w:p w14:paraId="7D9FE9E5" w14:textId="641909D4" w:rsidR="00942173" w:rsidRPr="00F969A6" w:rsidRDefault="00460E9C" w:rsidP="00F969A6">
            <w:pPr>
              <w:widowControl w:val="0"/>
              <w:rPr>
                <w:rFonts w:ascii="Times" w:hAnsi="Times" w:cs="Calibri"/>
                <w:bCs/>
                <w:color w:val="000000" w:themeColor="text1"/>
                <w:sz w:val="20"/>
                <w:szCs w:val="20"/>
              </w:rPr>
            </w:pPr>
            <w:r w:rsidRPr="00F969A6">
              <w:rPr>
                <w:rFonts w:ascii="Times" w:hAnsi="Times" w:cs="Calibri"/>
                <w:color w:val="000000" w:themeColor="text1"/>
                <w:sz w:val="20"/>
                <w:szCs w:val="20"/>
              </w:rPr>
              <w:t>Malaria knowledge</w:t>
            </w:r>
          </w:p>
        </w:tc>
        <w:tc>
          <w:tcPr>
            <w:tcW w:w="10914" w:type="dxa"/>
            <w:shd w:val="clear" w:color="auto" w:fill="auto"/>
            <w:tcMar>
              <w:top w:w="100" w:type="dxa"/>
              <w:left w:w="100" w:type="dxa"/>
              <w:bottom w:w="100" w:type="dxa"/>
              <w:right w:w="100" w:type="dxa"/>
            </w:tcMar>
          </w:tcPr>
          <w:p w14:paraId="7ADCFE2F" w14:textId="40DAF6E4" w:rsidR="00942173" w:rsidRPr="00F969A6" w:rsidRDefault="00942173" w:rsidP="00F969A6">
            <w:pPr>
              <w:widowControl w:val="0"/>
              <w:rPr>
                <w:rFonts w:ascii="Times" w:eastAsia="Cardo" w:hAnsi="Times" w:cs="Calibri"/>
                <w:color w:val="000000" w:themeColor="text1"/>
                <w:sz w:val="20"/>
                <w:szCs w:val="20"/>
              </w:rPr>
            </w:pPr>
            <w:r w:rsidRPr="00F969A6">
              <w:rPr>
                <w:rFonts w:ascii="Times" w:hAnsi="Times" w:cs="Calibri"/>
                <w:bCs/>
                <w:color w:val="000000" w:themeColor="text1"/>
                <w:sz w:val="20"/>
                <w:szCs w:val="20"/>
              </w:rPr>
              <w:t>Participation related to knowledge of asymptomatic malaria, and knowing that malaria can be diagnosed through blood tests. Respondents participated if they felt they received sufficient information on and also recommend program</w:t>
            </w:r>
            <w:r w:rsidR="00F969A6" w:rsidRPr="00F969A6">
              <w:rPr>
                <w:rFonts w:ascii="Times" w:hAnsi="Times" w:cs="Calibri"/>
                <w:bCs/>
                <w:color w:val="000000" w:themeColor="text1"/>
                <w:sz w:val="20"/>
                <w:szCs w:val="20"/>
              </w:rPr>
              <w:t>me</w:t>
            </w:r>
            <w:r w:rsidRPr="00F969A6">
              <w:rPr>
                <w:rFonts w:ascii="Times" w:hAnsi="Times" w:cs="Calibri"/>
                <w:bCs/>
                <w:color w:val="000000" w:themeColor="text1"/>
                <w:sz w:val="20"/>
                <w:szCs w:val="20"/>
              </w:rPr>
              <w:t xml:space="preserve"> to nonparticipants. Participation was unsuccessful due to difficulties in explaining concept of asymptomatic malaria and was less likely if respondents didn’t know causes of malaria. </w:t>
            </w:r>
          </w:p>
        </w:tc>
      </w:tr>
      <w:tr w:rsidR="00942173" w:rsidRPr="00F969A6" w14:paraId="6FE6529F" w14:textId="77777777" w:rsidTr="004A188C">
        <w:tc>
          <w:tcPr>
            <w:tcW w:w="1560" w:type="dxa"/>
            <w:shd w:val="clear" w:color="auto" w:fill="auto"/>
            <w:tcMar>
              <w:top w:w="100" w:type="dxa"/>
              <w:left w:w="100" w:type="dxa"/>
              <w:bottom w:w="100" w:type="dxa"/>
              <w:right w:w="100" w:type="dxa"/>
            </w:tcMar>
          </w:tcPr>
          <w:p w14:paraId="0A3377C1" w14:textId="77777777" w:rsidR="00942173" w:rsidRPr="00F969A6" w:rsidRDefault="00942173" w:rsidP="00F969A6">
            <w:pPr>
              <w:widowControl w:val="0"/>
              <w:rPr>
                <w:rFonts w:ascii="Times" w:hAnsi="Times" w:cs="Calibri"/>
                <w:color w:val="000000" w:themeColor="text1"/>
                <w:sz w:val="20"/>
                <w:szCs w:val="20"/>
              </w:rPr>
            </w:pPr>
            <w:r w:rsidRPr="00F969A6">
              <w:rPr>
                <w:rFonts w:ascii="Times" w:hAnsi="Times" w:cs="Calibri"/>
                <w:color w:val="000000" w:themeColor="text1"/>
                <w:sz w:val="20"/>
                <w:szCs w:val="20"/>
              </w:rPr>
              <w:t xml:space="preserve">Intervention knowledge </w:t>
            </w:r>
          </w:p>
        </w:tc>
        <w:tc>
          <w:tcPr>
            <w:tcW w:w="10914" w:type="dxa"/>
            <w:shd w:val="clear" w:color="auto" w:fill="auto"/>
            <w:tcMar>
              <w:top w:w="100" w:type="dxa"/>
              <w:left w:w="100" w:type="dxa"/>
              <w:bottom w:w="100" w:type="dxa"/>
              <w:right w:w="100" w:type="dxa"/>
            </w:tcMar>
          </w:tcPr>
          <w:p w14:paraId="7385D26B" w14:textId="2B3E64FE" w:rsidR="00942173" w:rsidRPr="00F969A6" w:rsidRDefault="00942173" w:rsidP="00F969A6">
            <w:pPr>
              <w:widowControl w:val="0"/>
              <w:rPr>
                <w:rFonts w:ascii="Times" w:hAnsi="Times" w:cs="Calibri"/>
                <w:bCs/>
                <w:color w:val="000000" w:themeColor="text1"/>
                <w:sz w:val="20"/>
                <w:szCs w:val="20"/>
              </w:rPr>
            </w:pPr>
            <w:r w:rsidRPr="00F969A6">
              <w:rPr>
                <w:rFonts w:ascii="Times" w:hAnsi="Times" w:cs="Calibri"/>
                <w:bCs/>
                <w:color w:val="000000" w:themeColor="text1"/>
                <w:sz w:val="20"/>
                <w:szCs w:val="20"/>
              </w:rPr>
              <w:t>Universal reason for non-participation was poor understanding of intervention rationale, as well as awareness of MDA and benefits. Community engagement activities (i</w:t>
            </w:r>
            <w:r w:rsidR="00F969A6" w:rsidRPr="00F969A6">
              <w:rPr>
                <w:rFonts w:ascii="Times" w:hAnsi="Times" w:cs="Calibri"/>
                <w:bCs/>
                <w:color w:val="000000" w:themeColor="text1"/>
                <w:sz w:val="20"/>
                <w:szCs w:val="20"/>
              </w:rPr>
              <w:t>.</w:t>
            </w:r>
            <w:r w:rsidRPr="00F969A6">
              <w:rPr>
                <w:rFonts w:ascii="Times" w:hAnsi="Times" w:cs="Calibri"/>
                <w:bCs/>
                <w:color w:val="000000" w:themeColor="text1"/>
                <w:sz w:val="20"/>
                <w:szCs w:val="20"/>
              </w:rPr>
              <w:t>e. project meetings) promoted concept and rationale of MDA</w:t>
            </w:r>
            <w:r w:rsidR="00F07B13" w:rsidRPr="00F969A6">
              <w:rPr>
                <w:rFonts w:ascii="Times" w:hAnsi="Times" w:cs="Calibri"/>
                <w:bCs/>
                <w:color w:val="000000" w:themeColor="text1"/>
                <w:sz w:val="20"/>
                <w:szCs w:val="20"/>
              </w:rPr>
              <w:t>.</w:t>
            </w:r>
          </w:p>
        </w:tc>
      </w:tr>
      <w:tr w:rsidR="00942173" w:rsidRPr="00F969A6" w14:paraId="7B3FBACC" w14:textId="77777777" w:rsidTr="004A188C">
        <w:tc>
          <w:tcPr>
            <w:tcW w:w="1560" w:type="dxa"/>
            <w:shd w:val="clear" w:color="auto" w:fill="auto"/>
            <w:tcMar>
              <w:top w:w="100" w:type="dxa"/>
              <w:left w:w="100" w:type="dxa"/>
              <w:bottom w:w="100" w:type="dxa"/>
              <w:right w:w="100" w:type="dxa"/>
            </w:tcMar>
          </w:tcPr>
          <w:p w14:paraId="71FC926C" w14:textId="60F92136" w:rsidR="00942173" w:rsidRPr="00F969A6" w:rsidRDefault="00942173" w:rsidP="00F969A6">
            <w:pPr>
              <w:widowControl w:val="0"/>
              <w:pBdr>
                <w:top w:val="nil"/>
                <w:left w:val="nil"/>
                <w:bottom w:val="nil"/>
                <w:right w:val="nil"/>
                <w:between w:val="nil"/>
              </w:pBdr>
              <w:rPr>
                <w:rFonts w:ascii="Times" w:hAnsi="Times" w:cs="Calibri"/>
                <w:color w:val="000000" w:themeColor="text1"/>
                <w:sz w:val="20"/>
                <w:szCs w:val="20"/>
              </w:rPr>
            </w:pPr>
            <w:r w:rsidRPr="00F969A6">
              <w:rPr>
                <w:rFonts w:ascii="Times" w:hAnsi="Times" w:cs="Calibri"/>
                <w:color w:val="000000" w:themeColor="text1"/>
                <w:sz w:val="20"/>
                <w:szCs w:val="20"/>
              </w:rPr>
              <w:t xml:space="preserve">Attitudes and perceptions </w:t>
            </w:r>
          </w:p>
          <w:p w14:paraId="018A3266" w14:textId="77777777" w:rsidR="00942173" w:rsidRPr="00F969A6" w:rsidRDefault="00942173" w:rsidP="00F969A6">
            <w:pPr>
              <w:widowControl w:val="0"/>
              <w:pBdr>
                <w:top w:val="nil"/>
                <w:left w:val="nil"/>
                <w:bottom w:val="nil"/>
                <w:right w:val="nil"/>
                <w:between w:val="nil"/>
              </w:pBdr>
              <w:rPr>
                <w:rFonts w:ascii="Times" w:hAnsi="Times" w:cs="Calibri"/>
                <w:color w:val="000000" w:themeColor="text1"/>
                <w:sz w:val="20"/>
                <w:szCs w:val="20"/>
              </w:rPr>
            </w:pPr>
          </w:p>
        </w:tc>
        <w:tc>
          <w:tcPr>
            <w:tcW w:w="10914" w:type="dxa"/>
            <w:shd w:val="clear" w:color="auto" w:fill="auto"/>
            <w:tcMar>
              <w:top w:w="100" w:type="dxa"/>
              <w:left w:w="100" w:type="dxa"/>
              <w:bottom w:w="100" w:type="dxa"/>
              <w:right w:w="100" w:type="dxa"/>
            </w:tcMar>
          </w:tcPr>
          <w:p w14:paraId="2DBC1B98" w14:textId="17B2C923" w:rsidR="00942173" w:rsidRPr="00F969A6" w:rsidRDefault="00942173" w:rsidP="00F969A6">
            <w:pPr>
              <w:widowControl w:val="0"/>
              <w:rPr>
                <w:rFonts w:ascii="Times" w:eastAsia="Calibri" w:hAnsi="Times" w:cs="Calibri"/>
                <w:color w:val="000000" w:themeColor="text1"/>
                <w:sz w:val="20"/>
                <w:szCs w:val="20"/>
              </w:rPr>
            </w:pPr>
            <w:r w:rsidRPr="00F969A6">
              <w:rPr>
                <w:rFonts w:ascii="Times" w:hAnsi="Times" w:cs="Calibri"/>
                <w:b/>
                <w:bCs/>
                <w:color w:val="000000" w:themeColor="text1"/>
                <w:sz w:val="20"/>
                <w:szCs w:val="20"/>
              </w:rPr>
              <w:t xml:space="preserve">Positive attitudes: </w:t>
            </w:r>
            <w:r w:rsidRPr="00F969A6">
              <w:rPr>
                <w:rFonts w:ascii="Times" w:hAnsi="Times" w:cs="Calibri"/>
                <w:color w:val="000000" w:themeColor="text1"/>
                <w:sz w:val="20"/>
                <w:szCs w:val="20"/>
              </w:rPr>
              <w:t>Participation was underpinned by the perception that TME was important and liking all aspects of TME, being concerned about malaria, and awareness of MDA. R</w:t>
            </w:r>
            <w:r w:rsidRPr="00F969A6">
              <w:rPr>
                <w:rFonts w:ascii="Times" w:eastAsia="Calibri" w:hAnsi="Times" w:cs="Calibri"/>
                <w:color w:val="000000" w:themeColor="text1"/>
                <w:sz w:val="20"/>
                <w:szCs w:val="20"/>
              </w:rPr>
              <w:t>ecognizing malaria as an important health hazard was another reason for participation</w:t>
            </w:r>
            <w:r w:rsidRPr="00F969A6">
              <w:rPr>
                <w:rFonts w:ascii="Times" w:eastAsia="Cardo" w:hAnsi="Times" w:cs="Calibri"/>
                <w:color w:val="000000" w:themeColor="text1"/>
                <w:sz w:val="20"/>
                <w:szCs w:val="20"/>
              </w:rPr>
              <w:t xml:space="preserve">. </w:t>
            </w:r>
            <w:r w:rsidRPr="00F969A6">
              <w:rPr>
                <w:rFonts w:ascii="Times" w:hAnsi="Times" w:cs="Calibri"/>
                <w:color w:val="000000" w:themeColor="text1"/>
                <w:sz w:val="20"/>
                <w:szCs w:val="20"/>
              </w:rPr>
              <w:t>Appreciation for 1-on-1 attention to suffering and convenient ability to ask staff questions during house to house MDA administration.</w:t>
            </w:r>
            <w:r w:rsidRPr="00F969A6">
              <w:rPr>
                <w:rFonts w:ascii="Times" w:hAnsi="Times" w:cs="Calibri"/>
                <w:b/>
                <w:color w:val="000000" w:themeColor="text1"/>
                <w:sz w:val="20"/>
                <w:szCs w:val="20"/>
              </w:rPr>
              <w:t xml:space="preserve"> </w:t>
            </w:r>
            <w:r w:rsidRPr="00F969A6">
              <w:rPr>
                <w:rFonts w:ascii="Times" w:hAnsi="Times" w:cs="Calibri"/>
                <w:color w:val="000000" w:themeColor="text1"/>
                <w:sz w:val="20"/>
                <w:szCs w:val="20"/>
              </w:rPr>
              <w:t>Showing caring and providing essential health assistance boosted confidence in intervention. Financial incentives in subsequent rounds encouraged participation but its absence did</w:t>
            </w:r>
            <w:r w:rsidR="00F969A6" w:rsidRPr="00F969A6">
              <w:rPr>
                <w:rFonts w:ascii="Times" w:hAnsi="Times" w:cs="Calibri"/>
                <w:color w:val="000000" w:themeColor="text1"/>
                <w:sz w:val="20"/>
                <w:szCs w:val="20"/>
              </w:rPr>
              <w:t xml:space="preserve"> no</w:t>
            </w:r>
            <w:r w:rsidRPr="00F969A6">
              <w:rPr>
                <w:rFonts w:ascii="Times" w:hAnsi="Times" w:cs="Calibri"/>
                <w:color w:val="000000" w:themeColor="text1"/>
                <w:sz w:val="20"/>
                <w:szCs w:val="20"/>
              </w:rPr>
              <w:t>t influence participation and not cited as a major reason for participation. Participation continued despite side effects, which was motivated by concerns about suffering from malaria. Participation was highly motivated by ancillary healthcare, and highly valued</w:t>
            </w:r>
            <w:r w:rsidR="00F07B13" w:rsidRPr="00F969A6">
              <w:rPr>
                <w:rFonts w:ascii="Times" w:hAnsi="Times" w:cs="Calibri"/>
                <w:color w:val="000000" w:themeColor="text1"/>
                <w:sz w:val="20"/>
                <w:szCs w:val="20"/>
              </w:rPr>
              <w:t>.</w:t>
            </w:r>
          </w:p>
          <w:p w14:paraId="247B53F6" w14:textId="77777777" w:rsidR="00942173" w:rsidRPr="00F969A6" w:rsidRDefault="00942173" w:rsidP="00F969A6">
            <w:pPr>
              <w:widowControl w:val="0"/>
              <w:rPr>
                <w:rFonts w:ascii="Times" w:hAnsi="Times" w:cs="Calibri"/>
                <w:b/>
                <w:i/>
                <w:color w:val="000000" w:themeColor="text1"/>
                <w:sz w:val="20"/>
                <w:szCs w:val="20"/>
              </w:rPr>
            </w:pPr>
          </w:p>
          <w:p w14:paraId="2A50DD1F" w14:textId="7891AAAD" w:rsidR="00942173" w:rsidRPr="00F969A6" w:rsidRDefault="00942173" w:rsidP="00F969A6">
            <w:pPr>
              <w:widowControl w:val="0"/>
              <w:pBdr>
                <w:top w:val="nil"/>
                <w:left w:val="nil"/>
                <w:bottom w:val="nil"/>
                <w:right w:val="nil"/>
                <w:between w:val="nil"/>
              </w:pBdr>
              <w:rPr>
                <w:rFonts w:ascii="Times" w:hAnsi="Times" w:cs="Calibri"/>
                <w:color w:val="000000" w:themeColor="text1"/>
                <w:sz w:val="20"/>
                <w:szCs w:val="20"/>
              </w:rPr>
            </w:pPr>
            <w:r w:rsidRPr="00F969A6">
              <w:rPr>
                <w:rFonts w:ascii="Times" w:hAnsi="Times" w:cs="Calibri"/>
                <w:b/>
                <w:bCs/>
                <w:color w:val="000000" w:themeColor="text1"/>
                <w:sz w:val="20"/>
                <w:szCs w:val="20"/>
              </w:rPr>
              <w:t xml:space="preserve">Negative attitudes: </w:t>
            </w:r>
            <w:r w:rsidRPr="00F969A6">
              <w:rPr>
                <w:rFonts w:ascii="Times" w:hAnsi="Times" w:cs="Calibri"/>
                <w:color w:val="000000" w:themeColor="text1"/>
                <w:sz w:val="20"/>
                <w:szCs w:val="20"/>
              </w:rPr>
              <w:t>Negative perceptions involved fear of drug safety, adverse events, and blood tests, where results were believed to have potential to identify illegal forest work Lower participation rates were observed in subsequent rounds following these health complaints, concerns related to historical trauma from past MDA trials and spread of unconfirmed rumo</w:t>
            </w:r>
            <w:r w:rsidR="00F969A6" w:rsidRPr="00F969A6">
              <w:rPr>
                <w:rFonts w:ascii="Times" w:hAnsi="Times" w:cs="Calibri"/>
                <w:color w:val="000000" w:themeColor="text1"/>
                <w:sz w:val="20"/>
                <w:szCs w:val="20"/>
              </w:rPr>
              <w:t>u</w:t>
            </w:r>
            <w:r w:rsidRPr="00F969A6">
              <w:rPr>
                <w:rFonts w:ascii="Times" w:hAnsi="Times" w:cs="Calibri"/>
                <w:color w:val="000000" w:themeColor="text1"/>
                <w:sz w:val="20"/>
                <w:szCs w:val="20"/>
              </w:rPr>
              <w:t xml:space="preserve">rs. </w:t>
            </w:r>
            <w:r w:rsidRPr="00F969A6">
              <w:rPr>
                <w:rFonts w:ascii="Times" w:eastAsia="Calibri" w:hAnsi="Times" w:cs="Calibri"/>
                <w:color w:val="000000" w:themeColor="text1"/>
                <w:sz w:val="20"/>
                <w:szCs w:val="20"/>
              </w:rPr>
              <w:t>Drop in coverage in round 2 due to attitude changes in trust</w:t>
            </w:r>
            <w:r w:rsidR="00F07B13" w:rsidRPr="00F969A6">
              <w:rPr>
                <w:rFonts w:ascii="Times" w:eastAsia="Calibri" w:hAnsi="Times" w:cs="Calibri"/>
                <w:color w:val="000000" w:themeColor="text1"/>
                <w:sz w:val="20"/>
                <w:szCs w:val="20"/>
              </w:rPr>
              <w:t>.</w:t>
            </w:r>
            <w:r w:rsidRPr="00F969A6">
              <w:rPr>
                <w:rFonts w:ascii="Times" w:eastAsia="Calibri" w:hAnsi="Times" w:cs="Calibri"/>
                <w:color w:val="000000" w:themeColor="text1"/>
                <w:sz w:val="20"/>
                <w:szCs w:val="20"/>
              </w:rPr>
              <w:t xml:space="preserve"> </w:t>
            </w:r>
          </w:p>
        </w:tc>
      </w:tr>
      <w:tr w:rsidR="00942173" w:rsidRPr="00F969A6" w14:paraId="2EC927ED" w14:textId="77777777" w:rsidTr="004A188C">
        <w:tc>
          <w:tcPr>
            <w:tcW w:w="1560" w:type="dxa"/>
            <w:shd w:val="clear" w:color="auto" w:fill="auto"/>
            <w:tcMar>
              <w:top w:w="100" w:type="dxa"/>
              <w:left w:w="100" w:type="dxa"/>
              <w:bottom w:w="100" w:type="dxa"/>
              <w:right w:w="100" w:type="dxa"/>
            </w:tcMar>
          </w:tcPr>
          <w:p w14:paraId="56EE2612" w14:textId="77777777" w:rsidR="00942173" w:rsidRPr="00F969A6" w:rsidRDefault="00942173" w:rsidP="00F969A6">
            <w:pPr>
              <w:widowControl w:val="0"/>
              <w:pBdr>
                <w:top w:val="nil"/>
                <w:left w:val="nil"/>
                <w:bottom w:val="nil"/>
                <w:right w:val="nil"/>
                <w:between w:val="nil"/>
              </w:pBdr>
              <w:rPr>
                <w:rFonts w:ascii="Times" w:hAnsi="Times" w:cs="Calibri"/>
                <w:color w:val="000000" w:themeColor="text1"/>
                <w:sz w:val="20"/>
                <w:szCs w:val="20"/>
              </w:rPr>
            </w:pPr>
            <w:r w:rsidRPr="00F969A6">
              <w:rPr>
                <w:rFonts w:ascii="Times" w:hAnsi="Times" w:cs="Calibri"/>
                <w:color w:val="000000" w:themeColor="text1"/>
                <w:sz w:val="20"/>
                <w:szCs w:val="20"/>
              </w:rPr>
              <w:t>Social dynamics</w:t>
            </w:r>
          </w:p>
        </w:tc>
        <w:tc>
          <w:tcPr>
            <w:tcW w:w="10914" w:type="dxa"/>
            <w:shd w:val="clear" w:color="auto" w:fill="auto"/>
            <w:tcMar>
              <w:top w:w="100" w:type="dxa"/>
              <w:left w:w="100" w:type="dxa"/>
              <w:bottom w:w="100" w:type="dxa"/>
              <w:right w:w="100" w:type="dxa"/>
            </w:tcMar>
          </w:tcPr>
          <w:p w14:paraId="09376FD0" w14:textId="59C9FE6C" w:rsidR="00942173" w:rsidRPr="00F969A6" w:rsidRDefault="00942173" w:rsidP="00F969A6">
            <w:pPr>
              <w:widowControl w:val="0"/>
              <w:rPr>
                <w:rFonts w:ascii="Times" w:hAnsi="Times" w:cs="Calibri"/>
                <w:color w:val="000000" w:themeColor="text1"/>
                <w:sz w:val="20"/>
                <w:szCs w:val="20"/>
              </w:rPr>
            </w:pPr>
            <w:r w:rsidRPr="00F969A6">
              <w:rPr>
                <w:rFonts w:ascii="Times" w:hAnsi="Times" w:cs="Calibri"/>
                <w:color w:val="000000" w:themeColor="text1"/>
                <w:sz w:val="20"/>
                <w:szCs w:val="20"/>
              </w:rPr>
              <w:t>Participation was more likely if all members from a household participated. Decisions to participate were influenced heavily by degree of community cohesiveness, where lower levels of coverage were caused by strong political divisions or a lack of sense of belonging among migrants new to the community. Decisions to participate or refusals also occurred in clusters</w:t>
            </w:r>
            <w:r w:rsidR="00F07B13" w:rsidRPr="00F969A6">
              <w:rPr>
                <w:rFonts w:ascii="Times" w:hAnsi="Times" w:cs="Calibri"/>
                <w:color w:val="000000" w:themeColor="text1"/>
                <w:sz w:val="20"/>
                <w:szCs w:val="20"/>
              </w:rPr>
              <w:t>.</w:t>
            </w:r>
          </w:p>
        </w:tc>
      </w:tr>
      <w:tr w:rsidR="00942173" w:rsidRPr="00F969A6" w14:paraId="6832BA92" w14:textId="77777777" w:rsidTr="004A188C">
        <w:tc>
          <w:tcPr>
            <w:tcW w:w="1560" w:type="dxa"/>
            <w:tcBorders>
              <w:bottom w:val="single" w:sz="4" w:space="0" w:color="auto"/>
            </w:tcBorders>
            <w:shd w:val="clear" w:color="auto" w:fill="auto"/>
            <w:tcMar>
              <w:top w:w="100" w:type="dxa"/>
              <w:left w:w="100" w:type="dxa"/>
              <w:bottom w:w="100" w:type="dxa"/>
              <w:right w:w="100" w:type="dxa"/>
            </w:tcMar>
          </w:tcPr>
          <w:p w14:paraId="760D6CC3" w14:textId="77777777" w:rsidR="00942173" w:rsidRPr="00F969A6" w:rsidRDefault="00942173" w:rsidP="00F969A6">
            <w:pPr>
              <w:widowControl w:val="0"/>
              <w:pBdr>
                <w:top w:val="nil"/>
                <w:left w:val="nil"/>
                <w:bottom w:val="nil"/>
                <w:right w:val="nil"/>
                <w:between w:val="nil"/>
              </w:pBdr>
              <w:rPr>
                <w:rFonts w:ascii="Times" w:hAnsi="Times" w:cs="Calibri"/>
                <w:color w:val="000000" w:themeColor="text1"/>
                <w:sz w:val="20"/>
                <w:szCs w:val="20"/>
              </w:rPr>
            </w:pPr>
            <w:r w:rsidRPr="00F969A6">
              <w:rPr>
                <w:rFonts w:ascii="Times" w:hAnsi="Times" w:cs="Calibri"/>
                <w:color w:val="000000" w:themeColor="text1"/>
                <w:sz w:val="20"/>
                <w:szCs w:val="20"/>
              </w:rPr>
              <w:t>Personal characteristics</w:t>
            </w:r>
          </w:p>
        </w:tc>
        <w:tc>
          <w:tcPr>
            <w:tcW w:w="10914" w:type="dxa"/>
            <w:tcBorders>
              <w:bottom w:val="single" w:sz="4" w:space="0" w:color="auto"/>
            </w:tcBorders>
            <w:shd w:val="clear" w:color="auto" w:fill="auto"/>
            <w:tcMar>
              <w:top w:w="100" w:type="dxa"/>
              <w:left w:w="100" w:type="dxa"/>
              <w:bottom w:w="100" w:type="dxa"/>
              <w:right w:w="100" w:type="dxa"/>
            </w:tcMar>
          </w:tcPr>
          <w:p w14:paraId="7C12617C" w14:textId="0D0FF7C0" w:rsidR="00942173" w:rsidRPr="00F969A6" w:rsidRDefault="00942173" w:rsidP="00F969A6">
            <w:pPr>
              <w:widowControl w:val="0"/>
              <w:rPr>
                <w:rFonts w:ascii="Times" w:hAnsi="Times" w:cs="Calibri"/>
                <w:color w:val="000000" w:themeColor="text1"/>
                <w:sz w:val="20"/>
                <w:szCs w:val="20"/>
              </w:rPr>
            </w:pPr>
            <w:r w:rsidRPr="00F969A6">
              <w:rPr>
                <w:rFonts w:ascii="Times" w:hAnsi="Times" w:cs="Calibri"/>
                <w:color w:val="000000" w:themeColor="text1"/>
                <w:sz w:val="20"/>
                <w:szCs w:val="20"/>
              </w:rPr>
              <w:t xml:space="preserve">Religion, literacy, and ethnicity was significantly associated with MDA participation, although ethnicity </w:t>
            </w:r>
            <w:r w:rsidRPr="00F969A6">
              <w:rPr>
                <w:rFonts w:ascii="Times" w:eastAsia="Calibri" w:hAnsi="Times" w:cs="Calibri"/>
                <w:color w:val="000000" w:themeColor="text1"/>
                <w:sz w:val="20"/>
                <w:szCs w:val="20"/>
              </w:rPr>
              <w:t>did not seem to affect willingness to participate in another qualitative study.</w:t>
            </w:r>
          </w:p>
        </w:tc>
      </w:tr>
    </w:tbl>
    <w:p w14:paraId="7D2C5BDC" w14:textId="77777777" w:rsidR="00F42240" w:rsidRDefault="00BE237D"/>
    <w:sectPr w:rsidR="00F42240" w:rsidSect="00BE237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0000500000000000000"/>
    <w:charset w:val="00"/>
    <w:family w:val="roman"/>
    <w:pitch w:val="variable"/>
    <w:sig w:usb0="20002A87" w:usb1="00000000" w:usb2="00000000" w:usb3="00000000" w:csb0="000001FF" w:csb1="00000000"/>
  </w:font>
  <w:font w:name="Cardo">
    <w:altName w:val="Calibri"/>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73"/>
    <w:rsid w:val="00022331"/>
    <w:rsid w:val="00027189"/>
    <w:rsid w:val="0003262A"/>
    <w:rsid w:val="00034B99"/>
    <w:rsid w:val="00037BDE"/>
    <w:rsid w:val="00070014"/>
    <w:rsid w:val="00072E33"/>
    <w:rsid w:val="0007370B"/>
    <w:rsid w:val="00077C7F"/>
    <w:rsid w:val="00086581"/>
    <w:rsid w:val="00091D2D"/>
    <w:rsid w:val="000942F3"/>
    <w:rsid w:val="000944BB"/>
    <w:rsid w:val="000A2A33"/>
    <w:rsid w:val="000A6F7D"/>
    <w:rsid w:val="000B579F"/>
    <w:rsid w:val="000E6B0E"/>
    <w:rsid w:val="000F6B9E"/>
    <w:rsid w:val="000F7882"/>
    <w:rsid w:val="0010085C"/>
    <w:rsid w:val="00104406"/>
    <w:rsid w:val="001144E9"/>
    <w:rsid w:val="00114BC4"/>
    <w:rsid w:val="001339E5"/>
    <w:rsid w:val="0013553A"/>
    <w:rsid w:val="0017113C"/>
    <w:rsid w:val="00194226"/>
    <w:rsid w:val="00194D02"/>
    <w:rsid w:val="001A6040"/>
    <w:rsid w:val="001B007E"/>
    <w:rsid w:val="001B016B"/>
    <w:rsid w:val="001B39E1"/>
    <w:rsid w:val="001D0D16"/>
    <w:rsid w:val="001F77E2"/>
    <w:rsid w:val="0020165B"/>
    <w:rsid w:val="0023790A"/>
    <w:rsid w:val="00253C70"/>
    <w:rsid w:val="00262394"/>
    <w:rsid w:val="002652E9"/>
    <w:rsid w:val="00282E07"/>
    <w:rsid w:val="002862F9"/>
    <w:rsid w:val="00293EA4"/>
    <w:rsid w:val="002977F1"/>
    <w:rsid w:val="002D4B62"/>
    <w:rsid w:val="002E769D"/>
    <w:rsid w:val="002F5616"/>
    <w:rsid w:val="002F7A22"/>
    <w:rsid w:val="00304560"/>
    <w:rsid w:val="00317273"/>
    <w:rsid w:val="00332002"/>
    <w:rsid w:val="00343550"/>
    <w:rsid w:val="00352B94"/>
    <w:rsid w:val="00364E38"/>
    <w:rsid w:val="00372AD0"/>
    <w:rsid w:val="00384ADD"/>
    <w:rsid w:val="00392041"/>
    <w:rsid w:val="003C1B69"/>
    <w:rsid w:val="003C3E81"/>
    <w:rsid w:val="003D24A8"/>
    <w:rsid w:val="003F01E0"/>
    <w:rsid w:val="003F2E71"/>
    <w:rsid w:val="003F3C96"/>
    <w:rsid w:val="00404F9B"/>
    <w:rsid w:val="004053B6"/>
    <w:rsid w:val="00411B61"/>
    <w:rsid w:val="00433644"/>
    <w:rsid w:val="0043622C"/>
    <w:rsid w:val="004440E0"/>
    <w:rsid w:val="00446F16"/>
    <w:rsid w:val="004558A7"/>
    <w:rsid w:val="00460E9C"/>
    <w:rsid w:val="00485DED"/>
    <w:rsid w:val="004924E3"/>
    <w:rsid w:val="004A18E1"/>
    <w:rsid w:val="004A6A9F"/>
    <w:rsid w:val="004C7DCA"/>
    <w:rsid w:val="004D1FCE"/>
    <w:rsid w:val="004E5C0D"/>
    <w:rsid w:val="004F2610"/>
    <w:rsid w:val="00506F4A"/>
    <w:rsid w:val="00507939"/>
    <w:rsid w:val="00510EF3"/>
    <w:rsid w:val="00515224"/>
    <w:rsid w:val="00527FE0"/>
    <w:rsid w:val="00531B94"/>
    <w:rsid w:val="00551CC4"/>
    <w:rsid w:val="0056627A"/>
    <w:rsid w:val="005832B3"/>
    <w:rsid w:val="005843F0"/>
    <w:rsid w:val="00585AC1"/>
    <w:rsid w:val="005862AE"/>
    <w:rsid w:val="00587378"/>
    <w:rsid w:val="005A0188"/>
    <w:rsid w:val="005A75E1"/>
    <w:rsid w:val="005B1CAB"/>
    <w:rsid w:val="005C3CF5"/>
    <w:rsid w:val="005C5466"/>
    <w:rsid w:val="005D6E1B"/>
    <w:rsid w:val="005D7CAB"/>
    <w:rsid w:val="005E6460"/>
    <w:rsid w:val="005F3AF4"/>
    <w:rsid w:val="006058EC"/>
    <w:rsid w:val="006139FE"/>
    <w:rsid w:val="00633B02"/>
    <w:rsid w:val="00642DC5"/>
    <w:rsid w:val="006437F4"/>
    <w:rsid w:val="00646355"/>
    <w:rsid w:val="00646528"/>
    <w:rsid w:val="00650CDC"/>
    <w:rsid w:val="006579B5"/>
    <w:rsid w:val="00660434"/>
    <w:rsid w:val="00686FB4"/>
    <w:rsid w:val="006D153F"/>
    <w:rsid w:val="006D4E8B"/>
    <w:rsid w:val="006E6674"/>
    <w:rsid w:val="006F41C6"/>
    <w:rsid w:val="007054D0"/>
    <w:rsid w:val="00712E97"/>
    <w:rsid w:val="007215B3"/>
    <w:rsid w:val="00727F68"/>
    <w:rsid w:val="00733839"/>
    <w:rsid w:val="00746EFB"/>
    <w:rsid w:val="00771EA0"/>
    <w:rsid w:val="00796423"/>
    <w:rsid w:val="007C15C3"/>
    <w:rsid w:val="007C7631"/>
    <w:rsid w:val="007F295B"/>
    <w:rsid w:val="007F6C65"/>
    <w:rsid w:val="007F72E7"/>
    <w:rsid w:val="0082263C"/>
    <w:rsid w:val="00826487"/>
    <w:rsid w:val="00832247"/>
    <w:rsid w:val="008405D4"/>
    <w:rsid w:val="00847DF8"/>
    <w:rsid w:val="00850C14"/>
    <w:rsid w:val="00855897"/>
    <w:rsid w:val="008672A5"/>
    <w:rsid w:val="008B619A"/>
    <w:rsid w:val="008C43F9"/>
    <w:rsid w:val="008E0144"/>
    <w:rsid w:val="008E1F20"/>
    <w:rsid w:val="008F2BCC"/>
    <w:rsid w:val="00901A42"/>
    <w:rsid w:val="00902920"/>
    <w:rsid w:val="009064A2"/>
    <w:rsid w:val="00921304"/>
    <w:rsid w:val="009234C4"/>
    <w:rsid w:val="00931EDB"/>
    <w:rsid w:val="00942173"/>
    <w:rsid w:val="00960786"/>
    <w:rsid w:val="00960E44"/>
    <w:rsid w:val="009635AE"/>
    <w:rsid w:val="00974AC7"/>
    <w:rsid w:val="009A1CF7"/>
    <w:rsid w:val="009B2A72"/>
    <w:rsid w:val="009B39D1"/>
    <w:rsid w:val="009C1295"/>
    <w:rsid w:val="009C4F99"/>
    <w:rsid w:val="009C7BA5"/>
    <w:rsid w:val="009D15EC"/>
    <w:rsid w:val="009D37A2"/>
    <w:rsid w:val="009E153A"/>
    <w:rsid w:val="009E5861"/>
    <w:rsid w:val="00A01E89"/>
    <w:rsid w:val="00A06826"/>
    <w:rsid w:val="00A079C0"/>
    <w:rsid w:val="00A148AB"/>
    <w:rsid w:val="00A202FC"/>
    <w:rsid w:val="00A42794"/>
    <w:rsid w:val="00A43606"/>
    <w:rsid w:val="00A45E06"/>
    <w:rsid w:val="00A60EF4"/>
    <w:rsid w:val="00A62FDF"/>
    <w:rsid w:val="00AC06F5"/>
    <w:rsid w:val="00AE454A"/>
    <w:rsid w:val="00B20574"/>
    <w:rsid w:val="00B21462"/>
    <w:rsid w:val="00B34BF7"/>
    <w:rsid w:val="00B377B8"/>
    <w:rsid w:val="00B5712A"/>
    <w:rsid w:val="00B77BD2"/>
    <w:rsid w:val="00B97F4B"/>
    <w:rsid w:val="00BA0EBB"/>
    <w:rsid w:val="00BA326C"/>
    <w:rsid w:val="00BC2BD4"/>
    <w:rsid w:val="00BC7DA0"/>
    <w:rsid w:val="00BD5C6F"/>
    <w:rsid w:val="00BE237D"/>
    <w:rsid w:val="00BF0126"/>
    <w:rsid w:val="00C03C89"/>
    <w:rsid w:val="00C14F55"/>
    <w:rsid w:val="00C178D4"/>
    <w:rsid w:val="00C225AA"/>
    <w:rsid w:val="00C33E4B"/>
    <w:rsid w:val="00C40413"/>
    <w:rsid w:val="00C43297"/>
    <w:rsid w:val="00C43BFD"/>
    <w:rsid w:val="00C63990"/>
    <w:rsid w:val="00C71E88"/>
    <w:rsid w:val="00CA0981"/>
    <w:rsid w:val="00CA71B8"/>
    <w:rsid w:val="00CC23E8"/>
    <w:rsid w:val="00CC45C9"/>
    <w:rsid w:val="00CE4855"/>
    <w:rsid w:val="00CF1CCE"/>
    <w:rsid w:val="00D02960"/>
    <w:rsid w:val="00D033E3"/>
    <w:rsid w:val="00D04069"/>
    <w:rsid w:val="00D218A4"/>
    <w:rsid w:val="00D2340F"/>
    <w:rsid w:val="00D24B83"/>
    <w:rsid w:val="00D31A43"/>
    <w:rsid w:val="00D3371F"/>
    <w:rsid w:val="00D73CC6"/>
    <w:rsid w:val="00D75570"/>
    <w:rsid w:val="00D80FD4"/>
    <w:rsid w:val="00D84429"/>
    <w:rsid w:val="00DB515D"/>
    <w:rsid w:val="00DC3885"/>
    <w:rsid w:val="00DC3F0E"/>
    <w:rsid w:val="00DC557E"/>
    <w:rsid w:val="00DD07EB"/>
    <w:rsid w:val="00DE6910"/>
    <w:rsid w:val="00DF43FF"/>
    <w:rsid w:val="00E145F7"/>
    <w:rsid w:val="00E15B8A"/>
    <w:rsid w:val="00E16AC8"/>
    <w:rsid w:val="00E3322B"/>
    <w:rsid w:val="00E55CFA"/>
    <w:rsid w:val="00E60336"/>
    <w:rsid w:val="00E85AC6"/>
    <w:rsid w:val="00EB2355"/>
    <w:rsid w:val="00EB51A1"/>
    <w:rsid w:val="00ED04B4"/>
    <w:rsid w:val="00EE032F"/>
    <w:rsid w:val="00EF7FDE"/>
    <w:rsid w:val="00F01310"/>
    <w:rsid w:val="00F07B13"/>
    <w:rsid w:val="00F117A3"/>
    <w:rsid w:val="00F30DE3"/>
    <w:rsid w:val="00F326FD"/>
    <w:rsid w:val="00F47791"/>
    <w:rsid w:val="00F61AF6"/>
    <w:rsid w:val="00F92852"/>
    <w:rsid w:val="00F969A6"/>
    <w:rsid w:val="00FA3117"/>
    <w:rsid w:val="00FC088E"/>
    <w:rsid w:val="00FD6022"/>
    <w:rsid w:val="00FE6378"/>
    <w:rsid w:val="00FF3ABF"/>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C0D1"/>
  <w14:defaultImageDpi w14:val="32767"/>
  <w15:chartTrackingRefBased/>
  <w15:docId w15:val="{92D734D2-7361-0F41-AF99-6DF57450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173"/>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42173"/>
    <w:pPr>
      <w:spacing w:before="120" w:after="120" w:line="360" w:lineRule="auto"/>
    </w:pPr>
    <w:rPr>
      <w:b/>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Breagh Cheng</dc:creator>
  <cp:keywords/>
  <dc:description/>
  <cp:lastModifiedBy>Rajalakshmi</cp:lastModifiedBy>
  <cp:revision>9</cp:revision>
  <dcterms:created xsi:type="dcterms:W3CDTF">2021-04-09T02:37:00Z</dcterms:created>
  <dcterms:modified xsi:type="dcterms:W3CDTF">2021-04-13T04:55:00Z</dcterms:modified>
</cp:coreProperties>
</file>