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A0" w:rsidRDefault="00E043A0" w:rsidP="00007ED1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Emerging properties </w:t>
      </w:r>
      <w:r w:rsidRPr="00311DEE">
        <w:rPr>
          <w:rFonts w:ascii="Times New Roman" w:hAnsi="Times New Roman"/>
          <w:sz w:val="24"/>
          <w:szCs w:val="24"/>
        </w:rPr>
        <w:t xml:space="preserve">of malaria transmission </w:t>
      </w:r>
      <w:r>
        <w:rPr>
          <w:rFonts w:ascii="Times New Roman" w:hAnsi="Times New Roman"/>
          <w:sz w:val="24"/>
          <w:szCs w:val="24"/>
        </w:rPr>
        <w:t xml:space="preserve">and persistence </w:t>
      </w:r>
      <w:r w:rsidRPr="00311DEE">
        <w:rPr>
          <w:rFonts w:ascii="Times New Roman" w:hAnsi="Times New Roman"/>
          <w:sz w:val="24"/>
          <w:szCs w:val="24"/>
        </w:rPr>
        <w:t xml:space="preserve">in urban </w:t>
      </w:r>
      <w:r>
        <w:rPr>
          <w:rFonts w:ascii="Times New Roman" w:hAnsi="Times New Roman"/>
          <w:sz w:val="24"/>
          <w:szCs w:val="24"/>
        </w:rPr>
        <w:t>Accra, Ghana: Evidence from a</w:t>
      </w:r>
      <w:r w:rsidRPr="00311DEE">
        <w:rPr>
          <w:rFonts w:ascii="Times New Roman" w:hAnsi="Times New Roman"/>
          <w:sz w:val="24"/>
          <w:szCs w:val="24"/>
        </w:rPr>
        <w:t xml:space="preserve"> participatory system approach </w:t>
      </w:r>
    </w:p>
    <w:p w:rsidR="00007ED1" w:rsidRPr="00E043A0" w:rsidRDefault="00007ED1" w:rsidP="00007ED1">
      <w:pPr>
        <w:spacing w:line="480" w:lineRule="auto"/>
        <w:outlineLvl w:val="0"/>
        <w:rPr>
          <w:rFonts w:ascii="Times New Roman" w:hAnsi="Times New Roman"/>
          <w:sz w:val="24"/>
          <w:szCs w:val="24"/>
          <w:lang w:val="fr-BE"/>
        </w:rPr>
      </w:pPr>
      <w:r w:rsidRPr="00E043A0">
        <w:rPr>
          <w:rFonts w:ascii="Times New Roman" w:hAnsi="Times New Roman"/>
          <w:sz w:val="24"/>
          <w:szCs w:val="24"/>
          <w:lang w:val="fr-BE"/>
        </w:rPr>
        <w:t xml:space="preserve">Merveille Koissi Savi </w:t>
      </w:r>
      <w:r w:rsidRPr="00E043A0">
        <w:rPr>
          <w:rFonts w:ascii="Times New Roman" w:hAnsi="Times New Roman"/>
          <w:sz w:val="24"/>
          <w:szCs w:val="24"/>
          <w:vertAlign w:val="superscript"/>
          <w:lang w:val="fr-BE"/>
        </w:rPr>
        <w:t>1, *</w:t>
      </w:r>
      <w:r w:rsidRPr="00E043A0">
        <w:rPr>
          <w:rFonts w:ascii="Times New Roman" w:hAnsi="Times New Roman"/>
          <w:sz w:val="24"/>
          <w:szCs w:val="24"/>
          <w:lang w:val="fr-BE"/>
        </w:rPr>
        <w:t xml:space="preserve">, Daniel Callo-Concha </w:t>
      </w:r>
      <w:r w:rsidRPr="00E043A0">
        <w:rPr>
          <w:rFonts w:ascii="Times New Roman" w:hAnsi="Times New Roman"/>
          <w:sz w:val="24"/>
          <w:szCs w:val="24"/>
          <w:vertAlign w:val="superscript"/>
          <w:lang w:val="fr-BE"/>
        </w:rPr>
        <w:t>1,2</w:t>
      </w:r>
      <w:r w:rsidRPr="00E043A0">
        <w:rPr>
          <w:rFonts w:ascii="Times New Roman" w:hAnsi="Times New Roman"/>
          <w:sz w:val="24"/>
          <w:szCs w:val="24"/>
          <w:lang w:val="fr-BE"/>
        </w:rPr>
        <w:t xml:space="preserve">, Henri E.Z. </w:t>
      </w:r>
      <w:proofErr w:type="spellStart"/>
      <w:r w:rsidRPr="00E043A0">
        <w:rPr>
          <w:rFonts w:ascii="Times New Roman" w:hAnsi="Times New Roman"/>
          <w:sz w:val="24"/>
          <w:szCs w:val="24"/>
          <w:lang w:val="fr-BE"/>
        </w:rPr>
        <w:t>Tonnang</w:t>
      </w:r>
      <w:proofErr w:type="spellEnd"/>
      <w:r w:rsidRPr="00E043A0">
        <w:rPr>
          <w:rFonts w:ascii="Times New Roman" w:hAnsi="Times New Roman"/>
          <w:sz w:val="24"/>
          <w:szCs w:val="24"/>
          <w:lang w:val="fr-BE"/>
        </w:rPr>
        <w:t xml:space="preserve"> </w:t>
      </w:r>
      <w:r w:rsidRPr="00E043A0">
        <w:rPr>
          <w:rFonts w:ascii="Times New Roman" w:hAnsi="Times New Roman"/>
          <w:sz w:val="24"/>
          <w:szCs w:val="24"/>
          <w:vertAlign w:val="superscript"/>
          <w:lang w:val="fr-BE"/>
        </w:rPr>
        <w:t>3</w:t>
      </w:r>
      <w:r w:rsidRPr="00E043A0">
        <w:rPr>
          <w:rFonts w:ascii="Times New Roman" w:hAnsi="Times New Roman"/>
          <w:sz w:val="24"/>
          <w:szCs w:val="24"/>
          <w:lang w:val="fr-BE"/>
        </w:rPr>
        <w:t xml:space="preserve"> &amp; Christian Borgemeister </w:t>
      </w:r>
      <w:r w:rsidRPr="00E043A0">
        <w:rPr>
          <w:rFonts w:ascii="Times New Roman" w:hAnsi="Times New Roman"/>
          <w:sz w:val="24"/>
          <w:szCs w:val="24"/>
          <w:vertAlign w:val="superscript"/>
          <w:lang w:val="fr-BE"/>
        </w:rPr>
        <w:t>1</w:t>
      </w:r>
      <w:bookmarkStart w:id="0" w:name="_GoBack"/>
      <w:bookmarkEnd w:id="0"/>
    </w:p>
    <w:p w:rsidR="00007ED1" w:rsidRDefault="00096EDF" w:rsidP="00007ED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</w:t>
      </w:r>
      <w:r w:rsidR="00007ED1" w:rsidRPr="007E5250">
        <w:rPr>
          <w:rFonts w:ascii="Times New Roman" w:hAnsi="Times New Roman"/>
          <w:sz w:val="24"/>
          <w:szCs w:val="24"/>
        </w:rPr>
        <w:t xml:space="preserve"> file</w:t>
      </w:r>
    </w:p>
    <w:p w:rsidR="00612738" w:rsidRPr="00BE6F52" w:rsidRDefault="00612738" w:rsidP="00612738">
      <w:pPr>
        <w:rPr>
          <w:rFonts w:ascii="Times New Roman" w:hAnsi="Times New Roman"/>
          <w:color w:val="5B9BD5" w:themeColor="accent1"/>
          <w:sz w:val="24"/>
          <w:szCs w:val="24"/>
        </w:rPr>
      </w:pPr>
      <w:r w:rsidRPr="00BE6F52">
        <w:rPr>
          <w:rFonts w:ascii="Times New Roman" w:hAnsi="Times New Roman"/>
          <w:color w:val="5B9BD5" w:themeColor="accent1"/>
          <w:sz w:val="24"/>
          <w:szCs w:val="24"/>
        </w:rPr>
        <w:t xml:space="preserve">Table </w:t>
      </w:r>
      <w:proofErr w:type="spellStart"/>
      <w:r w:rsidR="00096EDF">
        <w:rPr>
          <w:rFonts w:ascii="Times New Roman" w:hAnsi="Times New Roman"/>
          <w:color w:val="5B9BD5" w:themeColor="accent1"/>
          <w:sz w:val="24"/>
          <w:szCs w:val="24"/>
        </w:rPr>
        <w:t>S</w:t>
      </w:r>
      <w:r w:rsidRPr="00BE6F52">
        <w:rPr>
          <w:rFonts w:ascii="Times New Roman" w:hAnsi="Times New Roman"/>
          <w:color w:val="5B9BD5" w:themeColor="accent1"/>
          <w:sz w:val="24"/>
          <w:szCs w:val="24"/>
        </w:rPr>
        <w:t>1</w:t>
      </w:r>
      <w:proofErr w:type="spellEnd"/>
      <w:r w:rsidRPr="00BE6F52">
        <w:rPr>
          <w:rFonts w:ascii="Times New Roman" w:hAnsi="Times New Roman"/>
          <w:color w:val="5B9BD5" w:themeColor="accent1"/>
          <w:sz w:val="24"/>
          <w:szCs w:val="24"/>
        </w:rPr>
        <w:t>: Composition of the group building sessions</w:t>
      </w:r>
    </w:p>
    <w:tbl>
      <w:tblPr>
        <w:tblW w:w="4699" w:type="pct"/>
        <w:tblLook w:val="04A0"/>
      </w:tblPr>
      <w:tblGrid>
        <w:gridCol w:w="5006"/>
        <w:gridCol w:w="2890"/>
        <w:gridCol w:w="1680"/>
      </w:tblGrid>
      <w:tr w:rsidR="00567D6B" w:rsidRPr="00BE6F52" w:rsidTr="005514AB">
        <w:trPr>
          <w:trHeight w:val="318"/>
        </w:trPr>
        <w:tc>
          <w:tcPr>
            <w:tcW w:w="2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Institutions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Field of expertise 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Number of participants </w:t>
            </w:r>
          </w:p>
        </w:tc>
      </w:tr>
      <w:tr w:rsidR="00567D6B" w:rsidRPr="00BE6F52" w:rsidTr="005514AB">
        <w:trPr>
          <w:trHeight w:val="346"/>
        </w:trPr>
        <w:tc>
          <w:tcPr>
            <w:tcW w:w="2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Ghana National Malaria Program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Entomology surveillance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Malaria Initiative/ USAID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Prevention campaign and ITN distribution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World Health Organization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Prevention and control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Ghana Health Service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Public awareness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Plant Protection and Regulatory Services/ Ministry of Food and Agriculture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Pest management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Noguchi Memorial Institute for Medical Research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Genetic 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proofErr w:type="spellStart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VectorWork</w:t>
            </w:r>
            <w:proofErr w:type="spellEnd"/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proofErr w:type="spellStart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ITN</w:t>
            </w:r>
            <w:proofErr w:type="spellEnd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 distribution 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proofErr w:type="spellStart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Korle</w:t>
            </w:r>
            <w:proofErr w:type="spellEnd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 Bu Teaching Hospital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Physician 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proofErr w:type="spellStart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Dodowa</w:t>
            </w:r>
            <w:proofErr w:type="spellEnd"/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 Health Research Center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Research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School of Public Health Ghana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Medical geography and malaria expert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Greater Accra Municipal Assemblies</w:t>
            </w:r>
          </w:p>
        </w:tc>
        <w:tc>
          <w:tcPr>
            <w:tcW w:w="1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 xml:space="preserve">Community service </w:t>
            </w:r>
          </w:p>
        </w:tc>
        <w:tc>
          <w:tcPr>
            <w:tcW w:w="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  <w:tr w:rsidR="00567D6B" w:rsidRPr="00BE6F52" w:rsidTr="005514AB">
        <w:trPr>
          <w:trHeight w:val="318"/>
        </w:trPr>
        <w:tc>
          <w:tcPr>
            <w:tcW w:w="2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Ghana National Malaria Program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Prevention and control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738" w:rsidRPr="00BE6F52" w:rsidRDefault="00612738" w:rsidP="005514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</w:pPr>
            <w:r w:rsidRPr="00BE6F52">
              <w:rPr>
                <w:rFonts w:ascii="Times New Roman" w:eastAsia="Times New Roman" w:hAnsi="Times New Roman"/>
                <w:color w:val="5B9BD5" w:themeColor="accent1"/>
                <w:sz w:val="20"/>
                <w:szCs w:val="20"/>
              </w:rPr>
              <w:t>1</w:t>
            </w:r>
          </w:p>
        </w:tc>
      </w:tr>
    </w:tbl>
    <w:p w:rsidR="00612738" w:rsidRDefault="00612738" w:rsidP="00612738">
      <w:pPr>
        <w:rPr>
          <w:rFonts w:ascii="Times New Roman" w:hAnsi="Times New Roman"/>
          <w:sz w:val="24"/>
          <w:szCs w:val="24"/>
        </w:rPr>
      </w:pPr>
    </w:p>
    <w:p w:rsidR="00612738" w:rsidRPr="007E5250" w:rsidRDefault="00612738" w:rsidP="00007ED1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007ED1" w:rsidRPr="007E5250" w:rsidRDefault="00007ED1" w:rsidP="00007ED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E6F52">
        <w:rPr>
          <w:rFonts w:ascii="Times New Roman" w:hAnsi="Times New Roman"/>
          <w:color w:val="5B9BD5" w:themeColor="accent1"/>
          <w:sz w:val="24"/>
          <w:szCs w:val="24"/>
        </w:rPr>
        <w:t>Table</w:t>
      </w:r>
      <w:r w:rsidR="00612738" w:rsidRPr="00BE6F52">
        <w:rPr>
          <w:rFonts w:ascii="Times New Roman" w:hAnsi="Times New Roman"/>
          <w:color w:val="5B9BD5" w:themeColor="accent1"/>
          <w:sz w:val="24"/>
          <w:szCs w:val="24"/>
        </w:rPr>
        <w:t xml:space="preserve"> </w:t>
      </w:r>
      <w:proofErr w:type="spellStart"/>
      <w:r w:rsidR="00096EDF">
        <w:rPr>
          <w:rFonts w:ascii="Times New Roman" w:hAnsi="Times New Roman"/>
          <w:color w:val="5B9BD5" w:themeColor="accent1"/>
          <w:sz w:val="24"/>
          <w:szCs w:val="24"/>
        </w:rPr>
        <w:t>S</w:t>
      </w:r>
      <w:r w:rsidR="00612738" w:rsidRPr="00BE6F52">
        <w:rPr>
          <w:rFonts w:ascii="Times New Roman" w:hAnsi="Times New Roman"/>
          <w:color w:val="5B9BD5" w:themeColor="accent1"/>
          <w:sz w:val="24"/>
          <w:szCs w:val="24"/>
        </w:rPr>
        <w:t>2</w:t>
      </w:r>
      <w:proofErr w:type="spellEnd"/>
      <w:r w:rsidRPr="00BE6F52">
        <w:rPr>
          <w:rFonts w:ascii="Times New Roman" w:hAnsi="Times New Roman"/>
          <w:color w:val="5B9BD5" w:themeColor="accent1"/>
          <w:sz w:val="24"/>
          <w:szCs w:val="24"/>
        </w:rPr>
        <w:t xml:space="preserve">: </w:t>
      </w:r>
      <w:proofErr w:type="spellStart"/>
      <w:r w:rsidRPr="007E5250">
        <w:rPr>
          <w:rFonts w:ascii="Times New Roman" w:hAnsi="Times New Roman"/>
          <w:sz w:val="24"/>
          <w:szCs w:val="24"/>
        </w:rPr>
        <w:t>Operationalization</w:t>
      </w:r>
      <w:proofErr w:type="spellEnd"/>
      <w:r w:rsidRPr="007E5250">
        <w:rPr>
          <w:rFonts w:ascii="Times New Roman" w:hAnsi="Times New Roman"/>
          <w:sz w:val="24"/>
          <w:szCs w:val="24"/>
        </w:rPr>
        <w:t xml:space="preserve"> of the determinants </w:t>
      </w:r>
    </w:p>
    <w:tbl>
      <w:tblPr>
        <w:tblW w:w="8820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16"/>
        <w:gridCol w:w="3290"/>
        <w:gridCol w:w="5260"/>
      </w:tblGrid>
      <w:tr w:rsidR="00E043A0" w:rsidRPr="009C3DED" w:rsidTr="00623CB3">
        <w:trPr>
          <w:trHeight w:val="288"/>
          <w:jc w:val="center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3A0" w:rsidRPr="009C3DED" w:rsidRDefault="00E043A0" w:rsidP="004B4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Operationalization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Existence and enforcement of city planning and regulation</w:t>
            </w:r>
          </w:p>
        </w:tc>
        <w:tc>
          <w:tcPr>
            <w:tcW w:w="5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3A0" w:rsidRPr="009C3DED" w:rsidRDefault="00E043A0" w:rsidP="00894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Legal dispositions regulating the construction and renovation of buildings in cities.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e.g.,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laws preventing mosquito breeding sites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 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building/renovation activities.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 also i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nclude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disposition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 urban planning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Adequate housing construction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D12658" w:rsidP="00520F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House b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uilding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after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recomm</w:t>
            </w:r>
            <w:r w:rsidR="00520F36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ndation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 of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city planning office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Convenient waste and sewage management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Regular waste collection and disposal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existence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and 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maintenance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of drain and gutters for sewage evacuation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Urban agriculture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D12658" w:rsidP="00DB19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arming activities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carried out nearby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urban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housing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Usually associated 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with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the use of pesticides, digging of wells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also hosting conditions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Wells excavation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D12658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</w:t>
            </w:r>
            <w:r w:rsidR="00520F36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or irri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</w:t>
            </w:r>
            <w:r w:rsidR="00520F36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tion purposes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which also offer sites for mosquito egg-laying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Number of breeding sites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D12658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Temporary or permanent p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nds tha</w:t>
            </w:r>
            <w:r w:rsidR="00520F36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 can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offer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breeding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conditions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 mosquitoes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More rainfall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Between 800-1200 millimeter</w:t>
            </w:r>
            <w:r w:rsidR="00623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 year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optimal for 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mosquitoes mating and reproduction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Householders' awareness and decision-making on malaria infection risk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DB1322" w:rsidP="00520F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People i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nformation and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empowerment o</w:t>
            </w:r>
            <w:r w:rsidR="00D1265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measures leading to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prevent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the infection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properly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malaria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800F09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Hygiene and sanitation of households' compound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800F09" w:rsidRDefault="00800F09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 </w:t>
            </w:r>
            <w:r w:rsidR="00E043A0" w:rsidRP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preventing mosquito breeding sites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Household income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800F09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Financial/monetary income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of the household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correlated to higher capabilities to acquire medicines, look for medical treatment, etc.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Temperature between 26 and 33°C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Idea</w:t>
            </w:r>
            <w:r w:rsidR="00126C9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temperature 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or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mating and the eggs</w:t>
            </w:r>
            <w:r w:rsidR="00800F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laying of mo</w:t>
            </w:r>
            <w:r w:rsidR="007F6D8A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quitoes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Higher reproduction rate of female Anopheles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1B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As female mosquitoes are the ones that transmit malaria, their relative increase relates to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mating, egg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laying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blood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sucking act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vities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A mosquito carried the parasites bite a human and inject 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to him the parasites. Through multiplication firstly in the leaver and then in the bloodstream, the parasite create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 series of symptoms. These symptoms can be expressed as fever, chill, sweating in that the person is symptomatic. In some cases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the person carrying alongside the parasite may not express any symptom and this person is denoted 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as 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asymptomatic.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Number of female Anopheles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Related to 12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Surviving of female Anopheles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Related to 12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Use of insecticide in household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DB19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Specific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insecticide 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used in 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the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household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to kill mosquitoes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which in the long-run these tend to increase their tolerance and eventually resistance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Insecticide resist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nt Anopheles strain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Eventually, m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osquitoes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mutate and get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adapted to chemical compound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that 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are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supposed to kill them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Pest management with pyrethroid-based insecticide in urban a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iculture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1B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Inadequate use and disposal of insecticide and pesticide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based pyrethroid 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pollutes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environment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drive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894B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the resistance of mosquitoes to insecticides</w:t>
            </w:r>
            <w:r w:rsidR="001B2B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sinfection of healthcare facilities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Residual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 of the pesticides applied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D39F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remain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 the environment 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and by their low doses augment mosquito resistance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Mosquito bites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2D39F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Infection mean</w:t>
            </w:r>
            <w:r w:rsidR="00DB19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not all stin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are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infectious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Use of insecticide-treated bed-nets (ITN)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DB19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sed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 </w:t>
            </w:r>
            <w:r w:rsidR="002D39F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repel mosquitoes and 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prevent infectious contacts with humans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Perceived-inconvenience of ITN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1B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Acceptability of the 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ITN. Some population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allude as causes to reject them: increase in temperature, </w:t>
            </w:r>
            <w:r w:rsidR="003E2D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i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tchi</w:t>
            </w:r>
            <w:r w:rsidR="003E2D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ness of compound contains in the ITNs, the impossibility to breath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3E2D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etc.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Frequency and duration of nigh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time activities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C7123D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Duration of the activities overnight can increase the exposure risk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Use of door and windows mesh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34286B" w:rsidP="00C712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door and windows to prevent mosquitoes entry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Infectious mosquito bites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Bite with 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high likelihood 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of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transmi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ting Plasmodium parasite to the human</w:t>
            </w:r>
            <w:r w:rsidR="003E2D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Not all of the bites are infectious.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Population receiving infected bites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9C3DED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f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raction of the population that get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the 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infectious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bite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Malaria positive cases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C712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Population carrying Plasmodium parasite</w:t>
            </w:r>
            <w:r w:rsidR="003E2D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This fraction of the population contains symptomatic and asymptomatic cases.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Human migration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Mobility of the population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which may imply the arrival of infected individuals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Human age category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infecti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ousness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is age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related,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 example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children are more vulnerable 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 get infected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than adults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Immune state of human host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6C39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Natural protection </w:t>
            </w:r>
            <w:r w:rsidR="006C393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good health</w:t>
            </w:r>
            <w:r w:rsidR="006C3933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safeguard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Asymptomatic cases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9C3DED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f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raction of the population carrying the parasite but not expressing any symptom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of the disease</w:t>
            </w:r>
          </w:p>
        </w:tc>
      </w:tr>
      <w:tr w:rsidR="00E043A0" w:rsidRPr="0034286B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Symptomatic cases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34286B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Malaria clinical cases</w:t>
            </w:r>
            <w:r w:rsidR="0034286B" w:rsidRP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so </w:t>
            </w:r>
            <w:r w:rsidR="0034286B" w:rsidRPr="001B2B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showing </w:t>
            </w:r>
            <w:r w:rsidR="003428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symptoms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Health literacy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34286B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Peoples level of i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nformation on how to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prevent malaria infection and what to do in case been infected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Visit a healthcare facility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heck-up for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diagnosis or treatment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Enough and well trained healthcare-workers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Personnel well-trained implies better and earlier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malaria diagn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stic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and more timely and efficient treatment</w:t>
            </w:r>
          </w:p>
        </w:tc>
      </w:tr>
      <w:tr w:rsidR="00E043A0" w:rsidRPr="009C3DED" w:rsidTr="00623CB3">
        <w:trPr>
          <w:trHeight w:val="312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Adherence to prescription protocol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patient a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dherence to the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prescribed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treatment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is related to a prompt and more comprehensive recovery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Diagnosis (an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am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nesis and blood analysis)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Proper and effective diagnosis, imply an adequate medicine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prescription,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often measures to optimize it: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am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nesis and blood screening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are poorly implemented or absent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Drug prescription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Presc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iption of malaria drug</w:t>
            </w:r>
            <w:r w:rsidR="007D51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by health personnel</w:t>
            </w:r>
          </w:p>
        </w:tc>
      </w:tr>
      <w:tr w:rsidR="00E043A0" w:rsidRPr="009C3DED" w:rsidTr="00623CB3">
        <w:trPr>
          <w:trHeight w:val="312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Compliance with the treatment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Patient 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trict observance of the posology and prescribed doses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of the prescribed medicines. Also, neglection is frequent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Satisfaction with the treatment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Patient r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ecover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y with the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received 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tment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Trust in the healthcare system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Reaction to the effectiveness of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healthcare system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dequate utilization of the medication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Misuse of drug</w:t>
            </w:r>
            <w:r w:rsidR="007D51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s, which tends to weaken its efficiency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Increase in Plasmodium resistance to drug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5112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By the inadequate treatment, non-compliance of treatment, etc. 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resist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ance of the parasite to the given medicine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9C3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Alternative med</w:t>
            </w:r>
            <w:r w:rsidR="009C3DED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cine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C712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All the alternative used to prevent and treat malaria</w:t>
            </w:r>
            <w:r w:rsidR="007D51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often tradi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</w:t>
            </w:r>
            <w:r w:rsidR="007D51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ional medicines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D61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like </w:t>
            </w: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phytotherapy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Subsidy and availability on the preventive and curative malaria measures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7D61CF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There is an old tradition to s</w:t>
            </w:r>
            <w:r w:rsidR="00E043A0"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ubsid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ize malaria drugs and make them freely (no-prescription needed) available to the population </w:t>
            </w:r>
          </w:p>
        </w:tc>
      </w:tr>
      <w:tr w:rsidR="00E043A0" w:rsidRPr="009C3DED" w:rsidTr="00623CB3">
        <w:trPr>
          <w:trHeight w:val="288"/>
          <w:jc w:val="center"/>
        </w:trPr>
        <w:tc>
          <w:tcPr>
            <w:tcW w:w="27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290" w:type="dxa"/>
            <w:shd w:val="clear" w:color="auto" w:fill="auto"/>
            <w:noWrap/>
            <w:vAlign w:val="center"/>
            <w:hideMark/>
          </w:tcPr>
          <w:p w:rsidR="00E043A0" w:rsidRPr="009C3DED" w:rsidRDefault="00E043A0" w:rsidP="00E043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Self-medication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E043A0" w:rsidRPr="009C3DED" w:rsidRDefault="00E043A0" w:rsidP="00C712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C3DE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Use of medication without a formal prescription</w:t>
            </w:r>
            <w:r w:rsidR="007D61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C005C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quite stron</w:t>
            </w:r>
            <w:r w:rsidR="00C71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</w:t>
            </w:r>
            <w:r w:rsidR="00C005C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in the case </w:t>
            </w:r>
            <w:r w:rsidR="007D61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of </w:t>
            </w:r>
            <w:r w:rsidR="00C005C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anti-</w:t>
            </w:r>
            <w:r w:rsidR="007D61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malaria drugs</w:t>
            </w:r>
          </w:p>
        </w:tc>
      </w:tr>
    </w:tbl>
    <w:p w:rsidR="00007ED1" w:rsidRDefault="00007ED1" w:rsidP="00007ED1">
      <w:pPr>
        <w:rPr>
          <w:rFonts w:ascii="Times New Roman" w:hAnsi="Times New Roman"/>
          <w:sz w:val="24"/>
          <w:szCs w:val="24"/>
        </w:rPr>
      </w:pPr>
    </w:p>
    <w:p w:rsidR="001E1F6B" w:rsidRPr="007E5250" w:rsidRDefault="001E1F6B" w:rsidP="00007ED1">
      <w:pPr>
        <w:rPr>
          <w:rFonts w:ascii="Times New Roman" w:hAnsi="Times New Roman"/>
          <w:sz w:val="24"/>
          <w:szCs w:val="24"/>
        </w:rPr>
      </w:pPr>
    </w:p>
    <w:p w:rsidR="00007ED1" w:rsidRPr="007E5250" w:rsidRDefault="00007ED1" w:rsidP="00007ED1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7E525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3600" cy="4107180"/>
            <wp:effectExtent l="0" t="0" r="0" b="0"/>
            <wp:docPr id="102" name="Picture 1" descr="C:\Users\ZEF\Desktop\Related_ms1\Scientific_Report\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F\Desktop\Related_ms1\Scientific_Report\Figure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ED1" w:rsidRPr="007E5250" w:rsidRDefault="00007ED1" w:rsidP="00007ED1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7E5250">
        <w:rPr>
          <w:rFonts w:ascii="Times New Roman" w:hAnsi="Times New Roman"/>
          <w:sz w:val="24"/>
          <w:szCs w:val="24"/>
        </w:rPr>
        <w:t>Fig.</w:t>
      </w:r>
      <w:r w:rsidR="00096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EDF">
        <w:rPr>
          <w:rFonts w:ascii="Times New Roman" w:hAnsi="Times New Roman"/>
          <w:sz w:val="24"/>
          <w:szCs w:val="24"/>
        </w:rPr>
        <w:t>S</w:t>
      </w:r>
      <w:r w:rsidRPr="007E5250">
        <w:rPr>
          <w:rFonts w:ascii="Times New Roman" w:hAnsi="Times New Roman"/>
          <w:sz w:val="24"/>
          <w:szCs w:val="24"/>
        </w:rPr>
        <w:t>1</w:t>
      </w:r>
      <w:proofErr w:type="spellEnd"/>
      <w:r w:rsidRPr="007E5250">
        <w:rPr>
          <w:rFonts w:ascii="Times New Roman" w:hAnsi="Times New Roman"/>
          <w:sz w:val="24"/>
          <w:szCs w:val="24"/>
        </w:rPr>
        <w:t xml:space="preserve">: Earlier system depicting the complexity of malaria in urban settings. </w:t>
      </w:r>
    </w:p>
    <w:p w:rsidR="00007ED1" w:rsidRPr="007E5250" w:rsidRDefault="00007ED1" w:rsidP="00007ED1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7E5250"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4733"/>
        <w:gridCol w:w="4843"/>
      </w:tblGrid>
      <w:tr w:rsidR="007E5250" w:rsidRPr="007E5250" w:rsidTr="00CF4596">
        <w:tc>
          <w:tcPr>
            <w:tcW w:w="4888" w:type="dxa"/>
            <w:shd w:val="clear" w:color="auto" w:fill="auto"/>
          </w:tcPr>
          <w:p w:rsidR="00007ED1" w:rsidRPr="007E5250" w:rsidRDefault="00007ED1" w:rsidP="00CF459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5250">
              <w:rPr>
                <w:noProof/>
              </w:rPr>
              <w:lastRenderedPageBreak/>
              <w:drawing>
                <wp:inline distT="0" distB="0" distL="0" distR="0">
                  <wp:extent cx="2892425" cy="2202815"/>
                  <wp:effectExtent l="0" t="0" r="0" b="0"/>
                  <wp:docPr id="103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688" w:type="dxa"/>
            <w:shd w:val="clear" w:color="auto" w:fill="auto"/>
          </w:tcPr>
          <w:p w:rsidR="00007ED1" w:rsidRPr="007E5250" w:rsidRDefault="00007ED1" w:rsidP="00CF459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5250">
              <w:rPr>
                <w:noProof/>
              </w:rPr>
              <w:drawing>
                <wp:inline distT="0" distB="0" distL="0" distR="0">
                  <wp:extent cx="2962275" cy="2204720"/>
                  <wp:effectExtent l="0" t="0" r="0" b="0"/>
                  <wp:docPr id="104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066F05" w:rsidRPr="007E5250" w:rsidRDefault="00007ED1" w:rsidP="00BE6F52">
      <w:r w:rsidRPr="007E5250">
        <w:rPr>
          <w:rFonts w:ascii="Times New Roman" w:hAnsi="Times New Roman"/>
          <w:sz w:val="24"/>
          <w:szCs w:val="24"/>
        </w:rPr>
        <w:t xml:space="preserve">Fig. </w:t>
      </w:r>
      <w:proofErr w:type="spellStart"/>
      <w:r w:rsidR="00096EDF">
        <w:rPr>
          <w:rFonts w:ascii="Times New Roman" w:hAnsi="Times New Roman"/>
          <w:sz w:val="24"/>
          <w:szCs w:val="24"/>
        </w:rPr>
        <w:t>S</w:t>
      </w:r>
      <w:r w:rsidRPr="007E5250">
        <w:rPr>
          <w:rFonts w:ascii="Times New Roman" w:hAnsi="Times New Roman"/>
          <w:sz w:val="24"/>
          <w:szCs w:val="24"/>
        </w:rPr>
        <w:t>2</w:t>
      </w:r>
      <w:proofErr w:type="spellEnd"/>
      <w:r w:rsidRPr="007E5250">
        <w:rPr>
          <w:rFonts w:ascii="Times New Roman" w:hAnsi="Times New Roman"/>
          <w:sz w:val="24"/>
          <w:szCs w:val="24"/>
        </w:rPr>
        <w:t>: In</w:t>
      </w:r>
      <w:r w:rsidR="00C0288D">
        <w:rPr>
          <w:rFonts w:ascii="Times New Roman" w:hAnsi="Times New Roman"/>
          <w:sz w:val="24"/>
          <w:szCs w:val="24"/>
        </w:rPr>
        <w:t>-</w:t>
      </w:r>
      <w:r w:rsidRPr="007E5250">
        <w:rPr>
          <w:rFonts w:ascii="Times New Roman" w:hAnsi="Times New Roman"/>
          <w:sz w:val="24"/>
          <w:szCs w:val="24"/>
        </w:rPr>
        <w:t xml:space="preserve"> and Out</w:t>
      </w:r>
      <w:r w:rsidR="00C0288D">
        <w:rPr>
          <w:rFonts w:ascii="Times New Roman" w:hAnsi="Times New Roman"/>
          <w:sz w:val="24"/>
          <w:szCs w:val="24"/>
        </w:rPr>
        <w:t>-</w:t>
      </w:r>
      <w:r w:rsidRPr="007E5250">
        <w:rPr>
          <w:rFonts w:ascii="Times New Roman" w:hAnsi="Times New Roman"/>
          <w:sz w:val="24"/>
          <w:szCs w:val="24"/>
        </w:rPr>
        <w:t>degree distribution of node representing the complex system of malaria transmission and persistence in Accra, Ghana</w:t>
      </w:r>
    </w:p>
    <w:sectPr w:rsidR="00066F05" w:rsidRPr="007E5250" w:rsidSect="00096ED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A44" w:rsidRDefault="00A15A44">
      <w:pPr>
        <w:spacing w:after="0" w:line="240" w:lineRule="auto"/>
      </w:pPr>
      <w:r>
        <w:separator/>
      </w:r>
    </w:p>
  </w:endnote>
  <w:endnote w:type="continuationSeparator" w:id="0">
    <w:p w:rsidR="00A15A44" w:rsidRDefault="00A1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83" w:rsidRDefault="00AD408E">
    <w:pPr>
      <w:pStyle w:val="Footer"/>
      <w:jc w:val="right"/>
    </w:pPr>
    <w:r>
      <w:fldChar w:fldCharType="begin"/>
    </w:r>
    <w:r w:rsidR="00007ED1">
      <w:instrText xml:space="preserve"> PAGE   \* MERGEFORMAT </w:instrText>
    </w:r>
    <w:r>
      <w:fldChar w:fldCharType="separate"/>
    </w:r>
    <w:r w:rsidR="00096EDF">
      <w:rPr>
        <w:noProof/>
      </w:rPr>
      <w:t>5</w:t>
    </w:r>
    <w:r>
      <w:rPr>
        <w:noProof/>
      </w:rPr>
      <w:fldChar w:fldCharType="end"/>
    </w:r>
  </w:p>
  <w:p w:rsidR="00413183" w:rsidRDefault="00096E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A44" w:rsidRDefault="00A15A44">
      <w:pPr>
        <w:spacing w:after="0" w:line="240" w:lineRule="auto"/>
      </w:pPr>
      <w:r>
        <w:separator/>
      </w:r>
    </w:p>
  </w:footnote>
  <w:footnote w:type="continuationSeparator" w:id="0">
    <w:p w:rsidR="00A15A44" w:rsidRDefault="00A15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TU1MrUwNTa0MDc0M7VQ0lEKTi0uzszPAykwNKkFAHL8XD8tAAAA"/>
  </w:docVars>
  <w:rsids>
    <w:rsidRoot w:val="00007ED1"/>
    <w:rsid w:val="00007ED1"/>
    <w:rsid w:val="00046831"/>
    <w:rsid w:val="00066F05"/>
    <w:rsid w:val="00096EDF"/>
    <w:rsid w:val="00126C98"/>
    <w:rsid w:val="001459F9"/>
    <w:rsid w:val="001B2BC0"/>
    <w:rsid w:val="001E1F6B"/>
    <w:rsid w:val="001E784E"/>
    <w:rsid w:val="00213494"/>
    <w:rsid w:val="00237509"/>
    <w:rsid w:val="00284EEA"/>
    <w:rsid w:val="002D39F0"/>
    <w:rsid w:val="003355D3"/>
    <w:rsid w:val="0034286B"/>
    <w:rsid w:val="00352187"/>
    <w:rsid w:val="003D3FF2"/>
    <w:rsid w:val="003E2D1D"/>
    <w:rsid w:val="00441C79"/>
    <w:rsid w:val="004B452B"/>
    <w:rsid w:val="00520F36"/>
    <w:rsid w:val="00565FEF"/>
    <w:rsid w:val="00567D6B"/>
    <w:rsid w:val="00583145"/>
    <w:rsid w:val="00592E19"/>
    <w:rsid w:val="005B478E"/>
    <w:rsid w:val="00612738"/>
    <w:rsid w:val="00623CB3"/>
    <w:rsid w:val="006C3933"/>
    <w:rsid w:val="007D5112"/>
    <w:rsid w:val="007D61CF"/>
    <w:rsid w:val="007E5250"/>
    <w:rsid w:val="007E6863"/>
    <w:rsid w:val="007F4D17"/>
    <w:rsid w:val="007F6D8A"/>
    <w:rsid w:val="00800F09"/>
    <w:rsid w:val="00823832"/>
    <w:rsid w:val="008447FA"/>
    <w:rsid w:val="00860C9D"/>
    <w:rsid w:val="00894BB6"/>
    <w:rsid w:val="009C3DED"/>
    <w:rsid w:val="00A15A44"/>
    <w:rsid w:val="00A64FC2"/>
    <w:rsid w:val="00A951E4"/>
    <w:rsid w:val="00A96B0C"/>
    <w:rsid w:val="00AC69EF"/>
    <w:rsid w:val="00AD408E"/>
    <w:rsid w:val="00B10334"/>
    <w:rsid w:val="00B954B2"/>
    <w:rsid w:val="00BE6F52"/>
    <w:rsid w:val="00C005C3"/>
    <w:rsid w:val="00C0288D"/>
    <w:rsid w:val="00C7123D"/>
    <w:rsid w:val="00D12658"/>
    <w:rsid w:val="00D35D36"/>
    <w:rsid w:val="00DB1322"/>
    <w:rsid w:val="00DB1972"/>
    <w:rsid w:val="00E043A0"/>
    <w:rsid w:val="00EB1D43"/>
    <w:rsid w:val="00FE7262"/>
    <w:rsid w:val="00FF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7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D1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007ED1"/>
  </w:style>
  <w:style w:type="character" w:styleId="CommentReference">
    <w:name w:val="annotation reference"/>
    <w:basedOn w:val="DefaultParagraphFont"/>
    <w:uiPriority w:val="99"/>
    <w:semiHidden/>
    <w:unhideWhenUsed/>
    <w:rsid w:val="00D12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6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65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65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6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ZEF\Desktop\Related_ms1\Scientific_Report\Revision\NA.xls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ZEF\Desktop\Related_ms1\Scientific_Report\Revision\NA.xls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adjm2!$T$3</c:f>
              <c:strCache>
                <c:ptCount val="1"/>
                <c:pt idx="0">
                  <c:v>Count of indegree</c:v>
                </c:pt>
              </c:strCache>
            </c:strRef>
          </c:tx>
          <c:spPr>
            <a:noFill/>
            <a:ln w="12700">
              <a:solidFill>
                <a:schemeClr val="tx1"/>
              </a:solidFill>
            </a:ln>
            <a:effectLst/>
          </c:spPr>
          <c:cat>
            <c:numRef>
              <c:f>adjm2!$S$4:$S$8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</c:numCache>
            </c:numRef>
          </c:cat>
          <c:val>
            <c:numRef>
              <c:f>adjm2!$T$4:$T$8</c:f>
              <c:numCache>
                <c:formatCode>General</c:formatCode>
                <c:ptCount val="5"/>
                <c:pt idx="0">
                  <c:v>14</c:v>
                </c:pt>
                <c:pt idx="1">
                  <c:v>17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01-4652-B13B-A3E8EECE0E67}"/>
            </c:ext>
          </c:extLst>
        </c:ser>
        <c:dLbls/>
        <c:gapWidth val="0"/>
        <c:overlap val="-27"/>
        <c:axId val="225979392"/>
        <c:axId val="225986048"/>
      </c:barChart>
      <c:catAx>
        <c:axId val="22597939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</a:t>
                </a:r>
                <a:r>
                  <a:rPr lang="en-US" baseline="0"/>
                  <a:t>-degree</a:t>
                </a:r>
                <a:endParaRPr lang="en-US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986048"/>
        <c:crosses val="autoZero"/>
        <c:auto val="1"/>
        <c:lblAlgn val="ctr"/>
        <c:lblOffset val="100"/>
      </c:catAx>
      <c:valAx>
        <c:axId val="22598604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979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chemeClr val="tx1"/>
              </a:solidFill>
            </a:ln>
            <a:effectLst/>
          </c:spPr>
          <c:cat>
            <c:numRef>
              <c:f>adjm2!$N$4:$N$8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</c:numCache>
            </c:numRef>
          </c:cat>
          <c:val>
            <c:numRef>
              <c:f>adjm2!$O$4:$O$8</c:f>
              <c:numCache>
                <c:formatCode>General</c:formatCode>
                <c:ptCount val="5"/>
                <c:pt idx="0">
                  <c:v>2</c:v>
                </c:pt>
                <c:pt idx="1">
                  <c:v>34</c:v>
                </c:pt>
                <c:pt idx="2">
                  <c:v>7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71-4739-9FAB-0D0D3A997C3E}"/>
            </c:ext>
          </c:extLst>
        </c:ser>
        <c:dLbls/>
        <c:gapWidth val="0"/>
        <c:overlap val="-43"/>
        <c:axId val="290555776"/>
        <c:axId val="290583680"/>
      </c:barChart>
      <c:catAx>
        <c:axId val="29055577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Out-degree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583680"/>
        <c:crosses val="autoZero"/>
        <c:auto val="1"/>
        <c:lblAlgn val="ctr"/>
        <c:lblOffset val="100"/>
      </c:catAx>
      <c:valAx>
        <c:axId val="29058368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555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CB73-7C64-4808-A003-4FF87B41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</dc:creator>
  <cp:keywords/>
  <dc:description/>
  <cp:lastModifiedBy>0007207</cp:lastModifiedBy>
  <cp:revision>4</cp:revision>
  <cp:lastPrinted>2021-01-19T10:46:00Z</cp:lastPrinted>
  <dcterms:created xsi:type="dcterms:W3CDTF">2021-05-10T12:10:00Z</dcterms:created>
  <dcterms:modified xsi:type="dcterms:W3CDTF">2021-07-13T15:08:00Z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http://www.zotero.org/styles/annals-of-the-institute-of-statistical-mathematics</vt:lpwstr>
  </property>
  <property fmtid="{D5CDD505-2E9C-101B-9397-08002B2CF9AE}" pid="5" name="Mendeley Recent Style Name 1_1">
    <vt:lpwstr>Annals of the Institute of Statistical Mathematics</vt:lpwstr>
  </property>
  <property fmtid="{D5CDD505-2E9C-101B-9397-08002B2CF9AE}" pid="6" name="Mendeley Recent Style Id 2_1">
    <vt:lpwstr>http://www.zotero.org/styles/emerging-infectious-diseases</vt:lpwstr>
  </property>
  <property fmtid="{D5CDD505-2E9C-101B-9397-08002B2CF9AE}" pid="7" name="Mendeley Recent Style Name 2_1">
    <vt:lpwstr>Emerging Infectious Diseases</vt:lpwstr>
  </property>
  <property fmtid="{D5CDD505-2E9C-101B-9397-08002B2CF9AE}" pid="8" name="Mendeley Recent Style Id 3_1">
    <vt:lpwstr>http://www.zotero.org/styles/environment-development-and-sustainability</vt:lpwstr>
  </property>
  <property fmtid="{D5CDD505-2E9C-101B-9397-08002B2CF9AE}" pid="9" name="Mendeley Recent Style Name 3_1">
    <vt:lpwstr>Environment, Development and Sustainability</vt:lpwstr>
  </property>
  <property fmtid="{D5CDD505-2E9C-101B-9397-08002B2CF9AE}" pid="10" name="Mendeley Recent Style Id 4_1">
    <vt:lpwstr>http://www.zotero.org/styles/life-sciences</vt:lpwstr>
  </property>
  <property fmtid="{D5CDD505-2E9C-101B-9397-08002B2CF9AE}" pid="11" name="Mendeley Recent Style Name 4_1">
    <vt:lpwstr>Life Sciences</vt:lpwstr>
  </property>
  <property fmtid="{D5CDD505-2E9C-101B-9397-08002B2CF9AE}" pid="12" name="Mendeley Recent Style Id 5_1">
    <vt:lpwstr>http://www.zotero.org/styles/malaria-journal</vt:lpwstr>
  </property>
  <property fmtid="{D5CDD505-2E9C-101B-9397-08002B2CF9AE}" pid="13" name="Mendeley Recent Style Name 5_1">
    <vt:lpwstr>Malaria Journal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http://www.zotero.org/styles/pnas</vt:lpwstr>
  </property>
  <property fmtid="{D5CDD505-2E9C-101B-9397-08002B2CF9AE}" pid="17" name="Mendeley Recent Style Name 7_1">
    <vt:lpwstr>Proceedings of the National Academy of Sciences of the United States of America</vt:lpwstr>
  </property>
  <property fmtid="{D5CDD505-2E9C-101B-9397-08002B2CF9AE}" pid="18" name="Mendeley Recent Style Id 8_1">
    <vt:lpwstr>http://www.zotero.org/styles/the-lancet-infectious-diseases</vt:lpwstr>
  </property>
  <property fmtid="{D5CDD505-2E9C-101B-9397-08002B2CF9AE}" pid="19" name="Mendeley Recent Style Name 8_1">
    <vt:lpwstr>The Lancet Infectious Diseases</vt:lpwstr>
  </property>
  <property fmtid="{D5CDD505-2E9C-101B-9397-08002B2CF9AE}" pid="20" name="Mendeley Recent Style Id 9_1">
    <vt:lpwstr>http://www.zotero.org/styles/the-science-of-nature</vt:lpwstr>
  </property>
  <property fmtid="{D5CDD505-2E9C-101B-9397-08002B2CF9AE}" pid="21" name="Mendeley Recent Style Name 9_1">
    <vt:lpwstr>The Science of 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d933ece2-c050-3b97-93f8-728b1e85e606</vt:lpwstr>
  </property>
  <property fmtid="{D5CDD505-2E9C-101B-9397-08002B2CF9AE}" pid="24" name="Mendeley Citation Style_1">
    <vt:lpwstr>http://www.zotero.org/styles/the-lancet-infectious-diseases</vt:lpwstr>
  </property>
</Properties>
</file>