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4DB64" w14:textId="72FAF72C" w:rsidR="00BF2054" w:rsidRPr="008A01B2" w:rsidRDefault="009A6A4A" w:rsidP="0092700B">
      <w:pPr>
        <w:rPr>
          <w:rFonts w:cstheme="minorHAnsi"/>
          <w:bCs/>
          <w:sz w:val="32"/>
        </w:rPr>
      </w:pPr>
      <w:r w:rsidRPr="008A01B2">
        <w:rPr>
          <w:rFonts w:cstheme="minorHAnsi"/>
          <w:bCs/>
          <w:sz w:val="32"/>
        </w:rPr>
        <w:t>Additional File</w:t>
      </w:r>
      <w:r w:rsidR="00645BAC" w:rsidRPr="008A01B2">
        <w:rPr>
          <w:rFonts w:cstheme="minorHAnsi"/>
          <w:bCs/>
          <w:sz w:val="32"/>
        </w:rPr>
        <w:t xml:space="preserve"> </w:t>
      </w:r>
      <w:r w:rsidR="007C72B2" w:rsidRPr="008A01B2">
        <w:rPr>
          <w:rFonts w:cstheme="minorHAnsi"/>
          <w:bCs/>
          <w:sz w:val="32"/>
        </w:rPr>
        <w:t>2</w:t>
      </w:r>
      <w:r w:rsidR="00645BAC" w:rsidRPr="008A01B2">
        <w:rPr>
          <w:rFonts w:cstheme="minorHAnsi"/>
          <w:bCs/>
          <w:sz w:val="32"/>
        </w:rPr>
        <w:t xml:space="preserve">: </w:t>
      </w:r>
      <w:r w:rsidRPr="008A01B2">
        <w:rPr>
          <w:rFonts w:cstheme="minorHAnsi"/>
          <w:bCs/>
          <w:sz w:val="32"/>
        </w:rPr>
        <w:t>Additional result figures</w:t>
      </w:r>
    </w:p>
    <w:sdt>
      <w:sdtPr>
        <w:rPr>
          <w:rFonts w:asciiTheme="minorHAnsi" w:eastAsiaTheme="minorHAnsi" w:hAnsiTheme="minorHAnsi" w:cstheme="minorHAnsi"/>
          <w:b w:val="0"/>
          <w:bCs w:val="0"/>
          <w:color w:val="auto"/>
          <w:sz w:val="22"/>
          <w:szCs w:val="22"/>
          <w:lang w:val="en-GB" w:eastAsia="en-US"/>
        </w:rPr>
        <w:id w:val="410664336"/>
        <w:docPartObj>
          <w:docPartGallery w:val="Table of Contents"/>
          <w:docPartUnique/>
        </w:docPartObj>
      </w:sdtPr>
      <w:sdtEndPr>
        <w:rPr>
          <w:noProof/>
        </w:rPr>
      </w:sdtEndPr>
      <w:sdtContent>
        <w:p w14:paraId="13303588" w14:textId="162CB2DB" w:rsidR="0071219F" w:rsidRPr="0092700B" w:rsidRDefault="0071219F">
          <w:pPr>
            <w:pStyle w:val="TOCHeading"/>
            <w:spacing w:after="240"/>
            <w:rPr>
              <w:rFonts w:asciiTheme="minorHAnsi" w:hAnsiTheme="minorHAnsi" w:cstheme="minorHAnsi"/>
              <w:b w:val="0"/>
              <w:bCs w:val="0"/>
              <w:color w:val="auto"/>
            </w:rPr>
          </w:pPr>
          <w:r w:rsidRPr="008A01B2">
            <w:rPr>
              <w:rFonts w:asciiTheme="minorHAnsi" w:hAnsiTheme="minorHAnsi" w:cstheme="minorHAnsi"/>
              <w:b w:val="0"/>
              <w:bCs w:val="0"/>
              <w:color w:val="auto"/>
            </w:rPr>
            <w:t>Content</w:t>
          </w:r>
        </w:p>
        <w:p w14:paraId="20EB9463" w14:textId="4523E6F4" w:rsidR="0092700B" w:rsidRDefault="0071219F">
          <w:pPr>
            <w:pStyle w:val="TOC1"/>
            <w:rPr>
              <w:rFonts w:eastAsiaTheme="minorEastAsia"/>
              <w:b w:val="0"/>
              <w:lang w:val="en-US"/>
            </w:rPr>
          </w:pPr>
          <w:r w:rsidRPr="0092700B">
            <w:rPr>
              <w:bCs/>
            </w:rPr>
            <w:fldChar w:fldCharType="begin"/>
          </w:r>
          <w:r w:rsidRPr="008A01B2">
            <w:rPr>
              <w:bCs/>
            </w:rPr>
            <w:instrText xml:space="preserve"> TOC \o "1-3" \h \z \u </w:instrText>
          </w:r>
          <w:r w:rsidRPr="0092700B">
            <w:rPr>
              <w:bCs/>
            </w:rPr>
            <w:fldChar w:fldCharType="separate"/>
          </w:r>
          <w:hyperlink w:anchor="_Toc72130092" w:history="1">
            <w:r w:rsidR="0092700B" w:rsidRPr="00E110E1">
              <w:rPr>
                <w:rStyle w:val="Hyperlink"/>
                <w:rFonts w:cstheme="minorHAnsi"/>
              </w:rPr>
              <w:t>Relationship among outcome measures in absence of larviciding</w:t>
            </w:r>
            <w:r w:rsidR="0092700B">
              <w:rPr>
                <w:webHidden/>
              </w:rPr>
              <w:tab/>
            </w:r>
            <w:r w:rsidR="0092700B">
              <w:rPr>
                <w:webHidden/>
              </w:rPr>
              <w:fldChar w:fldCharType="begin"/>
            </w:r>
            <w:r w:rsidR="0092700B">
              <w:rPr>
                <w:webHidden/>
              </w:rPr>
              <w:instrText xml:space="preserve"> PAGEREF _Toc72130092 \h </w:instrText>
            </w:r>
            <w:r w:rsidR="0092700B">
              <w:rPr>
                <w:webHidden/>
              </w:rPr>
            </w:r>
            <w:r w:rsidR="0092700B">
              <w:rPr>
                <w:webHidden/>
              </w:rPr>
              <w:fldChar w:fldCharType="separate"/>
            </w:r>
            <w:r w:rsidR="0092700B">
              <w:rPr>
                <w:webHidden/>
              </w:rPr>
              <w:t>2</w:t>
            </w:r>
            <w:r w:rsidR="0092700B">
              <w:rPr>
                <w:webHidden/>
              </w:rPr>
              <w:fldChar w:fldCharType="end"/>
            </w:r>
          </w:hyperlink>
        </w:p>
        <w:p w14:paraId="08A855FC" w14:textId="63044AA3" w:rsidR="0092700B" w:rsidRDefault="00CD2D15">
          <w:pPr>
            <w:pStyle w:val="TOC1"/>
            <w:rPr>
              <w:rFonts w:eastAsiaTheme="minorEastAsia"/>
              <w:b w:val="0"/>
              <w:lang w:val="en-US"/>
            </w:rPr>
          </w:pPr>
          <w:hyperlink w:anchor="_Toc72130093" w:history="1">
            <w:r w:rsidR="0092700B" w:rsidRPr="00E110E1">
              <w:rPr>
                <w:rStyle w:val="Hyperlink"/>
                <w:rFonts w:cstheme="minorHAnsi"/>
              </w:rPr>
              <w:t>Larviciding in absence of seasonality</w:t>
            </w:r>
            <w:r w:rsidR="0092700B">
              <w:rPr>
                <w:webHidden/>
              </w:rPr>
              <w:tab/>
            </w:r>
            <w:r w:rsidR="0092700B">
              <w:rPr>
                <w:webHidden/>
              </w:rPr>
              <w:fldChar w:fldCharType="begin"/>
            </w:r>
            <w:r w:rsidR="0092700B">
              <w:rPr>
                <w:webHidden/>
              </w:rPr>
              <w:instrText xml:space="preserve"> PAGEREF _Toc72130093 \h </w:instrText>
            </w:r>
            <w:r w:rsidR="0092700B">
              <w:rPr>
                <w:webHidden/>
              </w:rPr>
            </w:r>
            <w:r w:rsidR="0092700B">
              <w:rPr>
                <w:webHidden/>
              </w:rPr>
              <w:fldChar w:fldCharType="separate"/>
            </w:r>
            <w:r w:rsidR="0092700B">
              <w:rPr>
                <w:webHidden/>
              </w:rPr>
              <w:t>3</w:t>
            </w:r>
            <w:r w:rsidR="0092700B">
              <w:rPr>
                <w:webHidden/>
              </w:rPr>
              <w:fldChar w:fldCharType="end"/>
            </w:r>
          </w:hyperlink>
        </w:p>
        <w:p w14:paraId="3CF76AFB" w14:textId="0E9D7ED6" w:rsidR="0092700B" w:rsidRDefault="00CD2D15">
          <w:pPr>
            <w:pStyle w:val="TOC2"/>
            <w:rPr>
              <w:rFonts w:eastAsiaTheme="minorEastAsia"/>
              <w:noProof/>
              <w:lang w:val="en-US"/>
            </w:rPr>
          </w:pPr>
          <w:hyperlink w:anchor="_Toc72130094" w:history="1">
            <w:r w:rsidR="0092700B" w:rsidRPr="00E110E1">
              <w:rPr>
                <w:rStyle w:val="Hyperlink"/>
                <w:rFonts w:cstheme="minorHAnsi"/>
                <w:noProof/>
              </w:rPr>
              <w:t>Influence of mosquito density-dependence parameters</w:t>
            </w:r>
            <w:r w:rsidR="0092700B">
              <w:rPr>
                <w:noProof/>
                <w:webHidden/>
              </w:rPr>
              <w:tab/>
            </w:r>
            <w:r w:rsidR="0092700B">
              <w:rPr>
                <w:noProof/>
                <w:webHidden/>
              </w:rPr>
              <w:fldChar w:fldCharType="begin"/>
            </w:r>
            <w:r w:rsidR="0092700B">
              <w:rPr>
                <w:noProof/>
                <w:webHidden/>
              </w:rPr>
              <w:instrText xml:space="preserve"> PAGEREF _Toc72130094 \h </w:instrText>
            </w:r>
            <w:r w:rsidR="0092700B">
              <w:rPr>
                <w:noProof/>
                <w:webHidden/>
              </w:rPr>
            </w:r>
            <w:r w:rsidR="0092700B">
              <w:rPr>
                <w:noProof/>
                <w:webHidden/>
              </w:rPr>
              <w:fldChar w:fldCharType="separate"/>
            </w:r>
            <w:r w:rsidR="0092700B">
              <w:rPr>
                <w:noProof/>
                <w:webHidden/>
              </w:rPr>
              <w:t>3</w:t>
            </w:r>
            <w:r w:rsidR="0092700B">
              <w:rPr>
                <w:noProof/>
                <w:webHidden/>
              </w:rPr>
              <w:fldChar w:fldCharType="end"/>
            </w:r>
          </w:hyperlink>
        </w:p>
        <w:p w14:paraId="7ACFEF21" w14:textId="199F941B" w:rsidR="0092700B" w:rsidRDefault="00CD2D15">
          <w:pPr>
            <w:pStyle w:val="TOC2"/>
            <w:rPr>
              <w:rFonts w:eastAsiaTheme="minorEastAsia"/>
              <w:noProof/>
              <w:lang w:val="en-US"/>
            </w:rPr>
          </w:pPr>
          <w:hyperlink w:anchor="_Toc72130095" w:history="1">
            <w:r w:rsidR="0092700B" w:rsidRPr="00E110E1">
              <w:rPr>
                <w:rStyle w:val="Hyperlink"/>
                <w:rFonts w:cstheme="minorHAnsi"/>
                <w:noProof/>
              </w:rPr>
              <w:t>Larviciding frequency versus coverage</w:t>
            </w:r>
            <w:r w:rsidR="0092700B">
              <w:rPr>
                <w:noProof/>
                <w:webHidden/>
              </w:rPr>
              <w:tab/>
            </w:r>
            <w:r w:rsidR="0092700B">
              <w:rPr>
                <w:noProof/>
                <w:webHidden/>
              </w:rPr>
              <w:fldChar w:fldCharType="begin"/>
            </w:r>
            <w:r w:rsidR="0092700B">
              <w:rPr>
                <w:noProof/>
                <w:webHidden/>
              </w:rPr>
              <w:instrText xml:space="preserve"> PAGEREF _Toc72130095 \h </w:instrText>
            </w:r>
            <w:r w:rsidR="0092700B">
              <w:rPr>
                <w:noProof/>
                <w:webHidden/>
              </w:rPr>
            </w:r>
            <w:r w:rsidR="0092700B">
              <w:rPr>
                <w:noProof/>
                <w:webHidden/>
              </w:rPr>
              <w:fldChar w:fldCharType="separate"/>
            </w:r>
            <w:r w:rsidR="0092700B">
              <w:rPr>
                <w:noProof/>
                <w:webHidden/>
              </w:rPr>
              <w:t>5</w:t>
            </w:r>
            <w:r w:rsidR="0092700B">
              <w:rPr>
                <w:noProof/>
                <w:webHidden/>
              </w:rPr>
              <w:fldChar w:fldCharType="end"/>
            </w:r>
          </w:hyperlink>
        </w:p>
        <w:p w14:paraId="1615BDED" w14:textId="5B63A3B5" w:rsidR="0092700B" w:rsidRDefault="00CD2D15">
          <w:pPr>
            <w:pStyle w:val="TOC2"/>
            <w:rPr>
              <w:rFonts w:eastAsiaTheme="minorEastAsia"/>
              <w:noProof/>
              <w:lang w:val="en-US"/>
            </w:rPr>
          </w:pPr>
          <w:hyperlink w:anchor="_Toc72130096" w:history="1">
            <w:r w:rsidR="0092700B" w:rsidRPr="00E110E1">
              <w:rPr>
                <w:rStyle w:val="Hyperlink"/>
                <w:rFonts w:cstheme="minorHAnsi"/>
                <w:noProof/>
              </w:rPr>
              <w:t>Post-larviciding resurgence in predicted outcome measures</w:t>
            </w:r>
            <w:r w:rsidR="0092700B">
              <w:rPr>
                <w:noProof/>
                <w:webHidden/>
              </w:rPr>
              <w:tab/>
            </w:r>
            <w:r w:rsidR="0092700B">
              <w:rPr>
                <w:noProof/>
                <w:webHidden/>
              </w:rPr>
              <w:fldChar w:fldCharType="begin"/>
            </w:r>
            <w:r w:rsidR="0092700B">
              <w:rPr>
                <w:noProof/>
                <w:webHidden/>
              </w:rPr>
              <w:instrText xml:space="preserve"> PAGEREF _Toc72130096 \h </w:instrText>
            </w:r>
            <w:r w:rsidR="0092700B">
              <w:rPr>
                <w:noProof/>
                <w:webHidden/>
              </w:rPr>
            </w:r>
            <w:r w:rsidR="0092700B">
              <w:rPr>
                <w:noProof/>
                <w:webHidden/>
              </w:rPr>
              <w:fldChar w:fldCharType="separate"/>
            </w:r>
            <w:r w:rsidR="0092700B">
              <w:rPr>
                <w:noProof/>
                <w:webHidden/>
              </w:rPr>
              <w:t>5</w:t>
            </w:r>
            <w:r w:rsidR="0092700B">
              <w:rPr>
                <w:noProof/>
                <w:webHidden/>
              </w:rPr>
              <w:fldChar w:fldCharType="end"/>
            </w:r>
          </w:hyperlink>
        </w:p>
        <w:p w14:paraId="5B23E72A" w14:textId="6BCE47ED" w:rsidR="0092700B" w:rsidRDefault="00CD2D15">
          <w:pPr>
            <w:pStyle w:val="TOC1"/>
            <w:rPr>
              <w:rFonts w:eastAsiaTheme="minorEastAsia"/>
              <w:b w:val="0"/>
              <w:lang w:val="en-US"/>
            </w:rPr>
          </w:pPr>
          <w:hyperlink w:anchor="_Toc72130097" w:history="1">
            <w:r w:rsidR="0092700B" w:rsidRPr="00E110E1">
              <w:rPr>
                <w:rStyle w:val="Hyperlink"/>
                <w:rFonts w:cstheme="minorHAnsi"/>
              </w:rPr>
              <w:t>Larviciding and seasonality</w:t>
            </w:r>
            <w:r w:rsidR="0092700B">
              <w:rPr>
                <w:webHidden/>
              </w:rPr>
              <w:tab/>
            </w:r>
            <w:r w:rsidR="0092700B">
              <w:rPr>
                <w:webHidden/>
              </w:rPr>
              <w:fldChar w:fldCharType="begin"/>
            </w:r>
            <w:r w:rsidR="0092700B">
              <w:rPr>
                <w:webHidden/>
              </w:rPr>
              <w:instrText xml:space="preserve"> PAGEREF _Toc72130097 \h </w:instrText>
            </w:r>
            <w:r w:rsidR="0092700B">
              <w:rPr>
                <w:webHidden/>
              </w:rPr>
            </w:r>
            <w:r w:rsidR="0092700B">
              <w:rPr>
                <w:webHidden/>
              </w:rPr>
              <w:fldChar w:fldCharType="separate"/>
            </w:r>
            <w:r w:rsidR="0092700B">
              <w:rPr>
                <w:webHidden/>
              </w:rPr>
              <w:t>7</w:t>
            </w:r>
            <w:r w:rsidR="0092700B">
              <w:rPr>
                <w:webHidden/>
              </w:rPr>
              <w:fldChar w:fldCharType="end"/>
            </w:r>
          </w:hyperlink>
        </w:p>
        <w:p w14:paraId="0B682DB2" w14:textId="7A2FF3D5" w:rsidR="0092700B" w:rsidRDefault="00CD2D15">
          <w:pPr>
            <w:pStyle w:val="TOC2"/>
            <w:rPr>
              <w:rFonts w:eastAsiaTheme="minorEastAsia"/>
              <w:noProof/>
              <w:lang w:val="en-US"/>
            </w:rPr>
          </w:pPr>
          <w:hyperlink w:anchor="_Toc72130098" w:history="1">
            <w:r w:rsidR="0092700B" w:rsidRPr="00E110E1">
              <w:rPr>
                <w:rStyle w:val="Hyperlink"/>
                <w:rFonts w:cstheme="minorHAnsi"/>
                <w:noProof/>
              </w:rPr>
              <w:t>Seasonality and timing of larviciding</w:t>
            </w:r>
            <w:r w:rsidR="0092700B">
              <w:rPr>
                <w:noProof/>
                <w:webHidden/>
              </w:rPr>
              <w:tab/>
            </w:r>
            <w:r w:rsidR="0092700B">
              <w:rPr>
                <w:noProof/>
                <w:webHidden/>
              </w:rPr>
              <w:fldChar w:fldCharType="begin"/>
            </w:r>
            <w:r w:rsidR="0092700B">
              <w:rPr>
                <w:noProof/>
                <w:webHidden/>
              </w:rPr>
              <w:instrText xml:space="preserve"> PAGEREF _Toc72130098 \h </w:instrText>
            </w:r>
            <w:r w:rsidR="0092700B">
              <w:rPr>
                <w:noProof/>
                <w:webHidden/>
              </w:rPr>
            </w:r>
            <w:r w:rsidR="0092700B">
              <w:rPr>
                <w:noProof/>
                <w:webHidden/>
              </w:rPr>
              <w:fldChar w:fldCharType="separate"/>
            </w:r>
            <w:r w:rsidR="0092700B">
              <w:rPr>
                <w:noProof/>
                <w:webHidden/>
              </w:rPr>
              <w:t>7</w:t>
            </w:r>
            <w:r w:rsidR="0092700B">
              <w:rPr>
                <w:noProof/>
                <w:webHidden/>
              </w:rPr>
              <w:fldChar w:fldCharType="end"/>
            </w:r>
          </w:hyperlink>
        </w:p>
        <w:p w14:paraId="36ADCDAC" w14:textId="66987C26" w:rsidR="0092700B" w:rsidRDefault="00CD2D15">
          <w:pPr>
            <w:pStyle w:val="TOC2"/>
            <w:rPr>
              <w:rFonts w:eastAsiaTheme="minorEastAsia"/>
              <w:noProof/>
              <w:lang w:val="en-US"/>
            </w:rPr>
          </w:pPr>
          <w:hyperlink w:anchor="_Toc72130099" w:history="1">
            <w:r w:rsidR="0092700B" w:rsidRPr="00E110E1">
              <w:rPr>
                <w:rStyle w:val="Hyperlink"/>
                <w:rFonts w:cstheme="minorHAnsi"/>
                <w:noProof/>
              </w:rPr>
              <w:t>Coverage thresholds and seasonal timing</w:t>
            </w:r>
            <w:r w:rsidR="0092700B">
              <w:rPr>
                <w:noProof/>
                <w:webHidden/>
              </w:rPr>
              <w:tab/>
            </w:r>
            <w:r w:rsidR="0092700B">
              <w:rPr>
                <w:noProof/>
                <w:webHidden/>
              </w:rPr>
              <w:fldChar w:fldCharType="begin"/>
            </w:r>
            <w:r w:rsidR="0092700B">
              <w:rPr>
                <w:noProof/>
                <w:webHidden/>
              </w:rPr>
              <w:instrText xml:space="preserve"> PAGEREF _Toc72130099 \h </w:instrText>
            </w:r>
            <w:r w:rsidR="0092700B">
              <w:rPr>
                <w:noProof/>
                <w:webHidden/>
              </w:rPr>
            </w:r>
            <w:r w:rsidR="0092700B">
              <w:rPr>
                <w:noProof/>
                <w:webHidden/>
              </w:rPr>
              <w:fldChar w:fldCharType="separate"/>
            </w:r>
            <w:r w:rsidR="0092700B">
              <w:rPr>
                <w:noProof/>
                <w:webHidden/>
              </w:rPr>
              <w:t>9</w:t>
            </w:r>
            <w:r w:rsidR="0092700B">
              <w:rPr>
                <w:noProof/>
                <w:webHidden/>
              </w:rPr>
              <w:fldChar w:fldCharType="end"/>
            </w:r>
          </w:hyperlink>
        </w:p>
        <w:p w14:paraId="3B714B7D" w14:textId="47D3ED1B" w:rsidR="00DC6127" w:rsidRPr="0092700B" w:rsidRDefault="0071219F">
          <w:pPr>
            <w:rPr>
              <w:rFonts w:cstheme="minorHAnsi"/>
            </w:rPr>
          </w:pPr>
          <w:r w:rsidRPr="0092700B">
            <w:rPr>
              <w:rFonts w:cstheme="minorHAnsi"/>
              <w:bCs/>
              <w:noProof/>
            </w:rPr>
            <w:fldChar w:fldCharType="end"/>
          </w:r>
        </w:p>
      </w:sdtContent>
    </w:sdt>
    <w:p w14:paraId="0469DC92" w14:textId="77777777" w:rsidR="00362D41" w:rsidRPr="0092700B" w:rsidRDefault="00362D41">
      <w:pPr>
        <w:spacing w:after="200"/>
        <w:rPr>
          <w:rFonts w:eastAsiaTheme="majorEastAsia" w:cstheme="minorHAnsi"/>
          <w:b/>
          <w:bCs/>
          <w:sz w:val="28"/>
          <w:szCs w:val="28"/>
        </w:rPr>
      </w:pPr>
      <w:r w:rsidRPr="0092700B">
        <w:rPr>
          <w:rFonts w:cstheme="minorHAnsi"/>
        </w:rPr>
        <w:br w:type="page"/>
      </w:r>
    </w:p>
    <w:p w14:paraId="6C3F7E90" w14:textId="2F2D86F8" w:rsidR="008A5237" w:rsidRPr="0092700B" w:rsidRDefault="004812E8">
      <w:pPr>
        <w:pStyle w:val="Heading1"/>
        <w:rPr>
          <w:rFonts w:cstheme="minorHAnsi"/>
        </w:rPr>
      </w:pPr>
      <w:bookmarkStart w:id="0" w:name="_Toc72130092"/>
      <w:r w:rsidRPr="0092700B">
        <w:rPr>
          <w:rFonts w:cstheme="minorHAnsi"/>
        </w:rPr>
        <w:lastRenderedPageBreak/>
        <w:t xml:space="preserve">Relationship </w:t>
      </w:r>
      <w:r w:rsidR="00E76919" w:rsidRPr="0092700B">
        <w:rPr>
          <w:rFonts w:cstheme="minorHAnsi"/>
        </w:rPr>
        <w:t>among</w:t>
      </w:r>
      <w:r w:rsidRPr="0092700B">
        <w:rPr>
          <w:rFonts w:cstheme="minorHAnsi"/>
        </w:rPr>
        <w:t xml:space="preserve"> o</w:t>
      </w:r>
      <w:r w:rsidR="00095A0E" w:rsidRPr="0092700B">
        <w:rPr>
          <w:rFonts w:cstheme="minorHAnsi"/>
        </w:rPr>
        <w:t>utcome</w:t>
      </w:r>
      <w:r w:rsidRPr="0092700B">
        <w:rPr>
          <w:rFonts w:cstheme="minorHAnsi"/>
        </w:rPr>
        <w:t xml:space="preserve"> measures </w:t>
      </w:r>
      <w:r w:rsidR="00E76919" w:rsidRPr="0092700B">
        <w:rPr>
          <w:rFonts w:cstheme="minorHAnsi"/>
        </w:rPr>
        <w:t>in absence of</w:t>
      </w:r>
      <w:r w:rsidRPr="0092700B">
        <w:rPr>
          <w:rFonts w:cstheme="minorHAnsi"/>
        </w:rPr>
        <w:t xml:space="preserve"> larviciding</w:t>
      </w:r>
      <w:bookmarkEnd w:id="0"/>
    </w:p>
    <w:p w14:paraId="5AE75CFC" w14:textId="7243701E" w:rsidR="00DC6127" w:rsidRPr="0092700B" w:rsidRDefault="00DC6127">
      <w:pPr>
        <w:rPr>
          <w:rFonts w:eastAsiaTheme="majorEastAsia" w:cstheme="minorHAnsi"/>
          <w:bCs/>
          <w:sz w:val="28"/>
          <w:szCs w:val="28"/>
        </w:rPr>
      </w:pPr>
    </w:p>
    <w:p w14:paraId="15625E3D" w14:textId="495512A0" w:rsidR="00E76919" w:rsidRPr="0092700B" w:rsidRDefault="00876DB0" w:rsidP="0092700B">
      <w:pPr>
        <w:rPr>
          <w:rFonts w:cstheme="minorHAnsi"/>
        </w:rPr>
      </w:pPr>
      <w:r>
        <w:rPr>
          <w:rFonts w:cstheme="minorHAnsi"/>
        </w:rPr>
        <w:t xml:space="preserve">The lag time between peak density of emerging mosquitoes and peak density in </w:t>
      </w:r>
      <w:r w:rsidRPr="0092700B">
        <w:rPr>
          <w:rFonts w:cstheme="minorHAnsi"/>
        </w:rPr>
        <w:t>host-seeking mosquito</w:t>
      </w:r>
      <w:r>
        <w:rPr>
          <w:rFonts w:cstheme="minorHAnsi"/>
        </w:rPr>
        <w:t xml:space="preserve"> was 10 days, followed by 40 days until peak in EIR and 55 days until peak in prevalence. </w:t>
      </w:r>
      <w:r w:rsidR="00E76919" w:rsidRPr="0092700B">
        <w:rPr>
          <w:rFonts w:cstheme="minorHAnsi"/>
        </w:rPr>
        <w:t>.</w:t>
      </w:r>
      <w:r>
        <w:rPr>
          <w:rFonts w:cstheme="minorHAnsi"/>
        </w:rPr>
        <w:t xml:space="preserve"> Relative to peak in density of emerging mosquitoes, the peak in EIR followed after 50 days (1.6 months) and the peak in prevalence after 105 days (3.5 months)</w:t>
      </w:r>
      <w:r w:rsidR="00E76919" w:rsidRPr="0092700B">
        <w:rPr>
          <w:rFonts w:cstheme="minorHAnsi"/>
        </w:rPr>
        <w:t xml:space="preserve"> </w:t>
      </w:r>
      <w:r w:rsidR="00CB63DC">
        <w:rPr>
          <w:rFonts w:cstheme="minorHAnsi"/>
        </w:rPr>
        <w:t>(</w:t>
      </w:r>
      <w:r w:rsidR="00CB63DC" w:rsidRPr="008147FE">
        <w:rPr>
          <w:rFonts w:cstheme="minorHAnsi"/>
        </w:rPr>
        <w:t>Fig. A2.1</w:t>
      </w:r>
      <w:r w:rsidR="00CB63DC">
        <w:rPr>
          <w:rFonts w:cstheme="minorHAnsi"/>
        </w:rPr>
        <w:t>A)</w:t>
      </w:r>
      <w:r w:rsidR="00E76919" w:rsidRPr="0092700B">
        <w:rPr>
          <w:rFonts w:cstheme="minorHAnsi"/>
        </w:rPr>
        <w:t xml:space="preserve">. The incidence (number of new cases) showed the same trend </w:t>
      </w:r>
      <w:r w:rsidR="00810B64" w:rsidRPr="0092700B">
        <w:rPr>
          <w:rFonts w:cstheme="minorHAnsi"/>
        </w:rPr>
        <w:t xml:space="preserve">and peak </w:t>
      </w:r>
      <w:r w:rsidR="00E76919" w:rsidRPr="0092700B">
        <w:rPr>
          <w:rFonts w:cstheme="minorHAnsi"/>
        </w:rPr>
        <w:t>as the simulated EIR (</w:t>
      </w:r>
      <w:r w:rsidR="00CB63DC" w:rsidRPr="008147FE">
        <w:rPr>
          <w:rFonts w:cstheme="minorHAnsi"/>
        </w:rPr>
        <w:t>Fig. A2.1</w:t>
      </w:r>
      <w:r w:rsidR="00CB63DC">
        <w:rPr>
          <w:rFonts w:cstheme="minorHAnsi"/>
        </w:rPr>
        <w:t>B</w:t>
      </w:r>
      <w:r w:rsidR="00E76919" w:rsidRPr="0092700B">
        <w:rPr>
          <w:rFonts w:cstheme="minorHAnsi"/>
        </w:rPr>
        <w:t xml:space="preserve">). </w:t>
      </w:r>
      <w:r w:rsidR="00F02573">
        <w:rPr>
          <w:rFonts w:cstheme="minorHAnsi"/>
        </w:rPr>
        <w:t xml:space="preserve">The average prevalence is 23% for an annual EIR of 3 ibpa, 40% for an annual EIR of 10 ibpa, and 50% for an annual EIR of 90 </w:t>
      </w:r>
      <w:r w:rsidR="00203E5C">
        <w:rPr>
          <w:rFonts w:cstheme="minorHAnsi"/>
        </w:rPr>
        <w:t>ibpa, the seasonal variation is shown in Fig A2.</w:t>
      </w:r>
      <w:r w:rsidR="001071F7">
        <w:rPr>
          <w:rFonts w:cstheme="minorHAnsi"/>
        </w:rPr>
        <w:t>1</w:t>
      </w:r>
      <w:r w:rsidR="00203E5C">
        <w:rPr>
          <w:rFonts w:cstheme="minorHAnsi"/>
        </w:rPr>
        <w:t>C</w:t>
      </w:r>
      <w:r w:rsidR="00F02573">
        <w:rPr>
          <w:rFonts w:cstheme="minorHAnsi"/>
        </w:rPr>
        <w:t>.</w:t>
      </w:r>
      <w:r w:rsidR="00203E5C">
        <w:rPr>
          <w:rFonts w:cstheme="minorHAnsi"/>
        </w:rPr>
        <w:t xml:space="preserve"> </w:t>
      </w:r>
      <w:r w:rsidR="00E76919" w:rsidRPr="0092700B">
        <w:rPr>
          <w:rFonts w:cstheme="minorHAnsi"/>
        </w:rPr>
        <w:t>More information available in the OpenMalaria wiki</w:t>
      </w:r>
      <w:r w:rsidR="00E76919" w:rsidRPr="0092700B">
        <w:rPr>
          <w:rStyle w:val="FootnoteReference"/>
          <w:rFonts w:cstheme="minorHAnsi"/>
        </w:rPr>
        <w:footnoteReference w:id="1"/>
      </w:r>
      <w:r w:rsidR="00E76919" w:rsidRPr="0092700B">
        <w:rPr>
          <w:rFonts w:cstheme="minorHAnsi"/>
        </w:rPr>
        <w:t>.</w:t>
      </w:r>
      <w:r w:rsidR="0092700B">
        <w:rPr>
          <w:rFonts w:cstheme="minorHAnsi"/>
        </w:rPr>
        <w:t xml:space="preserve"> </w:t>
      </w:r>
    </w:p>
    <w:p w14:paraId="203110E8" w14:textId="77777777" w:rsidR="00E76919" w:rsidRPr="0092700B" w:rsidRDefault="00E76919">
      <w:pPr>
        <w:rPr>
          <w:rFonts w:eastAsiaTheme="majorEastAsia" w:cstheme="minorHAnsi"/>
          <w:bCs/>
          <w:sz w:val="28"/>
          <w:szCs w:val="28"/>
        </w:rPr>
      </w:pPr>
    </w:p>
    <w:p w14:paraId="78E7275B" w14:textId="77777777" w:rsidR="001D24D6" w:rsidRPr="0092700B" w:rsidRDefault="00424E19">
      <w:pPr>
        <w:keepNext/>
        <w:rPr>
          <w:rFonts w:cstheme="minorHAnsi"/>
        </w:rPr>
      </w:pPr>
      <w:r w:rsidRPr="0092700B">
        <w:rPr>
          <w:rFonts w:cstheme="minorHAnsi"/>
          <w:noProof/>
          <w:lang w:val="en-IN" w:eastAsia="en-IN"/>
        </w:rPr>
        <w:drawing>
          <wp:inline distT="0" distB="0" distL="0" distR="0" wp14:anchorId="49435348" wp14:editId="017A4BED">
            <wp:extent cx="5675382" cy="2837691"/>
            <wp:effectExtent l="19050" t="19050" r="20955"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75382" cy="2837691"/>
                    </a:xfrm>
                    <a:prstGeom prst="rect">
                      <a:avLst/>
                    </a:prstGeom>
                    <a:noFill/>
                    <a:ln>
                      <a:solidFill>
                        <a:schemeClr val="bg1"/>
                      </a:solidFill>
                    </a:ln>
                  </pic:spPr>
                </pic:pic>
              </a:graphicData>
            </a:graphic>
          </wp:inline>
        </w:drawing>
      </w:r>
    </w:p>
    <w:p w14:paraId="56DDB8E8" w14:textId="4C2516D4" w:rsidR="001D24D6" w:rsidRPr="0092700B" w:rsidRDefault="0076373F" w:rsidP="0092700B">
      <w:pPr>
        <w:pStyle w:val="Caption"/>
        <w:spacing w:line="276" w:lineRule="auto"/>
        <w:rPr>
          <w:rFonts w:cstheme="minorHAnsi"/>
          <w:sz w:val="22"/>
          <w:szCs w:val="22"/>
        </w:rPr>
      </w:pPr>
      <w:r w:rsidRPr="0092700B">
        <w:rPr>
          <w:rFonts w:cstheme="minorHAnsi"/>
          <w:sz w:val="22"/>
          <w:szCs w:val="22"/>
        </w:rPr>
        <w:t>Fig</w:t>
      </w:r>
      <w:r w:rsidR="00E76919" w:rsidRPr="0092700B">
        <w:rPr>
          <w:rFonts w:cstheme="minorHAnsi"/>
          <w:sz w:val="22"/>
          <w:szCs w:val="22"/>
        </w:rPr>
        <w:t xml:space="preserve">. </w:t>
      </w:r>
      <w:r w:rsidR="00CD2D15">
        <w:rPr>
          <w:rFonts w:cstheme="minorHAnsi"/>
          <w:sz w:val="22"/>
          <w:szCs w:val="22"/>
        </w:rPr>
        <w:t>S</w:t>
      </w:r>
      <w:r w:rsidR="002F009D" w:rsidRPr="0092700B">
        <w:rPr>
          <w:rFonts w:cstheme="minorHAnsi"/>
          <w:sz w:val="22"/>
          <w:szCs w:val="22"/>
        </w:rPr>
        <w:t>2.</w:t>
      </w:r>
      <w:r w:rsidR="006B464C" w:rsidRPr="0092700B">
        <w:rPr>
          <w:rFonts w:cstheme="minorHAnsi"/>
          <w:sz w:val="22"/>
          <w:szCs w:val="22"/>
        </w:rPr>
        <w:fldChar w:fldCharType="begin"/>
      </w:r>
      <w:r w:rsidR="006B464C" w:rsidRPr="0092700B">
        <w:rPr>
          <w:rFonts w:cstheme="minorHAnsi"/>
          <w:sz w:val="22"/>
          <w:szCs w:val="22"/>
        </w:rPr>
        <w:instrText xml:space="preserve"> SEQ SI-5. \* ARABIC </w:instrText>
      </w:r>
      <w:r w:rsidR="006B464C" w:rsidRPr="0092700B">
        <w:rPr>
          <w:rFonts w:cstheme="minorHAnsi"/>
          <w:sz w:val="22"/>
          <w:szCs w:val="22"/>
        </w:rPr>
        <w:fldChar w:fldCharType="separate"/>
      </w:r>
      <w:r w:rsidR="008E3B50" w:rsidRPr="0092700B">
        <w:rPr>
          <w:rFonts w:cstheme="minorHAnsi"/>
          <w:noProof/>
          <w:sz w:val="22"/>
          <w:szCs w:val="22"/>
        </w:rPr>
        <w:t>1</w:t>
      </w:r>
      <w:r w:rsidR="006B464C" w:rsidRPr="0092700B">
        <w:rPr>
          <w:rFonts w:cstheme="minorHAnsi"/>
          <w:noProof/>
          <w:sz w:val="22"/>
          <w:szCs w:val="22"/>
        </w:rPr>
        <w:fldChar w:fldCharType="end"/>
      </w:r>
      <w:r w:rsidR="004A5CF9" w:rsidRPr="0092700B">
        <w:rPr>
          <w:rFonts w:cstheme="minorHAnsi"/>
          <w:sz w:val="22"/>
          <w:szCs w:val="22"/>
        </w:rPr>
        <w:t>:</w:t>
      </w:r>
      <w:r w:rsidR="004A5CF9" w:rsidRPr="0092700B">
        <w:rPr>
          <w:rFonts w:cstheme="minorHAnsi"/>
          <w:noProof/>
          <w:sz w:val="22"/>
          <w:szCs w:val="22"/>
        </w:rPr>
        <w:t xml:space="preserve"> </w:t>
      </w:r>
      <w:r w:rsidR="00A30480" w:rsidRPr="0092700B">
        <w:rPr>
          <w:rFonts w:cstheme="minorHAnsi"/>
          <w:sz w:val="22"/>
          <w:szCs w:val="22"/>
        </w:rPr>
        <w:t xml:space="preserve">Simulated outcome measures for one year in </w:t>
      </w:r>
      <w:r w:rsidR="001D24D6" w:rsidRPr="0092700B">
        <w:rPr>
          <w:rFonts w:cstheme="minorHAnsi"/>
          <w:sz w:val="22"/>
          <w:szCs w:val="22"/>
        </w:rPr>
        <w:t>absence of larviciding</w:t>
      </w:r>
      <w:r w:rsidR="003C25C4">
        <w:rPr>
          <w:rFonts w:cstheme="minorHAnsi"/>
          <w:sz w:val="22"/>
          <w:szCs w:val="22"/>
        </w:rPr>
        <w:t xml:space="preserve"> for a high seasonaliy setting</w:t>
      </w:r>
      <w:r w:rsidR="001D24D6" w:rsidRPr="0092700B">
        <w:rPr>
          <w:rFonts w:cstheme="minorHAnsi"/>
          <w:sz w:val="22"/>
          <w:szCs w:val="22"/>
        </w:rPr>
        <w:t xml:space="preserve">. </w:t>
      </w:r>
      <w:r w:rsidR="00125B23" w:rsidRPr="0092700B">
        <w:rPr>
          <w:rFonts w:cstheme="minorHAnsi"/>
          <w:sz w:val="22"/>
          <w:szCs w:val="22"/>
        </w:rPr>
        <w:t>A)</w:t>
      </w:r>
      <w:r w:rsidR="00125B23" w:rsidRPr="0092700B">
        <w:rPr>
          <w:rFonts w:cstheme="minorHAnsi"/>
          <w:b w:val="0"/>
          <w:bCs w:val="0"/>
          <w:sz w:val="22"/>
          <w:szCs w:val="22"/>
        </w:rPr>
        <w:t xml:space="preserve"> Comparison of </w:t>
      </w:r>
      <w:r w:rsidR="00516E14" w:rsidRPr="0092700B">
        <w:rPr>
          <w:rFonts w:cstheme="minorHAnsi"/>
          <w:b w:val="0"/>
          <w:bCs w:val="0"/>
          <w:sz w:val="22"/>
          <w:szCs w:val="22"/>
        </w:rPr>
        <w:t xml:space="preserve">seasonality and delay between </w:t>
      </w:r>
      <w:r w:rsidR="000209FD">
        <w:rPr>
          <w:rFonts w:cstheme="minorHAnsi"/>
          <w:b w:val="0"/>
          <w:bCs w:val="0"/>
          <w:sz w:val="22"/>
          <w:szCs w:val="22"/>
        </w:rPr>
        <w:t>mosquito emergence, host seeking mosquito density, EIR and prevalence</w:t>
      </w:r>
      <w:r w:rsidR="006817DB">
        <w:rPr>
          <w:rFonts w:cstheme="minorHAnsi"/>
          <w:b w:val="0"/>
          <w:bCs w:val="0"/>
          <w:sz w:val="22"/>
          <w:szCs w:val="22"/>
        </w:rPr>
        <w:t xml:space="preserve"> (values on relative scale)</w:t>
      </w:r>
      <w:r w:rsidR="00516E14" w:rsidRPr="0092700B">
        <w:rPr>
          <w:rFonts w:cstheme="minorHAnsi"/>
          <w:b w:val="0"/>
          <w:bCs w:val="0"/>
          <w:sz w:val="22"/>
          <w:szCs w:val="22"/>
        </w:rPr>
        <w:t>.</w:t>
      </w:r>
      <w:r w:rsidR="00733A92">
        <w:rPr>
          <w:rFonts w:cstheme="minorHAnsi"/>
          <w:b w:val="0"/>
          <w:bCs w:val="0"/>
          <w:sz w:val="22"/>
          <w:szCs w:val="22"/>
        </w:rPr>
        <w:t xml:space="preserve"> </w:t>
      </w:r>
      <w:r w:rsidR="00733A92" w:rsidRPr="0092700B">
        <w:rPr>
          <w:rFonts w:cstheme="minorHAnsi"/>
          <w:sz w:val="22"/>
          <w:szCs w:val="22"/>
        </w:rPr>
        <w:t>B)</w:t>
      </w:r>
      <w:r w:rsidR="00733A92">
        <w:rPr>
          <w:rFonts w:cstheme="minorHAnsi"/>
          <w:b w:val="0"/>
          <w:bCs w:val="0"/>
          <w:sz w:val="22"/>
          <w:szCs w:val="22"/>
        </w:rPr>
        <w:t xml:space="preserve"> </w:t>
      </w:r>
      <w:r w:rsidR="006817DB">
        <w:rPr>
          <w:rFonts w:cstheme="minorHAnsi"/>
          <w:b w:val="0"/>
          <w:bCs w:val="0"/>
          <w:sz w:val="22"/>
          <w:szCs w:val="22"/>
        </w:rPr>
        <w:t xml:space="preserve">Comparison of incidence and EIR over time for an annual EIR of 10. </w:t>
      </w:r>
      <w:r w:rsidR="006817DB" w:rsidRPr="0092700B">
        <w:rPr>
          <w:rFonts w:cstheme="minorHAnsi"/>
          <w:sz w:val="22"/>
          <w:szCs w:val="22"/>
        </w:rPr>
        <w:t>C)</w:t>
      </w:r>
      <w:r w:rsidR="006817DB">
        <w:rPr>
          <w:rFonts w:cstheme="minorHAnsi"/>
          <w:b w:val="0"/>
          <w:bCs w:val="0"/>
          <w:sz w:val="22"/>
          <w:szCs w:val="22"/>
        </w:rPr>
        <w:t xml:space="preserve"> Predicted prevalence over tim</w:t>
      </w:r>
      <w:r w:rsidR="001405DE">
        <w:rPr>
          <w:rFonts w:cstheme="minorHAnsi"/>
          <w:b w:val="0"/>
          <w:bCs w:val="0"/>
          <w:sz w:val="22"/>
          <w:szCs w:val="22"/>
        </w:rPr>
        <w:t xml:space="preserve">e by annual EIR. </w:t>
      </w:r>
      <w:r w:rsidR="00516E14">
        <w:rPr>
          <w:rFonts w:cstheme="minorHAnsi"/>
          <w:sz w:val="22"/>
          <w:szCs w:val="22"/>
        </w:rPr>
        <w:t xml:space="preserve"> </w:t>
      </w:r>
    </w:p>
    <w:p w14:paraId="39E1D362" w14:textId="77777777" w:rsidR="00095A0E" w:rsidRPr="0092700B" w:rsidRDefault="00095A0E" w:rsidP="0092700B">
      <w:pPr>
        <w:rPr>
          <w:rFonts w:cstheme="minorHAnsi"/>
        </w:rPr>
      </w:pPr>
    </w:p>
    <w:p w14:paraId="277724E7" w14:textId="77777777" w:rsidR="00082D56" w:rsidRPr="0092700B" w:rsidRDefault="00082D56">
      <w:pPr>
        <w:spacing w:after="200"/>
        <w:rPr>
          <w:rFonts w:eastAsiaTheme="majorEastAsia" w:cstheme="minorHAnsi"/>
          <w:b/>
          <w:bCs/>
          <w:sz w:val="28"/>
          <w:szCs w:val="28"/>
        </w:rPr>
      </w:pPr>
      <w:r w:rsidRPr="0092700B">
        <w:rPr>
          <w:rFonts w:cstheme="minorHAnsi"/>
        </w:rPr>
        <w:br w:type="page"/>
      </w:r>
    </w:p>
    <w:p w14:paraId="5E3696ED" w14:textId="5FA1A82C" w:rsidR="00A71CBE" w:rsidRPr="0092700B" w:rsidRDefault="00A71CBE">
      <w:pPr>
        <w:pStyle w:val="Heading1"/>
        <w:rPr>
          <w:rFonts w:cstheme="minorHAnsi"/>
        </w:rPr>
      </w:pPr>
      <w:bookmarkStart w:id="1" w:name="_Toc72130093"/>
      <w:r w:rsidRPr="0092700B">
        <w:rPr>
          <w:rFonts w:cstheme="minorHAnsi"/>
        </w:rPr>
        <w:t>Larviciding in absence of seasonality</w:t>
      </w:r>
      <w:bookmarkEnd w:id="1"/>
    </w:p>
    <w:p w14:paraId="57BD7866" w14:textId="77777777" w:rsidR="00D97637" w:rsidRPr="0092700B" w:rsidRDefault="00D97637">
      <w:pPr>
        <w:rPr>
          <w:rFonts w:cstheme="minorHAnsi"/>
        </w:rPr>
      </w:pPr>
    </w:p>
    <w:p w14:paraId="20CF84A4" w14:textId="034BC868" w:rsidR="00095A0E" w:rsidRPr="0092700B" w:rsidRDefault="00E76919">
      <w:pPr>
        <w:pStyle w:val="Heading2"/>
        <w:spacing w:line="360" w:lineRule="auto"/>
        <w:rPr>
          <w:rFonts w:cstheme="minorHAnsi"/>
          <w:sz w:val="22"/>
          <w:szCs w:val="32"/>
        </w:rPr>
      </w:pPr>
      <w:bookmarkStart w:id="2" w:name="_Toc72130094"/>
      <w:r w:rsidRPr="0092700B">
        <w:rPr>
          <w:rFonts w:cstheme="minorHAnsi"/>
          <w:sz w:val="22"/>
          <w:szCs w:val="32"/>
        </w:rPr>
        <w:t xml:space="preserve">Influence of </w:t>
      </w:r>
      <w:r w:rsidR="00A0334F" w:rsidRPr="0092700B">
        <w:rPr>
          <w:rFonts w:cstheme="minorHAnsi"/>
          <w:sz w:val="22"/>
          <w:szCs w:val="32"/>
        </w:rPr>
        <w:t xml:space="preserve">mosquito density-dependence </w:t>
      </w:r>
      <w:r w:rsidRPr="0092700B">
        <w:rPr>
          <w:rFonts w:cstheme="minorHAnsi"/>
          <w:sz w:val="22"/>
          <w:szCs w:val="32"/>
        </w:rPr>
        <w:t>parameters</w:t>
      </w:r>
      <w:bookmarkEnd w:id="2"/>
      <w:r w:rsidRPr="0092700B">
        <w:rPr>
          <w:rFonts w:cstheme="minorHAnsi"/>
          <w:sz w:val="22"/>
          <w:szCs w:val="32"/>
        </w:rPr>
        <w:t xml:space="preserve"> </w:t>
      </w:r>
    </w:p>
    <w:p w14:paraId="6B87D1F5" w14:textId="0F8556DE" w:rsidR="00535146" w:rsidRPr="0092700B" w:rsidRDefault="0092700B" w:rsidP="0092700B">
      <w:pPr>
        <w:spacing w:line="360" w:lineRule="auto"/>
        <w:rPr>
          <w:rFonts w:cstheme="minorHAnsi"/>
        </w:rPr>
      </w:pPr>
      <w:r>
        <w:rPr>
          <w:rFonts w:cstheme="minorHAnsi"/>
        </w:rPr>
        <w:t>Larviciding was simulated at fours coverage levels (20%, 40%, 80%,100%) that stayed constant for 60 days. In addition, t</w:t>
      </w:r>
      <w:r w:rsidR="000A7A58" w:rsidRPr="0092700B">
        <w:rPr>
          <w:rFonts w:cstheme="minorHAnsi"/>
        </w:rPr>
        <w:t xml:space="preserve">hree parameters that describe the </w:t>
      </w:r>
      <w:r w:rsidR="00A0334F" w:rsidRPr="0092700B">
        <w:rPr>
          <w:rFonts w:cstheme="minorHAnsi"/>
        </w:rPr>
        <w:t xml:space="preserve">mosquito density-dependence </w:t>
      </w:r>
      <w:r w:rsidR="000A7A58" w:rsidRPr="0092700B">
        <w:rPr>
          <w:rFonts w:cstheme="minorHAnsi"/>
          <w:szCs w:val="32"/>
        </w:rPr>
        <w:t xml:space="preserve">were </w:t>
      </w:r>
      <w:r>
        <w:rPr>
          <w:rFonts w:cstheme="minorHAnsi"/>
          <w:szCs w:val="32"/>
        </w:rPr>
        <w:t>varied</w:t>
      </w:r>
      <w:r w:rsidR="000A7A58" w:rsidRPr="0092700B">
        <w:rPr>
          <w:rFonts w:cstheme="minorHAnsi"/>
          <w:szCs w:val="32"/>
          <w:lang w:val="en-US"/>
        </w:rPr>
        <w:t xml:space="preserve">, the </w:t>
      </w:r>
      <w:bookmarkStart w:id="3" w:name="_Hlk71201165"/>
      <w:r w:rsidR="000A7A58" w:rsidRPr="0092700B">
        <w:rPr>
          <w:rFonts w:cstheme="minorHAnsi"/>
        </w:rPr>
        <w:t xml:space="preserve">survival probability, the number of eggs laid and the </w:t>
      </w:r>
      <w:r w:rsidR="00DB4576" w:rsidRPr="0092700B">
        <w:rPr>
          <w:rFonts w:cstheme="minorHAnsi"/>
        </w:rPr>
        <w:t>development duration</w:t>
      </w:r>
      <w:bookmarkEnd w:id="3"/>
      <w:r w:rsidR="00DB4576" w:rsidRPr="0092700B">
        <w:rPr>
          <w:rFonts w:cstheme="minorHAnsi"/>
        </w:rPr>
        <w:t>. The</w:t>
      </w:r>
      <w:r w:rsidR="00535146" w:rsidRPr="0092700B">
        <w:rPr>
          <w:rFonts w:cstheme="minorHAnsi"/>
        </w:rPr>
        <w:t xml:space="preserve"> </w:t>
      </w:r>
      <w:r w:rsidR="000D2D54" w:rsidRPr="0092700B">
        <w:rPr>
          <w:rFonts w:cstheme="minorHAnsi"/>
        </w:rPr>
        <w:t xml:space="preserve">range </w:t>
      </w:r>
      <w:r w:rsidR="00DB4576" w:rsidRPr="0092700B">
        <w:rPr>
          <w:rFonts w:cstheme="minorHAnsi"/>
        </w:rPr>
        <w:t xml:space="preserve">for the </w:t>
      </w:r>
      <w:r w:rsidR="00535146" w:rsidRPr="0092700B">
        <w:rPr>
          <w:rFonts w:cstheme="minorHAnsi"/>
        </w:rPr>
        <w:t>survival probability</w:t>
      </w:r>
      <w:r w:rsidR="00DB4576" w:rsidRPr="0092700B">
        <w:rPr>
          <w:rFonts w:cstheme="minorHAnsi"/>
        </w:rPr>
        <w:t xml:space="preserve"> were selected to explore the whole range </w:t>
      </w:r>
      <w:r w:rsidR="000D2D54" w:rsidRPr="0092700B">
        <w:rPr>
          <w:rFonts w:cstheme="minorHAnsi"/>
        </w:rPr>
        <w:t xml:space="preserve">regardless </w:t>
      </w:r>
      <w:r w:rsidR="00535146" w:rsidRPr="0092700B">
        <w:rPr>
          <w:rFonts w:cstheme="minorHAnsi"/>
        </w:rPr>
        <w:t xml:space="preserve">of biological feasibility </w:t>
      </w:r>
      <w:r w:rsidR="00DB4576" w:rsidRPr="0092700B">
        <w:rPr>
          <w:rFonts w:cstheme="minorHAnsi"/>
        </w:rPr>
        <w:t>whereas</w:t>
      </w:r>
      <w:r w:rsidR="00535146" w:rsidRPr="0092700B">
        <w:rPr>
          <w:rFonts w:cstheme="minorHAnsi"/>
        </w:rPr>
        <w:t xml:space="preserve"> for the other two parameters the values were selected based on biological reported development durations for </w:t>
      </w:r>
      <w:r w:rsidR="00535146" w:rsidRPr="0092700B">
        <w:rPr>
          <w:rFonts w:cstheme="minorHAnsi"/>
          <w:i/>
          <w:iCs/>
        </w:rPr>
        <w:t>Anopheles</w:t>
      </w:r>
      <w:r w:rsidR="00535146" w:rsidRPr="0092700B">
        <w:rPr>
          <w:rFonts w:cstheme="minorHAnsi"/>
        </w:rPr>
        <w:t xml:space="preserve"> mosquitoes</w:t>
      </w:r>
      <w:r w:rsidR="00535146" w:rsidRPr="0092700B">
        <w:rPr>
          <w:rStyle w:val="FootnoteReference"/>
          <w:rFonts w:cstheme="minorHAnsi"/>
        </w:rPr>
        <w:footnoteReference w:id="2"/>
      </w:r>
      <w:r w:rsidR="00535146" w:rsidRPr="0092700B">
        <w:rPr>
          <w:rFonts w:cstheme="minorHAnsi"/>
        </w:rPr>
        <w:fldChar w:fldCharType="begin"/>
      </w:r>
      <w:r w:rsidR="00535146" w:rsidRPr="0092700B">
        <w:rPr>
          <w:rFonts w:cstheme="minorHAnsi"/>
        </w:rPr>
        <w:instrText xml:space="preserve"> ADDIN ZOTERO_TEMP </w:instrText>
      </w:r>
      <w:r w:rsidR="00535146" w:rsidRPr="0092700B">
        <w:rPr>
          <w:rFonts w:cstheme="minorHAnsi"/>
        </w:rPr>
        <w:fldChar w:fldCharType="end"/>
      </w:r>
      <w:r w:rsidR="00535146" w:rsidRPr="0092700B">
        <w:rPr>
          <w:rFonts w:cstheme="minorHAnsi"/>
        </w:rPr>
        <w:fldChar w:fldCharType="begin"/>
      </w:r>
      <w:r w:rsidR="00535146" w:rsidRPr="0092700B">
        <w:rPr>
          <w:rFonts w:cstheme="minorHAnsi"/>
        </w:rPr>
        <w:instrText xml:space="preserve"> ADDIN ZOTERO_ITEM CSL_CITATION {"citationID":"h5PE9vFD","properties":{"formattedCitation":"[1]","plainCitation":"[1]","noteIndex":0},"citationItems":[{"id":4948,"uris":["http://zotero.org/users/3516901/items/XDTBQRTT"],"uri":["http://zotero.org/users/3516901/items/XDTBQRTT"],"itemData":{"id":4948,"type":"book","call-number":"RA639.5 .S47 2012","edition":"5th ed","event-place":"Cambridge","ISBN":"978-1-107-66818-8","language":"en","number-of-pages":"303","publisher":"Cambridge University Press","publisher-place":"Cambridge","source":"Library of Congress ISBN","title":"Medical entomology for students","author":[{"family":"Service","given":"M. W."}],"issued":{"date-parts":[["2012"]]}}}],"schema":"https://github.com/citation-style-language/schema/raw/master/csl-citation.json"} </w:instrText>
      </w:r>
      <w:r w:rsidR="00535146" w:rsidRPr="0092700B">
        <w:rPr>
          <w:rFonts w:cstheme="minorHAnsi"/>
        </w:rPr>
        <w:fldChar w:fldCharType="end"/>
      </w:r>
      <w:r w:rsidR="00535146" w:rsidRPr="0092700B">
        <w:rPr>
          <w:rFonts w:cstheme="minorHAnsi"/>
        </w:rPr>
        <w:t xml:space="preserve">. </w:t>
      </w:r>
      <w:r>
        <w:rPr>
          <w:rFonts w:cstheme="minorHAnsi"/>
        </w:rPr>
        <w:t>The model operates on a five day timestep.</w:t>
      </w:r>
    </w:p>
    <w:p w14:paraId="5A5F226A" w14:textId="2E13BF0A" w:rsidR="00E76919" w:rsidRPr="0092700B" w:rsidRDefault="00D97637" w:rsidP="0092700B">
      <w:pPr>
        <w:spacing w:line="360" w:lineRule="auto"/>
        <w:rPr>
          <w:rFonts w:cstheme="minorHAnsi"/>
        </w:rPr>
      </w:pPr>
      <w:r w:rsidRPr="0092700B">
        <w:rPr>
          <w:rFonts w:cstheme="minorHAnsi"/>
        </w:rPr>
        <w:t>On average, t</w:t>
      </w:r>
      <w:r w:rsidR="00E76919" w:rsidRPr="0092700B">
        <w:rPr>
          <w:rFonts w:cstheme="minorHAnsi"/>
        </w:rPr>
        <w:t xml:space="preserve">he reduction in emerging </w:t>
      </w:r>
      <w:r w:rsidRPr="0092700B">
        <w:rPr>
          <w:rFonts w:cstheme="minorHAnsi"/>
        </w:rPr>
        <w:t xml:space="preserve">adult </w:t>
      </w:r>
      <w:r w:rsidR="00E76919" w:rsidRPr="0092700B">
        <w:rPr>
          <w:rFonts w:cstheme="minorHAnsi"/>
        </w:rPr>
        <w:t xml:space="preserve">mosquitoes per population </w:t>
      </w:r>
      <w:r w:rsidR="00DB4576" w:rsidRPr="0092700B">
        <w:rPr>
          <w:rFonts w:cstheme="minorHAnsi"/>
        </w:rPr>
        <w:t xml:space="preserve">over time corresponded to the </w:t>
      </w:r>
      <w:r w:rsidR="00E76919" w:rsidRPr="0092700B">
        <w:rPr>
          <w:rFonts w:cstheme="minorHAnsi"/>
        </w:rPr>
        <w:t>larviciding coverage</w:t>
      </w:r>
      <w:r w:rsidRPr="0092700B">
        <w:rPr>
          <w:rFonts w:cstheme="minorHAnsi"/>
        </w:rPr>
        <w:t>,</w:t>
      </w:r>
      <w:r w:rsidR="00E76919" w:rsidRPr="0092700B">
        <w:rPr>
          <w:rFonts w:cstheme="minorHAnsi"/>
        </w:rPr>
        <w:t xml:space="preserve"> </w:t>
      </w:r>
      <w:r w:rsidR="00DB4576" w:rsidRPr="0092700B">
        <w:rPr>
          <w:rFonts w:cstheme="minorHAnsi"/>
        </w:rPr>
        <w:t xml:space="preserve">with small variations </w:t>
      </w:r>
      <w:r w:rsidR="00E76919" w:rsidRPr="0092700B">
        <w:rPr>
          <w:rFonts w:cstheme="minorHAnsi"/>
        </w:rPr>
        <w:t xml:space="preserve">depending on the </w:t>
      </w:r>
      <w:r w:rsidR="00A0334F" w:rsidRPr="0092700B">
        <w:rPr>
          <w:rFonts w:cstheme="minorHAnsi"/>
        </w:rPr>
        <w:t xml:space="preserve">mosquito density-dependence </w:t>
      </w:r>
      <w:r w:rsidR="00E76919" w:rsidRPr="0092700B">
        <w:rPr>
          <w:rFonts w:cstheme="minorHAnsi"/>
        </w:rPr>
        <w:t xml:space="preserve">parameters. At low coverages (&lt;40%), the initial reduction in emergence was lower for </w:t>
      </w:r>
      <w:r w:rsidR="00A0334F" w:rsidRPr="0092700B">
        <w:rPr>
          <w:rFonts w:cstheme="minorHAnsi"/>
        </w:rPr>
        <w:t>specific mosquito density-dependence parameter</w:t>
      </w:r>
      <w:r w:rsidR="00A0334F" w:rsidRPr="0092700B" w:rsidDel="00A0334F">
        <w:rPr>
          <w:rFonts w:cstheme="minorHAnsi"/>
        </w:rPr>
        <w:t xml:space="preserve"> </w:t>
      </w:r>
      <w:r w:rsidR="00E76919" w:rsidRPr="0092700B">
        <w:rPr>
          <w:rFonts w:cstheme="minorHAnsi"/>
        </w:rPr>
        <w:t>combinations</w:t>
      </w:r>
      <w:r w:rsidR="00535146" w:rsidRPr="0092700B">
        <w:rPr>
          <w:rFonts w:cstheme="minorHAnsi"/>
        </w:rPr>
        <w:t>, while the emergence reduction increased over time at</w:t>
      </w:r>
      <w:r w:rsidR="00E76919" w:rsidRPr="0092700B">
        <w:rPr>
          <w:rFonts w:cstheme="minorHAnsi"/>
        </w:rPr>
        <w:t xml:space="preserve"> high coverage (&gt;80%). </w:t>
      </w:r>
      <w:r w:rsidR="00DB4576" w:rsidRPr="0092700B">
        <w:rPr>
          <w:rFonts w:cstheme="minorHAnsi"/>
        </w:rPr>
        <w:t xml:space="preserve">At high coverage, some combinations of the </w:t>
      </w:r>
      <w:r w:rsidR="00A0334F" w:rsidRPr="0092700B">
        <w:rPr>
          <w:rFonts w:cstheme="minorHAnsi"/>
        </w:rPr>
        <w:t>mosquito density-dependence parameters</w:t>
      </w:r>
      <w:r w:rsidR="00A0334F" w:rsidRPr="0092700B" w:rsidDel="00A0334F">
        <w:rPr>
          <w:rFonts w:cstheme="minorHAnsi"/>
        </w:rPr>
        <w:t xml:space="preserve"> </w:t>
      </w:r>
      <w:r w:rsidR="00DB4576" w:rsidRPr="0092700B">
        <w:rPr>
          <w:rFonts w:cstheme="minorHAnsi"/>
        </w:rPr>
        <w:t>prolonged t</w:t>
      </w:r>
      <w:r w:rsidR="00E76919" w:rsidRPr="0092700B">
        <w:rPr>
          <w:rFonts w:cstheme="minorHAnsi"/>
        </w:rPr>
        <w:t>he reestablishment of the vector population over time</w:t>
      </w:r>
      <w:r w:rsidR="00DB4576" w:rsidRPr="0092700B">
        <w:rPr>
          <w:rFonts w:cstheme="minorHAnsi"/>
        </w:rPr>
        <w:t>.</w:t>
      </w:r>
      <w:r w:rsidR="00E76919" w:rsidRPr="0092700B">
        <w:rPr>
          <w:rFonts w:cstheme="minorHAnsi"/>
        </w:rPr>
        <w:t xml:space="preserve"> </w:t>
      </w:r>
      <w:r w:rsidR="000D2D54" w:rsidRPr="0092700B">
        <w:rPr>
          <w:rFonts w:cstheme="minorHAnsi"/>
        </w:rPr>
        <w:t xml:space="preserve">The </w:t>
      </w:r>
      <w:r w:rsidR="00DB4576" w:rsidRPr="0092700B">
        <w:rPr>
          <w:rFonts w:cstheme="minorHAnsi"/>
        </w:rPr>
        <w:t xml:space="preserve">parameters </w:t>
      </w:r>
      <w:r w:rsidR="00F72B66" w:rsidRPr="0092700B">
        <w:rPr>
          <w:rFonts w:cstheme="minorHAnsi"/>
        </w:rPr>
        <w:t xml:space="preserve">affected </w:t>
      </w:r>
      <w:r w:rsidR="00DB4576" w:rsidRPr="0092700B">
        <w:rPr>
          <w:rFonts w:cstheme="minorHAnsi"/>
        </w:rPr>
        <w:t>the rate at which the mosquito population reestablished</w:t>
      </w:r>
      <w:r w:rsidR="00F72B66" w:rsidRPr="0092700B">
        <w:rPr>
          <w:rFonts w:cstheme="minorHAnsi"/>
        </w:rPr>
        <w:t xml:space="preserve"> especially when the population was completely depleted (100% coverage), whith slower reestablishment when the survival probability and numbers of female eggs laid per oviposting were low.The</w:t>
      </w:r>
      <w:r w:rsidR="00DB4576" w:rsidRPr="0092700B">
        <w:rPr>
          <w:rFonts w:cstheme="minorHAnsi"/>
        </w:rPr>
        <w:t xml:space="preserve"> level to which the mosquito population reestablished was </w:t>
      </w:r>
      <w:r w:rsidR="000D2D54" w:rsidRPr="0092700B">
        <w:rPr>
          <w:rFonts w:cstheme="minorHAnsi"/>
        </w:rPr>
        <w:t>similar to the pre-larviciding level</w:t>
      </w:r>
      <w:r w:rsidR="00DB4576" w:rsidRPr="0092700B">
        <w:rPr>
          <w:rFonts w:cstheme="minorHAnsi"/>
        </w:rPr>
        <w:t>with few exceptions</w:t>
      </w:r>
      <w:r w:rsidR="00F72B66" w:rsidRPr="0092700B">
        <w:rPr>
          <w:rFonts w:cstheme="minorHAnsi"/>
        </w:rPr>
        <w:t xml:space="preserve"> when the re-establishment rate was slower</w:t>
      </w:r>
      <w:r w:rsidR="00DB4576" w:rsidRPr="0092700B">
        <w:rPr>
          <w:rFonts w:cstheme="minorHAnsi"/>
        </w:rPr>
        <w:t xml:space="preserve"> </w:t>
      </w:r>
      <w:r w:rsidR="00E76919" w:rsidRPr="0092700B">
        <w:rPr>
          <w:rFonts w:cstheme="minorHAnsi"/>
        </w:rPr>
        <w:t>(Fig</w:t>
      </w:r>
      <w:r w:rsidR="00561894" w:rsidRPr="0092700B">
        <w:rPr>
          <w:rFonts w:cstheme="minorHAnsi"/>
        </w:rPr>
        <w:t>.</w:t>
      </w:r>
      <w:r w:rsidR="00E76919" w:rsidRPr="0092700B">
        <w:rPr>
          <w:rFonts w:cstheme="minorHAnsi"/>
        </w:rPr>
        <w:t xml:space="preserve"> </w:t>
      </w:r>
      <w:r w:rsidR="00CD2D15">
        <w:rPr>
          <w:rFonts w:cstheme="minorHAnsi"/>
        </w:rPr>
        <w:t>S</w:t>
      </w:r>
      <w:r w:rsidR="002F009D" w:rsidRPr="0092700B">
        <w:rPr>
          <w:rFonts w:cstheme="minorHAnsi"/>
        </w:rPr>
        <w:t>2.</w:t>
      </w:r>
      <w:r w:rsidR="00E76919" w:rsidRPr="0092700B">
        <w:rPr>
          <w:rFonts w:cstheme="minorHAnsi"/>
        </w:rPr>
        <w:t xml:space="preserve">2). </w:t>
      </w:r>
    </w:p>
    <w:p w14:paraId="468B52C7" w14:textId="53515CA7" w:rsidR="00E76919" w:rsidRPr="0092700B" w:rsidRDefault="00DB4576" w:rsidP="0092700B">
      <w:pPr>
        <w:spacing w:line="360" w:lineRule="auto"/>
        <w:rPr>
          <w:rFonts w:cstheme="minorHAnsi"/>
        </w:rPr>
      </w:pPr>
      <w:r w:rsidRPr="0092700B">
        <w:rPr>
          <w:rFonts w:cstheme="minorHAnsi"/>
        </w:rPr>
        <w:t xml:space="preserve">The survival probability was predicted to have the strongest impact on the reestablishment rate and the development durations was predicted to have the lowest impact on the reestablishment rate. </w:t>
      </w:r>
      <w:r w:rsidR="00535146" w:rsidRPr="0092700B">
        <w:rPr>
          <w:rFonts w:cstheme="minorHAnsi"/>
        </w:rPr>
        <w:t>When a</w:t>
      </w:r>
      <w:r w:rsidR="00E76919" w:rsidRPr="0092700B">
        <w:rPr>
          <w:rFonts w:cstheme="minorHAnsi"/>
        </w:rPr>
        <w:t xml:space="preserve">ssessing each parameter separately, </w:t>
      </w:r>
      <w:r w:rsidR="00535146" w:rsidRPr="0092700B">
        <w:rPr>
          <w:rFonts w:cstheme="minorHAnsi"/>
        </w:rPr>
        <w:t>they did not change the</w:t>
      </w:r>
      <w:r w:rsidR="00E76919" w:rsidRPr="0092700B">
        <w:rPr>
          <w:rFonts w:cstheme="minorHAnsi"/>
        </w:rPr>
        <w:t xml:space="preserve"> mean predictions</w:t>
      </w:r>
      <w:r w:rsidR="00535146" w:rsidRPr="0092700B">
        <w:rPr>
          <w:rFonts w:cstheme="minorHAnsi"/>
        </w:rPr>
        <w:t xml:space="preserve"> substantially</w:t>
      </w:r>
      <w:r w:rsidR="00E76919" w:rsidRPr="0092700B">
        <w:rPr>
          <w:rFonts w:cstheme="minorHAnsi"/>
        </w:rPr>
        <w:t xml:space="preserve">, except for </w:t>
      </w:r>
      <w:r w:rsidR="00535146" w:rsidRPr="0092700B">
        <w:rPr>
          <w:rFonts w:cstheme="minorHAnsi"/>
        </w:rPr>
        <w:t xml:space="preserve">the very </w:t>
      </w:r>
      <w:r w:rsidR="00E76919" w:rsidRPr="0092700B">
        <w:rPr>
          <w:rFonts w:cstheme="minorHAnsi"/>
        </w:rPr>
        <w:t>low survival probability of 0.1%</w:t>
      </w:r>
      <w:r w:rsidR="00535146" w:rsidRPr="0092700B">
        <w:rPr>
          <w:rFonts w:cstheme="minorHAnsi"/>
        </w:rPr>
        <w:t xml:space="preserve">, </w:t>
      </w:r>
      <w:r w:rsidRPr="0092700B">
        <w:rPr>
          <w:rFonts w:cstheme="minorHAnsi"/>
        </w:rPr>
        <w:t>with</w:t>
      </w:r>
      <w:r w:rsidR="00535146" w:rsidRPr="0092700B">
        <w:rPr>
          <w:rFonts w:cstheme="minorHAnsi"/>
        </w:rPr>
        <w:t xml:space="preserve"> </w:t>
      </w:r>
      <w:r w:rsidR="00E76919" w:rsidRPr="0092700B">
        <w:rPr>
          <w:rFonts w:cstheme="minorHAnsi"/>
        </w:rPr>
        <w:t xml:space="preserve">wide </w:t>
      </w:r>
      <w:r w:rsidRPr="0092700B">
        <w:rPr>
          <w:rFonts w:cstheme="minorHAnsi"/>
        </w:rPr>
        <w:t>ranges in the predictions</w:t>
      </w:r>
      <w:r w:rsidR="00535146" w:rsidRPr="0092700B">
        <w:rPr>
          <w:rFonts w:cstheme="minorHAnsi"/>
        </w:rPr>
        <w:t xml:space="preserve"> </w:t>
      </w:r>
      <w:r w:rsidRPr="0092700B">
        <w:rPr>
          <w:rFonts w:cstheme="minorHAnsi"/>
        </w:rPr>
        <w:t xml:space="preserve">suggesting </w:t>
      </w:r>
      <w:r w:rsidR="00535146" w:rsidRPr="0092700B">
        <w:rPr>
          <w:rFonts w:cstheme="minorHAnsi"/>
        </w:rPr>
        <w:t xml:space="preserve">high </w:t>
      </w:r>
      <w:r w:rsidR="00E76919" w:rsidRPr="0092700B">
        <w:rPr>
          <w:rFonts w:cstheme="minorHAnsi"/>
        </w:rPr>
        <w:t xml:space="preserve">interaction </w:t>
      </w:r>
      <w:r w:rsidR="00535146" w:rsidRPr="0092700B">
        <w:rPr>
          <w:rFonts w:cstheme="minorHAnsi"/>
        </w:rPr>
        <w:t>among the</w:t>
      </w:r>
      <w:r w:rsidR="00E76919" w:rsidRPr="0092700B">
        <w:rPr>
          <w:rFonts w:cstheme="minorHAnsi"/>
        </w:rPr>
        <w:t xml:space="preserve"> parameters (Fig</w:t>
      </w:r>
      <w:r w:rsidR="00561894" w:rsidRPr="0092700B">
        <w:rPr>
          <w:rFonts w:cstheme="minorHAnsi"/>
        </w:rPr>
        <w:t>.</w:t>
      </w:r>
      <w:r w:rsidR="00E76919" w:rsidRPr="0092700B">
        <w:rPr>
          <w:rFonts w:cstheme="minorHAnsi"/>
        </w:rPr>
        <w:t xml:space="preserve"> </w:t>
      </w:r>
      <w:r w:rsidR="00CD2D15">
        <w:rPr>
          <w:rFonts w:cstheme="minorHAnsi"/>
        </w:rPr>
        <w:t>S</w:t>
      </w:r>
      <w:r w:rsidR="002F009D" w:rsidRPr="0092700B">
        <w:rPr>
          <w:rFonts w:cstheme="minorHAnsi"/>
        </w:rPr>
        <w:t>2.</w:t>
      </w:r>
      <w:r w:rsidR="00E76919" w:rsidRPr="0092700B">
        <w:rPr>
          <w:rFonts w:cstheme="minorHAnsi"/>
        </w:rPr>
        <w:t xml:space="preserve">3). </w:t>
      </w:r>
    </w:p>
    <w:p w14:paraId="035476D3" w14:textId="77777777" w:rsidR="00E76919" w:rsidRPr="0092700B" w:rsidRDefault="00E76919">
      <w:pPr>
        <w:rPr>
          <w:rFonts w:eastAsiaTheme="majorEastAsia" w:cstheme="minorHAnsi"/>
          <w:bCs/>
        </w:rPr>
      </w:pPr>
    </w:p>
    <w:p w14:paraId="76943694" w14:textId="77777777" w:rsidR="002E1B59" w:rsidRPr="0092700B" w:rsidRDefault="002E1B59" w:rsidP="0092700B">
      <w:pPr>
        <w:keepNext/>
        <w:rPr>
          <w:rFonts w:cstheme="minorHAnsi"/>
        </w:rPr>
      </w:pPr>
      <w:r w:rsidRPr="0092700B">
        <w:rPr>
          <w:rFonts w:eastAsiaTheme="majorEastAsia" w:cstheme="minorHAnsi"/>
          <w:bCs/>
          <w:noProof/>
          <w:sz w:val="28"/>
          <w:szCs w:val="28"/>
          <w:lang w:val="en-IN" w:eastAsia="en-IN"/>
        </w:rPr>
        <w:drawing>
          <wp:inline distT="0" distB="0" distL="0" distR="0" wp14:anchorId="1D439D1F" wp14:editId="38227410">
            <wp:extent cx="5838552" cy="2404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839361" cy="2404443"/>
                    </a:xfrm>
                    <a:prstGeom prst="rect">
                      <a:avLst/>
                    </a:prstGeom>
                    <a:noFill/>
                    <a:ln>
                      <a:noFill/>
                    </a:ln>
                    <a:extLst>
                      <a:ext uri="{53640926-AAD7-44D8-BBD7-CCE9431645EC}">
                        <a14:shadowObscured xmlns:a14="http://schemas.microsoft.com/office/drawing/2010/main"/>
                      </a:ext>
                    </a:extLst>
                  </pic:spPr>
                </pic:pic>
              </a:graphicData>
            </a:graphic>
          </wp:inline>
        </w:drawing>
      </w:r>
    </w:p>
    <w:p w14:paraId="2EFEC321" w14:textId="39E9A6A1" w:rsidR="0071219F" w:rsidRPr="0092700B" w:rsidRDefault="0076373F">
      <w:pPr>
        <w:pStyle w:val="Caption"/>
        <w:spacing w:line="240" w:lineRule="auto"/>
        <w:rPr>
          <w:rFonts w:cstheme="minorHAnsi"/>
          <w:sz w:val="22"/>
          <w:szCs w:val="22"/>
        </w:rPr>
      </w:pPr>
      <w:r w:rsidRPr="0092700B">
        <w:rPr>
          <w:rFonts w:cstheme="minorHAnsi"/>
          <w:sz w:val="22"/>
          <w:szCs w:val="22"/>
        </w:rPr>
        <w:t>Fig</w:t>
      </w:r>
      <w:r w:rsidR="00561894" w:rsidRPr="0092700B">
        <w:rPr>
          <w:rFonts w:cstheme="minorHAnsi"/>
          <w:sz w:val="22"/>
          <w:szCs w:val="22"/>
        </w:rPr>
        <w:t>.</w:t>
      </w:r>
      <w:r w:rsidR="00E76919" w:rsidRPr="0092700B">
        <w:rPr>
          <w:rFonts w:cstheme="minorHAnsi"/>
          <w:sz w:val="22"/>
          <w:szCs w:val="22"/>
        </w:rPr>
        <w:t xml:space="preserve"> </w:t>
      </w:r>
      <w:r w:rsidR="00CD2D15">
        <w:rPr>
          <w:rFonts w:cstheme="minorHAnsi"/>
          <w:sz w:val="22"/>
          <w:szCs w:val="22"/>
        </w:rPr>
        <w:t>S</w:t>
      </w:r>
      <w:r w:rsidR="002F009D" w:rsidRPr="0092700B">
        <w:rPr>
          <w:rFonts w:cstheme="minorHAnsi"/>
          <w:sz w:val="22"/>
          <w:szCs w:val="22"/>
        </w:rPr>
        <w:t>2.</w:t>
      </w:r>
      <w:r w:rsidR="00FB4231" w:rsidRPr="0092700B">
        <w:rPr>
          <w:rFonts w:cstheme="minorHAnsi"/>
          <w:sz w:val="22"/>
          <w:szCs w:val="22"/>
        </w:rPr>
        <w:fldChar w:fldCharType="begin"/>
      </w:r>
      <w:r w:rsidR="00FB4231" w:rsidRPr="0092700B">
        <w:rPr>
          <w:rFonts w:cstheme="minorHAnsi"/>
          <w:sz w:val="22"/>
          <w:szCs w:val="22"/>
        </w:rPr>
        <w:instrText xml:space="preserve"> SEQ SI-5. \* ARABIC </w:instrText>
      </w:r>
      <w:r w:rsidR="00FB4231" w:rsidRPr="0092700B">
        <w:rPr>
          <w:rFonts w:cstheme="minorHAnsi"/>
          <w:sz w:val="22"/>
          <w:szCs w:val="22"/>
        </w:rPr>
        <w:fldChar w:fldCharType="separate"/>
      </w:r>
      <w:r w:rsidR="008E3B50" w:rsidRPr="0092700B">
        <w:rPr>
          <w:rFonts w:cstheme="minorHAnsi"/>
          <w:noProof/>
          <w:sz w:val="22"/>
          <w:szCs w:val="22"/>
        </w:rPr>
        <w:t>2</w:t>
      </w:r>
      <w:r w:rsidR="00FB4231" w:rsidRPr="0092700B">
        <w:rPr>
          <w:rFonts w:cstheme="minorHAnsi"/>
          <w:sz w:val="22"/>
          <w:szCs w:val="22"/>
        </w:rPr>
        <w:fldChar w:fldCharType="end"/>
      </w:r>
      <w:r w:rsidR="004A5CF9" w:rsidRPr="0092700B">
        <w:rPr>
          <w:rFonts w:cstheme="minorHAnsi"/>
          <w:sz w:val="22"/>
          <w:szCs w:val="22"/>
        </w:rPr>
        <w:t>:</w:t>
      </w:r>
      <w:r w:rsidR="004A5CF9" w:rsidRPr="0092700B">
        <w:rPr>
          <w:rFonts w:cstheme="minorHAnsi"/>
          <w:noProof/>
          <w:sz w:val="22"/>
          <w:szCs w:val="22"/>
        </w:rPr>
        <w:t xml:space="preserve"> </w:t>
      </w:r>
      <w:r w:rsidR="002F009D" w:rsidRPr="0092700B">
        <w:rPr>
          <w:rFonts w:cstheme="minorHAnsi"/>
          <w:noProof/>
          <w:sz w:val="22"/>
          <w:szCs w:val="22"/>
        </w:rPr>
        <w:t xml:space="preserve">Simulated </w:t>
      </w:r>
      <w:r w:rsidR="002F009D" w:rsidRPr="0092700B">
        <w:rPr>
          <w:rStyle w:val="Heading2Char"/>
          <w:rFonts w:cstheme="minorHAnsi"/>
          <w:b/>
          <w:sz w:val="22"/>
          <w:szCs w:val="32"/>
        </w:rPr>
        <w:t>i</w:t>
      </w:r>
      <w:r w:rsidR="001D24D6" w:rsidRPr="0092700B">
        <w:rPr>
          <w:rStyle w:val="Heading2Char"/>
          <w:rFonts w:cstheme="minorHAnsi"/>
          <w:b/>
          <w:sz w:val="22"/>
          <w:szCs w:val="32"/>
        </w:rPr>
        <w:t xml:space="preserve">mpact of </w:t>
      </w:r>
      <w:r w:rsidR="00B03EBC" w:rsidRPr="0092700B">
        <w:rPr>
          <w:rFonts w:cstheme="minorHAnsi"/>
          <w:sz w:val="22"/>
          <w:szCs w:val="22"/>
        </w:rPr>
        <w:t>constant larviciding for 60 days</w:t>
      </w:r>
      <w:r w:rsidR="00B03EBC" w:rsidRPr="0092700B" w:rsidDel="00B03EBC">
        <w:rPr>
          <w:rStyle w:val="Heading2Char"/>
          <w:rFonts w:cstheme="minorHAnsi"/>
          <w:b/>
          <w:sz w:val="22"/>
          <w:szCs w:val="32"/>
        </w:rPr>
        <w:t xml:space="preserve"> </w:t>
      </w:r>
      <w:r w:rsidR="00B03EBC" w:rsidRPr="0092700B">
        <w:rPr>
          <w:rStyle w:val="Heading2Char"/>
          <w:rFonts w:cstheme="minorHAnsi"/>
          <w:b/>
          <w:sz w:val="22"/>
          <w:szCs w:val="32"/>
        </w:rPr>
        <w:t>at four different coverage levels</w:t>
      </w:r>
      <w:r w:rsidR="00B03EBC" w:rsidRPr="0092700B" w:rsidDel="00B03EBC">
        <w:rPr>
          <w:rStyle w:val="Heading2Char"/>
          <w:rFonts w:cstheme="minorHAnsi"/>
          <w:b/>
          <w:sz w:val="22"/>
          <w:szCs w:val="32"/>
        </w:rPr>
        <w:t xml:space="preserve"> </w:t>
      </w:r>
      <w:r w:rsidR="001D24D6" w:rsidRPr="0092700B">
        <w:rPr>
          <w:rStyle w:val="Heading2Char"/>
          <w:rFonts w:cstheme="minorHAnsi"/>
          <w:b/>
          <w:sz w:val="22"/>
          <w:szCs w:val="32"/>
        </w:rPr>
        <w:t>on vector density.</w:t>
      </w:r>
      <w:r w:rsidR="001D24D6" w:rsidRPr="0092700B">
        <w:rPr>
          <w:rFonts w:cstheme="minorHAnsi"/>
          <w:sz w:val="22"/>
          <w:szCs w:val="22"/>
        </w:rPr>
        <w:t xml:space="preserve"> </w:t>
      </w:r>
    </w:p>
    <w:p w14:paraId="7E908A19" w14:textId="43E82FBE" w:rsidR="002E1B59" w:rsidRPr="0092700B" w:rsidRDefault="001D24D6">
      <w:pPr>
        <w:pStyle w:val="Caption"/>
        <w:rPr>
          <w:rFonts w:cstheme="minorHAnsi"/>
          <w:sz w:val="20"/>
          <w:szCs w:val="20"/>
        </w:rPr>
      </w:pPr>
      <w:r w:rsidRPr="0092700B">
        <w:rPr>
          <w:rFonts w:cstheme="minorHAnsi"/>
          <w:b w:val="0"/>
          <w:sz w:val="20"/>
          <w:szCs w:val="20"/>
        </w:rPr>
        <w:t xml:space="preserve">Each line </w:t>
      </w:r>
      <w:r w:rsidR="002F009D" w:rsidRPr="0092700B">
        <w:rPr>
          <w:rFonts w:cstheme="minorHAnsi"/>
          <w:b w:val="0"/>
          <w:sz w:val="20"/>
          <w:szCs w:val="20"/>
        </w:rPr>
        <w:t xml:space="preserve">corresponds to a unique set of </w:t>
      </w:r>
      <w:r w:rsidR="00A0334F" w:rsidRPr="0092700B">
        <w:rPr>
          <w:rFonts w:cstheme="minorHAnsi"/>
          <w:b w:val="0"/>
          <w:sz w:val="20"/>
          <w:szCs w:val="20"/>
        </w:rPr>
        <w:t>mosquito density-dependence parameters</w:t>
      </w:r>
      <w:r w:rsidR="00A0334F" w:rsidRPr="0092700B" w:rsidDel="00A0334F">
        <w:rPr>
          <w:rFonts w:cstheme="minorHAnsi"/>
          <w:b w:val="0"/>
          <w:sz w:val="20"/>
          <w:szCs w:val="20"/>
        </w:rPr>
        <w:t xml:space="preserve"> </w:t>
      </w:r>
      <w:r w:rsidR="00CD2D15">
        <w:rPr>
          <w:rFonts w:cstheme="minorHAnsi"/>
          <w:b w:val="0"/>
          <w:sz w:val="20"/>
          <w:szCs w:val="20"/>
        </w:rPr>
        <w:t>as shown in Fig S</w:t>
      </w:r>
      <w:r w:rsidR="002F009D" w:rsidRPr="0092700B">
        <w:rPr>
          <w:rFonts w:cstheme="minorHAnsi"/>
          <w:b w:val="0"/>
          <w:sz w:val="20"/>
          <w:szCs w:val="20"/>
        </w:rPr>
        <w:t>2.3. The figure was identical across the simulated transmission intensities (EIR 3, 10 and 90 ibpa) and this figure shows the predictions at moderate transmission intensity (EIR=10 ibpa). The corresponding emerging adult mosquito to host ratios were 0.15 per 10000 humans at 3 ibpa, 0.37 at 10 ibpa, and 2.7 at 90 ibpa</w:t>
      </w:r>
      <w:r w:rsidRPr="0092700B">
        <w:rPr>
          <w:rFonts w:cstheme="minorHAnsi"/>
          <w:b w:val="0"/>
          <w:sz w:val="20"/>
          <w:szCs w:val="20"/>
        </w:rPr>
        <w:t>.</w:t>
      </w:r>
      <w:r w:rsidR="0092700B">
        <w:rPr>
          <w:rFonts w:cstheme="minorHAnsi"/>
          <w:b w:val="0"/>
          <w:sz w:val="20"/>
          <w:szCs w:val="20"/>
        </w:rPr>
        <w:t xml:space="preserve"> The model operates at minimum timesteos of 5 days.</w:t>
      </w:r>
    </w:p>
    <w:p w14:paraId="77026968" w14:textId="15A0041A" w:rsidR="002E1B59" w:rsidRPr="0092700B" w:rsidRDefault="002E1B59" w:rsidP="0092700B">
      <w:pPr>
        <w:rPr>
          <w:rFonts w:cstheme="minorHAnsi"/>
        </w:rPr>
      </w:pPr>
    </w:p>
    <w:p w14:paraId="3292A6D4" w14:textId="77777777" w:rsidR="002E1B59" w:rsidRPr="0092700B" w:rsidRDefault="002E1B59">
      <w:pPr>
        <w:keepNext/>
        <w:rPr>
          <w:rFonts w:cstheme="minorHAnsi"/>
        </w:rPr>
      </w:pPr>
      <w:r w:rsidRPr="0092700B">
        <w:rPr>
          <w:rFonts w:cstheme="minorHAnsi"/>
          <w:noProof/>
          <w:lang w:val="en-IN" w:eastAsia="en-IN"/>
        </w:rPr>
        <w:drawing>
          <wp:inline distT="0" distB="0" distL="0" distR="0" wp14:anchorId="0BB35F44" wp14:editId="1043C910">
            <wp:extent cx="5925709" cy="39504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25709" cy="3950473"/>
                    </a:xfrm>
                    <a:prstGeom prst="rect">
                      <a:avLst/>
                    </a:prstGeom>
                    <a:noFill/>
                    <a:ln>
                      <a:noFill/>
                    </a:ln>
                  </pic:spPr>
                </pic:pic>
              </a:graphicData>
            </a:graphic>
          </wp:inline>
        </w:drawing>
      </w:r>
    </w:p>
    <w:p w14:paraId="3F16EA28" w14:textId="6981D3C3" w:rsidR="004A5CF9" w:rsidRPr="0092700B" w:rsidRDefault="0076373F">
      <w:pPr>
        <w:pStyle w:val="Caption"/>
        <w:spacing w:line="240" w:lineRule="auto"/>
        <w:rPr>
          <w:rFonts w:cstheme="minorHAnsi"/>
          <w:sz w:val="22"/>
          <w:szCs w:val="22"/>
        </w:rPr>
      </w:pPr>
      <w:r w:rsidRPr="0092700B">
        <w:rPr>
          <w:rFonts w:cstheme="minorHAnsi"/>
          <w:sz w:val="22"/>
          <w:szCs w:val="22"/>
        </w:rPr>
        <w:t>Fig</w:t>
      </w:r>
      <w:r w:rsidR="00561894" w:rsidRPr="0092700B">
        <w:rPr>
          <w:rFonts w:cstheme="minorHAnsi"/>
          <w:sz w:val="22"/>
          <w:szCs w:val="22"/>
        </w:rPr>
        <w:t>.</w:t>
      </w:r>
      <w:r w:rsidR="00E76919" w:rsidRPr="0092700B">
        <w:rPr>
          <w:rFonts w:cstheme="minorHAnsi"/>
          <w:sz w:val="22"/>
          <w:szCs w:val="22"/>
        </w:rPr>
        <w:t xml:space="preserve"> </w:t>
      </w:r>
      <w:r w:rsidR="00CD2D15">
        <w:rPr>
          <w:rFonts w:cstheme="minorHAnsi"/>
          <w:sz w:val="22"/>
          <w:szCs w:val="22"/>
        </w:rPr>
        <w:t>S</w:t>
      </w:r>
      <w:r w:rsidR="00B03EBC" w:rsidRPr="0092700B">
        <w:rPr>
          <w:rFonts w:cstheme="minorHAnsi"/>
          <w:sz w:val="22"/>
          <w:szCs w:val="22"/>
        </w:rPr>
        <w:t>2.</w:t>
      </w:r>
      <w:r w:rsidR="006B464C" w:rsidRPr="0092700B">
        <w:rPr>
          <w:rFonts w:cstheme="minorHAnsi"/>
          <w:sz w:val="22"/>
          <w:szCs w:val="22"/>
        </w:rPr>
        <w:fldChar w:fldCharType="begin"/>
      </w:r>
      <w:r w:rsidR="006B464C" w:rsidRPr="0092700B">
        <w:rPr>
          <w:rFonts w:cstheme="minorHAnsi"/>
          <w:sz w:val="22"/>
          <w:szCs w:val="22"/>
        </w:rPr>
        <w:instrText xml:space="preserve"> SEQ SI-5. \* ARABIC </w:instrText>
      </w:r>
      <w:r w:rsidR="006B464C" w:rsidRPr="0092700B">
        <w:rPr>
          <w:rFonts w:cstheme="minorHAnsi"/>
          <w:sz w:val="22"/>
          <w:szCs w:val="22"/>
        </w:rPr>
        <w:fldChar w:fldCharType="separate"/>
      </w:r>
      <w:r w:rsidR="008E3B50" w:rsidRPr="0092700B">
        <w:rPr>
          <w:rFonts w:cstheme="minorHAnsi"/>
          <w:noProof/>
          <w:sz w:val="22"/>
          <w:szCs w:val="22"/>
        </w:rPr>
        <w:t>3</w:t>
      </w:r>
      <w:r w:rsidR="006B464C" w:rsidRPr="0092700B">
        <w:rPr>
          <w:rFonts w:cstheme="minorHAnsi"/>
          <w:noProof/>
          <w:sz w:val="22"/>
          <w:szCs w:val="22"/>
        </w:rPr>
        <w:fldChar w:fldCharType="end"/>
      </w:r>
      <w:r w:rsidR="004A5CF9" w:rsidRPr="0092700B">
        <w:rPr>
          <w:rFonts w:cstheme="minorHAnsi"/>
          <w:sz w:val="22"/>
          <w:szCs w:val="22"/>
        </w:rPr>
        <w:t>:</w:t>
      </w:r>
      <w:r w:rsidR="004A5CF9" w:rsidRPr="0092700B">
        <w:rPr>
          <w:rFonts w:cstheme="minorHAnsi"/>
          <w:noProof/>
          <w:sz w:val="22"/>
          <w:szCs w:val="22"/>
        </w:rPr>
        <w:t xml:space="preserve"> </w:t>
      </w:r>
      <w:r w:rsidR="00D01057" w:rsidRPr="0092700B">
        <w:rPr>
          <w:rFonts w:cstheme="minorHAnsi"/>
          <w:sz w:val="22"/>
          <w:szCs w:val="22"/>
        </w:rPr>
        <w:t xml:space="preserve">Influence of population density </w:t>
      </w:r>
      <w:r w:rsidR="008C1479" w:rsidRPr="0092700B">
        <w:rPr>
          <w:rFonts w:cstheme="minorHAnsi"/>
          <w:sz w:val="22"/>
          <w:szCs w:val="22"/>
        </w:rPr>
        <w:t>parameters vector</w:t>
      </w:r>
      <w:r w:rsidR="00D01057" w:rsidRPr="0092700B">
        <w:rPr>
          <w:rFonts w:cstheme="minorHAnsi"/>
          <w:sz w:val="22"/>
          <w:szCs w:val="22"/>
        </w:rPr>
        <w:t xml:space="preserve"> populations</w:t>
      </w:r>
      <w:r w:rsidR="005D4B0A" w:rsidRPr="0092700B">
        <w:rPr>
          <w:rFonts w:cstheme="minorHAnsi"/>
          <w:sz w:val="22"/>
          <w:szCs w:val="22"/>
        </w:rPr>
        <w:t xml:space="preserve"> with </w:t>
      </w:r>
      <w:r w:rsidR="00EF4DD0" w:rsidRPr="0092700B">
        <w:rPr>
          <w:rFonts w:cstheme="minorHAnsi"/>
          <w:sz w:val="22"/>
          <w:szCs w:val="22"/>
        </w:rPr>
        <w:t xml:space="preserve">constant </w:t>
      </w:r>
      <w:r w:rsidR="005D4B0A" w:rsidRPr="0092700B">
        <w:rPr>
          <w:rFonts w:cstheme="minorHAnsi"/>
          <w:sz w:val="22"/>
          <w:szCs w:val="22"/>
        </w:rPr>
        <w:t>larviciding</w:t>
      </w:r>
      <w:r w:rsidR="00EF4DD0" w:rsidRPr="0092700B">
        <w:rPr>
          <w:rFonts w:cstheme="minorHAnsi"/>
          <w:sz w:val="22"/>
          <w:szCs w:val="22"/>
        </w:rPr>
        <w:t xml:space="preserve"> </w:t>
      </w:r>
      <w:r w:rsidR="00B03EBC" w:rsidRPr="0092700B">
        <w:rPr>
          <w:rFonts w:cstheme="minorHAnsi"/>
          <w:sz w:val="22"/>
          <w:szCs w:val="22"/>
        </w:rPr>
        <w:t>for 60 days</w:t>
      </w:r>
      <w:r w:rsidR="00B03EBC" w:rsidRPr="0092700B" w:rsidDel="00B03EBC">
        <w:rPr>
          <w:rFonts w:cstheme="minorHAnsi"/>
          <w:sz w:val="22"/>
          <w:szCs w:val="22"/>
        </w:rPr>
        <w:t xml:space="preserve"> </w:t>
      </w:r>
      <w:r w:rsidR="005D4B0A" w:rsidRPr="0092700B">
        <w:rPr>
          <w:rFonts w:cstheme="minorHAnsi"/>
          <w:sz w:val="22"/>
          <w:szCs w:val="22"/>
        </w:rPr>
        <w:t>at 100%</w:t>
      </w:r>
      <w:r w:rsidR="00B03EBC" w:rsidRPr="0092700B">
        <w:rPr>
          <w:rFonts w:cstheme="minorHAnsi"/>
          <w:sz w:val="22"/>
          <w:szCs w:val="22"/>
        </w:rPr>
        <w:t xml:space="preserve"> coverage</w:t>
      </w:r>
      <w:r w:rsidR="005D4B0A" w:rsidRPr="0092700B">
        <w:rPr>
          <w:rFonts w:cstheme="minorHAnsi"/>
          <w:sz w:val="22"/>
          <w:szCs w:val="22"/>
        </w:rPr>
        <w:t xml:space="preserve">. </w:t>
      </w:r>
    </w:p>
    <w:p w14:paraId="6D21E3E2" w14:textId="2DB9C201" w:rsidR="008A5237" w:rsidRPr="0092700B" w:rsidRDefault="00964845">
      <w:pPr>
        <w:spacing w:line="240" w:lineRule="auto"/>
        <w:rPr>
          <w:rFonts w:cstheme="minorHAnsi"/>
          <w:sz w:val="20"/>
          <w:szCs w:val="20"/>
        </w:rPr>
      </w:pPr>
      <w:r w:rsidRPr="0092700B">
        <w:rPr>
          <w:rFonts w:cstheme="minorHAnsi"/>
          <w:b/>
          <w:sz w:val="20"/>
          <w:szCs w:val="20"/>
        </w:rPr>
        <w:t>A</w:t>
      </w:r>
      <w:r w:rsidR="00EB2A51" w:rsidRPr="0092700B">
        <w:rPr>
          <w:rFonts w:cstheme="minorHAnsi"/>
          <w:b/>
          <w:sz w:val="20"/>
          <w:szCs w:val="20"/>
        </w:rPr>
        <w:t>-C</w:t>
      </w:r>
      <w:r w:rsidRPr="0092700B">
        <w:rPr>
          <w:rFonts w:cstheme="minorHAnsi"/>
          <w:b/>
          <w:sz w:val="20"/>
          <w:szCs w:val="20"/>
        </w:rPr>
        <w:t>)</w:t>
      </w:r>
      <w:r w:rsidRPr="0092700B">
        <w:rPr>
          <w:rFonts w:cstheme="minorHAnsi"/>
          <w:sz w:val="20"/>
          <w:szCs w:val="20"/>
        </w:rPr>
        <w:t xml:space="preserve"> Emerging adult mosquitoes. </w:t>
      </w:r>
      <w:r w:rsidR="00EB2A51" w:rsidRPr="0092700B">
        <w:rPr>
          <w:rFonts w:cstheme="minorHAnsi"/>
          <w:b/>
          <w:sz w:val="20"/>
          <w:szCs w:val="20"/>
        </w:rPr>
        <w:t>D-F</w:t>
      </w:r>
      <w:r w:rsidRPr="0092700B">
        <w:rPr>
          <w:rFonts w:cstheme="minorHAnsi"/>
          <w:b/>
          <w:sz w:val="20"/>
          <w:szCs w:val="20"/>
        </w:rPr>
        <w:t>)</w:t>
      </w:r>
      <w:r w:rsidR="00364E4F" w:rsidRPr="0092700B">
        <w:rPr>
          <w:rFonts w:cstheme="minorHAnsi"/>
          <w:sz w:val="20"/>
          <w:szCs w:val="20"/>
        </w:rPr>
        <w:t xml:space="preserve"> Host-</w:t>
      </w:r>
      <w:r w:rsidRPr="0092700B">
        <w:rPr>
          <w:rFonts w:cstheme="minorHAnsi"/>
          <w:sz w:val="20"/>
          <w:szCs w:val="20"/>
        </w:rPr>
        <w:t xml:space="preserve">seeking mosquitoes. </w:t>
      </w:r>
      <w:r w:rsidR="00B03EBC" w:rsidRPr="0092700B">
        <w:rPr>
          <w:rFonts w:cstheme="minorHAnsi"/>
          <w:sz w:val="20"/>
          <w:szCs w:val="20"/>
        </w:rPr>
        <w:t xml:space="preserve">Each panel in a row shows one of the </w:t>
      </w:r>
      <w:r w:rsidR="00A0334F" w:rsidRPr="0092700B">
        <w:rPr>
          <w:rFonts w:cstheme="minorHAnsi"/>
          <w:sz w:val="20"/>
          <w:szCs w:val="20"/>
        </w:rPr>
        <w:t xml:space="preserve">mosquito density-dependence parameter </w:t>
      </w:r>
      <w:r w:rsidR="00B03EBC" w:rsidRPr="0092700B">
        <w:rPr>
          <w:rFonts w:cstheme="minorHAnsi"/>
          <w:sz w:val="20"/>
          <w:szCs w:val="20"/>
        </w:rPr>
        <w:t xml:space="preserve">values (colors) while the other two </w:t>
      </w:r>
      <w:r w:rsidR="00A0334F" w:rsidRPr="0092700B">
        <w:rPr>
          <w:rFonts w:cstheme="minorHAnsi"/>
          <w:sz w:val="20"/>
          <w:szCs w:val="20"/>
        </w:rPr>
        <w:t>mosquito density-dependence parameters</w:t>
      </w:r>
      <w:r w:rsidR="00A0334F" w:rsidRPr="0092700B" w:rsidDel="00A0334F">
        <w:rPr>
          <w:rFonts w:cstheme="minorHAnsi"/>
          <w:sz w:val="20"/>
          <w:szCs w:val="20"/>
        </w:rPr>
        <w:t xml:space="preserve"> </w:t>
      </w:r>
      <w:r w:rsidR="00B03EBC" w:rsidRPr="0092700B">
        <w:rPr>
          <w:rFonts w:cstheme="minorHAnsi"/>
          <w:sz w:val="20"/>
          <w:szCs w:val="20"/>
        </w:rPr>
        <w:t>are averaged</w:t>
      </w:r>
      <w:r w:rsidR="00A131AB" w:rsidRPr="0092700B">
        <w:rPr>
          <w:rFonts w:cstheme="minorHAnsi"/>
          <w:sz w:val="20"/>
          <w:szCs w:val="20"/>
        </w:rPr>
        <w:t xml:space="preserve"> </w:t>
      </w:r>
    </w:p>
    <w:p w14:paraId="535BABE1" w14:textId="77777777" w:rsidR="008E3B50" w:rsidRPr="0092700B" w:rsidRDefault="008E3B50">
      <w:pPr>
        <w:spacing w:line="240" w:lineRule="auto"/>
        <w:rPr>
          <w:rFonts w:cstheme="minorHAnsi"/>
          <w:sz w:val="20"/>
          <w:szCs w:val="20"/>
        </w:rPr>
      </w:pPr>
    </w:p>
    <w:p w14:paraId="1493428A" w14:textId="0823F9D5" w:rsidR="008A5237" w:rsidRPr="0092700B" w:rsidRDefault="008A5237">
      <w:pPr>
        <w:pStyle w:val="Heading2"/>
        <w:spacing w:line="360" w:lineRule="auto"/>
        <w:rPr>
          <w:rFonts w:cstheme="minorHAnsi"/>
          <w:sz w:val="22"/>
          <w:szCs w:val="32"/>
        </w:rPr>
      </w:pPr>
      <w:bookmarkStart w:id="4" w:name="_Toc72130095"/>
      <w:r w:rsidRPr="0092700B">
        <w:rPr>
          <w:rFonts w:cstheme="minorHAnsi"/>
          <w:sz w:val="22"/>
          <w:szCs w:val="32"/>
        </w:rPr>
        <w:t>Larviciding frequency</w:t>
      </w:r>
      <w:r w:rsidR="00254CA9" w:rsidRPr="0092700B">
        <w:rPr>
          <w:rFonts w:cstheme="minorHAnsi"/>
          <w:sz w:val="22"/>
          <w:szCs w:val="32"/>
        </w:rPr>
        <w:t xml:space="preserve"> </w:t>
      </w:r>
      <w:r w:rsidR="00795F4E" w:rsidRPr="0092700B">
        <w:rPr>
          <w:rFonts w:cstheme="minorHAnsi"/>
          <w:sz w:val="22"/>
          <w:szCs w:val="32"/>
        </w:rPr>
        <w:t>versus coverage</w:t>
      </w:r>
      <w:bookmarkEnd w:id="4"/>
      <w:r w:rsidR="00795F4E" w:rsidRPr="0092700B">
        <w:rPr>
          <w:rFonts w:cstheme="minorHAnsi"/>
          <w:sz w:val="22"/>
          <w:szCs w:val="32"/>
        </w:rPr>
        <w:t xml:space="preserve"> </w:t>
      </w:r>
    </w:p>
    <w:p w14:paraId="6D976C58" w14:textId="5ABED599" w:rsidR="00C52CB3" w:rsidRPr="0092700B" w:rsidRDefault="00795F4E" w:rsidP="0092700B">
      <w:pPr>
        <w:spacing w:line="360" w:lineRule="auto"/>
        <w:rPr>
          <w:rFonts w:cstheme="minorHAnsi"/>
        </w:rPr>
      </w:pPr>
      <w:r w:rsidRPr="0092700B">
        <w:rPr>
          <w:rFonts w:cstheme="minorHAnsi"/>
        </w:rPr>
        <w:t>The</w:t>
      </w:r>
      <w:r w:rsidR="00E76919" w:rsidRPr="0092700B">
        <w:rPr>
          <w:rFonts w:cstheme="minorHAnsi"/>
        </w:rPr>
        <w:t xml:space="preserve"> relative reduction in prevalence </w:t>
      </w:r>
      <w:r w:rsidRPr="0092700B">
        <w:rPr>
          <w:rFonts w:cstheme="minorHAnsi"/>
        </w:rPr>
        <w:t>depending on larviciding</w:t>
      </w:r>
      <w:r w:rsidR="00E76919" w:rsidRPr="0092700B">
        <w:rPr>
          <w:rFonts w:cstheme="minorHAnsi"/>
        </w:rPr>
        <w:t xml:space="preserve"> coverage and deployment frequency</w:t>
      </w:r>
      <w:r w:rsidRPr="0092700B">
        <w:rPr>
          <w:rFonts w:cstheme="minorHAnsi"/>
        </w:rPr>
        <w:t xml:space="preserve"> was assessed</w:t>
      </w:r>
      <w:r w:rsidR="00E76919" w:rsidRPr="0092700B">
        <w:rPr>
          <w:rFonts w:cstheme="minorHAnsi"/>
        </w:rPr>
        <w:t xml:space="preserve"> </w:t>
      </w:r>
      <w:r w:rsidRPr="0092700B">
        <w:rPr>
          <w:rFonts w:cstheme="minorHAnsi"/>
        </w:rPr>
        <w:t xml:space="preserve">at the end of the intervention period </w:t>
      </w:r>
      <w:r w:rsidR="00FF5B5E" w:rsidRPr="0092700B">
        <w:rPr>
          <w:rFonts w:cstheme="minorHAnsi"/>
        </w:rPr>
        <w:t xml:space="preserve">(120 days) </w:t>
      </w:r>
      <w:r w:rsidRPr="0092700B">
        <w:rPr>
          <w:rFonts w:cstheme="minorHAnsi"/>
        </w:rPr>
        <w:t xml:space="preserve">and </w:t>
      </w:r>
      <w:r w:rsidR="00E76919" w:rsidRPr="0092700B">
        <w:rPr>
          <w:rFonts w:cstheme="minorHAnsi"/>
        </w:rPr>
        <w:t xml:space="preserve">by transmission intensity </w:t>
      </w:r>
      <w:r w:rsidRPr="0092700B">
        <w:rPr>
          <w:rFonts w:cstheme="minorHAnsi"/>
        </w:rPr>
        <w:t>as well as</w:t>
      </w:r>
      <w:r w:rsidR="00E76919" w:rsidRPr="0092700B">
        <w:rPr>
          <w:rFonts w:cstheme="minorHAnsi"/>
        </w:rPr>
        <w:t xml:space="preserve"> for two different decay functions (step </w:t>
      </w:r>
      <w:r w:rsidRPr="0092700B">
        <w:rPr>
          <w:rFonts w:cstheme="minorHAnsi"/>
        </w:rPr>
        <w:t xml:space="preserve">decay </w:t>
      </w:r>
      <w:r w:rsidR="00E76919" w:rsidRPr="0092700B">
        <w:rPr>
          <w:rFonts w:cstheme="minorHAnsi"/>
        </w:rPr>
        <w:t xml:space="preserve">versus exponential decay). </w:t>
      </w:r>
      <w:r w:rsidRPr="0092700B">
        <w:rPr>
          <w:rFonts w:cstheme="minorHAnsi"/>
        </w:rPr>
        <w:t>When the deployment frequency or the coverage were reduced by half (e.g. deployments every five to every ten days, coverage from 80 to 40%), t</w:t>
      </w:r>
      <w:r w:rsidR="00E76919" w:rsidRPr="0092700B">
        <w:rPr>
          <w:rFonts w:cstheme="minorHAnsi"/>
        </w:rPr>
        <w:t>he predicted effectiveness was approximately reduced by half</w:t>
      </w:r>
      <w:r w:rsidRPr="0092700B">
        <w:rPr>
          <w:rFonts w:cstheme="minorHAnsi"/>
        </w:rPr>
        <w:t xml:space="preserve"> as well, assuming a step decay after five days</w:t>
      </w:r>
      <w:r w:rsidR="00E76919" w:rsidRPr="0092700B">
        <w:rPr>
          <w:rFonts w:cstheme="minorHAnsi"/>
        </w:rPr>
        <w:t xml:space="preserve">. </w:t>
      </w:r>
      <w:r w:rsidRPr="0092700B">
        <w:rPr>
          <w:rFonts w:cstheme="minorHAnsi"/>
        </w:rPr>
        <w:t>Overall, f</w:t>
      </w:r>
      <w:r w:rsidR="00E76919" w:rsidRPr="0092700B">
        <w:rPr>
          <w:rFonts w:cstheme="minorHAnsi"/>
        </w:rPr>
        <w:t xml:space="preserve">ewer deployments led to higher loss in effectiveness than lower coverage. </w:t>
      </w:r>
      <w:r w:rsidRPr="0092700B">
        <w:rPr>
          <w:rFonts w:cstheme="minorHAnsi"/>
        </w:rPr>
        <w:t>With</w:t>
      </w:r>
      <w:r w:rsidR="00E76919" w:rsidRPr="0092700B">
        <w:rPr>
          <w:rFonts w:cstheme="minorHAnsi"/>
        </w:rPr>
        <w:t xml:space="preserve"> longer breaks between deployments, the decay</w:t>
      </w:r>
      <w:r w:rsidRPr="0092700B">
        <w:rPr>
          <w:rFonts w:cstheme="minorHAnsi"/>
        </w:rPr>
        <w:t xml:space="preserve"> rate of the larvicide</w:t>
      </w:r>
      <w:r w:rsidR="00E76919" w:rsidRPr="0092700B">
        <w:rPr>
          <w:rFonts w:cstheme="minorHAnsi"/>
        </w:rPr>
        <w:t xml:space="preserve"> </w:t>
      </w:r>
      <w:r w:rsidRPr="0092700B">
        <w:rPr>
          <w:rFonts w:cstheme="minorHAnsi"/>
        </w:rPr>
        <w:t>was predicted to have</w:t>
      </w:r>
      <w:r w:rsidR="00E76919" w:rsidRPr="0092700B">
        <w:rPr>
          <w:rFonts w:cstheme="minorHAnsi"/>
        </w:rPr>
        <w:t xml:space="preserve"> less influence on the impact. The </w:t>
      </w:r>
      <w:r w:rsidRPr="0092700B">
        <w:rPr>
          <w:rFonts w:cstheme="minorHAnsi"/>
        </w:rPr>
        <w:t xml:space="preserve">predicted relationship between frequency and coverage </w:t>
      </w:r>
      <w:r w:rsidR="00E76919" w:rsidRPr="0092700B">
        <w:rPr>
          <w:rFonts w:cstheme="minorHAnsi"/>
        </w:rPr>
        <w:t xml:space="preserve">was the same </w:t>
      </w:r>
      <w:r w:rsidRPr="0092700B">
        <w:rPr>
          <w:rFonts w:cstheme="minorHAnsi"/>
        </w:rPr>
        <w:t>for the three</w:t>
      </w:r>
      <w:r w:rsidR="00E76919" w:rsidRPr="0092700B">
        <w:rPr>
          <w:rFonts w:cstheme="minorHAnsi"/>
        </w:rPr>
        <w:t xml:space="preserve"> transmission intensities</w:t>
      </w:r>
      <w:r w:rsidRPr="0092700B">
        <w:rPr>
          <w:rFonts w:cstheme="minorHAnsi"/>
        </w:rPr>
        <w:t xml:space="preserve"> included in the analysis</w:t>
      </w:r>
      <w:r w:rsidR="00E76919" w:rsidRPr="0092700B">
        <w:rPr>
          <w:rFonts w:cstheme="minorHAnsi"/>
        </w:rPr>
        <w:t xml:space="preserve">, </w:t>
      </w:r>
      <w:r w:rsidRPr="0092700B">
        <w:rPr>
          <w:rFonts w:cstheme="minorHAnsi"/>
        </w:rPr>
        <w:t>whereas</w:t>
      </w:r>
      <w:r w:rsidR="00E76919" w:rsidRPr="0092700B">
        <w:rPr>
          <w:rFonts w:cstheme="minorHAnsi"/>
        </w:rPr>
        <w:t xml:space="preserve"> the maximum reduction was 2.5 times lower at high transmission compared to low transmission (Fig</w:t>
      </w:r>
      <w:r w:rsidR="00561894" w:rsidRPr="0092700B">
        <w:rPr>
          <w:rFonts w:cstheme="minorHAnsi"/>
        </w:rPr>
        <w:t>.</w:t>
      </w:r>
      <w:r w:rsidR="00E76919" w:rsidRPr="0092700B">
        <w:rPr>
          <w:rFonts w:cstheme="minorHAnsi"/>
        </w:rPr>
        <w:t xml:space="preserve"> </w:t>
      </w:r>
      <w:r w:rsidR="00CD2D15">
        <w:rPr>
          <w:rFonts w:cstheme="minorHAnsi"/>
        </w:rPr>
        <w:t>S</w:t>
      </w:r>
      <w:r w:rsidR="0050352A" w:rsidRPr="0092700B">
        <w:rPr>
          <w:rFonts w:cstheme="minorHAnsi"/>
        </w:rPr>
        <w:t>2.</w:t>
      </w:r>
      <w:r w:rsidR="0095388A" w:rsidRPr="0092700B">
        <w:rPr>
          <w:rFonts w:cstheme="minorHAnsi"/>
        </w:rPr>
        <w:t>4</w:t>
      </w:r>
      <w:r w:rsidR="00E76919" w:rsidRPr="0092700B">
        <w:rPr>
          <w:rFonts w:cstheme="minorHAnsi"/>
        </w:rPr>
        <w:t>)</w:t>
      </w:r>
      <w:r w:rsidR="00D97637" w:rsidRPr="0092700B">
        <w:rPr>
          <w:rFonts w:cstheme="minorHAnsi"/>
        </w:rPr>
        <w:t>.</w:t>
      </w:r>
      <w:r w:rsidR="00C52CB3" w:rsidRPr="0092700B">
        <w:rPr>
          <w:rFonts w:cstheme="minorHAnsi"/>
        </w:rPr>
        <w:t xml:space="preserve"> </w:t>
      </w:r>
    </w:p>
    <w:p w14:paraId="58C9EF4A" w14:textId="1E9DE8B5" w:rsidR="00AD6C91" w:rsidRPr="0092700B" w:rsidRDefault="002141E9" w:rsidP="0092700B">
      <w:pPr>
        <w:keepNext/>
        <w:rPr>
          <w:rFonts w:cstheme="minorHAnsi"/>
        </w:rPr>
      </w:pPr>
      <w:r w:rsidRPr="0092700B">
        <w:rPr>
          <w:rFonts w:cstheme="minorHAnsi"/>
          <w:noProof/>
          <w:lang w:val="en-IN" w:eastAsia="en-IN"/>
        </w:rPr>
        <w:drawing>
          <wp:inline distT="0" distB="0" distL="0" distR="0" wp14:anchorId="2AF51A68" wp14:editId="0995C10F">
            <wp:extent cx="5150866" cy="18395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0866" cy="1839595"/>
                    </a:xfrm>
                    <a:prstGeom prst="rect">
                      <a:avLst/>
                    </a:prstGeom>
                  </pic:spPr>
                </pic:pic>
              </a:graphicData>
            </a:graphic>
          </wp:inline>
        </w:drawing>
      </w:r>
    </w:p>
    <w:p w14:paraId="55EDDBFF" w14:textId="5649370F" w:rsidR="00367269" w:rsidRPr="0092700B" w:rsidRDefault="00E76919">
      <w:pPr>
        <w:pStyle w:val="Caption"/>
        <w:spacing w:line="240" w:lineRule="auto"/>
        <w:rPr>
          <w:rFonts w:cstheme="minorHAnsi"/>
          <w:sz w:val="22"/>
          <w:szCs w:val="22"/>
        </w:rPr>
      </w:pPr>
      <w:r w:rsidRPr="0092700B">
        <w:rPr>
          <w:rFonts w:cstheme="minorHAnsi"/>
          <w:sz w:val="22"/>
          <w:szCs w:val="22"/>
        </w:rPr>
        <w:t>Fig</w:t>
      </w:r>
      <w:r w:rsidR="00561894" w:rsidRPr="0092700B">
        <w:rPr>
          <w:rFonts w:cstheme="minorHAnsi"/>
          <w:sz w:val="22"/>
          <w:szCs w:val="22"/>
        </w:rPr>
        <w:t>.</w:t>
      </w:r>
      <w:r w:rsidRPr="0092700B">
        <w:rPr>
          <w:rFonts w:cstheme="minorHAnsi"/>
          <w:sz w:val="22"/>
          <w:szCs w:val="22"/>
        </w:rPr>
        <w:t xml:space="preserve"> </w:t>
      </w:r>
      <w:r w:rsidR="00CD2D15">
        <w:rPr>
          <w:rFonts w:cstheme="minorHAnsi"/>
          <w:sz w:val="22"/>
          <w:szCs w:val="22"/>
        </w:rPr>
        <w:t>S</w:t>
      </w:r>
      <w:r w:rsidR="00A93CFE" w:rsidRPr="0092700B">
        <w:rPr>
          <w:rFonts w:cstheme="minorHAnsi"/>
          <w:sz w:val="22"/>
          <w:szCs w:val="22"/>
        </w:rPr>
        <w:t>2.</w:t>
      </w:r>
      <w:r w:rsidRPr="0092700B">
        <w:rPr>
          <w:rFonts w:cstheme="minorHAnsi"/>
          <w:sz w:val="22"/>
          <w:szCs w:val="22"/>
        </w:rPr>
        <w:fldChar w:fldCharType="begin"/>
      </w:r>
      <w:r w:rsidRPr="0092700B">
        <w:rPr>
          <w:rFonts w:cstheme="minorHAnsi"/>
          <w:sz w:val="22"/>
          <w:szCs w:val="22"/>
        </w:rPr>
        <w:instrText xml:space="preserve"> SEQ SI-5. \* ARABIC </w:instrText>
      </w:r>
      <w:r w:rsidRPr="0092700B">
        <w:rPr>
          <w:rFonts w:cstheme="minorHAnsi"/>
          <w:sz w:val="22"/>
          <w:szCs w:val="22"/>
        </w:rPr>
        <w:fldChar w:fldCharType="separate"/>
      </w:r>
      <w:r w:rsidR="008E3B50" w:rsidRPr="0092700B">
        <w:rPr>
          <w:rFonts w:cstheme="minorHAnsi"/>
          <w:noProof/>
          <w:sz w:val="22"/>
          <w:szCs w:val="22"/>
        </w:rPr>
        <w:t>4</w:t>
      </w:r>
      <w:r w:rsidRPr="0092700B">
        <w:rPr>
          <w:rFonts w:cstheme="minorHAnsi"/>
          <w:noProof/>
          <w:sz w:val="22"/>
          <w:szCs w:val="22"/>
        </w:rPr>
        <w:fldChar w:fldCharType="end"/>
      </w:r>
      <w:r w:rsidRPr="0092700B">
        <w:rPr>
          <w:rFonts w:cstheme="minorHAnsi"/>
          <w:sz w:val="22"/>
          <w:szCs w:val="22"/>
        </w:rPr>
        <w:t>:</w:t>
      </w:r>
      <w:r w:rsidRPr="0092700B">
        <w:rPr>
          <w:rFonts w:cstheme="minorHAnsi"/>
          <w:noProof/>
          <w:sz w:val="22"/>
          <w:szCs w:val="22"/>
        </w:rPr>
        <w:t xml:space="preserve"> </w:t>
      </w:r>
      <w:r w:rsidR="00367269" w:rsidRPr="0092700B">
        <w:rPr>
          <w:rFonts w:cstheme="minorHAnsi"/>
          <w:sz w:val="22"/>
          <w:szCs w:val="22"/>
        </w:rPr>
        <w:t>Relative reduction in prevalence by frequency versus coverage</w:t>
      </w:r>
      <w:r w:rsidR="009C32AA" w:rsidRPr="0092700B">
        <w:rPr>
          <w:rFonts w:cstheme="minorHAnsi"/>
          <w:sz w:val="22"/>
          <w:szCs w:val="22"/>
        </w:rPr>
        <w:t xml:space="preserve"> </w:t>
      </w:r>
      <w:r w:rsidR="00AF0A44" w:rsidRPr="0092700B">
        <w:rPr>
          <w:rFonts w:cstheme="minorHAnsi"/>
          <w:sz w:val="22"/>
          <w:szCs w:val="22"/>
        </w:rPr>
        <w:t>at the end of the intervention period (120 days)</w:t>
      </w:r>
      <w:r w:rsidR="00AF5A39" w:rsidRPr="0092700B">
        <w:rPr>
          <w:rFonts w:cstheme="minorHAnsi"/>
          <w:sz w:val="22"/>
          <w:szCs w:val="22"/>
        </w:rPr>
        <w:t>.</w:t>
      </w:r>
    </w:p>
    <w:p w14:paraId="0C27D2B5" w14:textId="3D9D55CA" w:rsidR="00AF5A39" w:rsidRPr="0092700B" w:rsidRDefault="00AF5A39">
      <w:pPr>
        <w:spacing w:line="240" w:lineRule="auto"/>
        <w:rPr>
          <w:rFonts w:eastAsiaTheme="majorEastAsia" w:cstheme="minorHAnsi"/>
          <w:bCs/>
          <w:sz w:val="20"/>
          <w:szCs w:val="20"/>
        </w:rPr>
      </w:pPr>
      <w:r w:rsidRPr="0092700B">
        <w:rPr>
          <w:rFonts w:eastAsiaTheme="majorEastAsia" w:cstheme="minorHAnsi"/>
          <w:bCs/>
          <w:sz w:val="20"/>
          <w:szCs w:val="20"/>
        </w:rPr>
        <w:t>The plot shows the relative reduction for an effectiveness decay of 100% for 5 days</w:t>
      </w:r>
      <w:r w:rsidR="0092700B">
        <w:rPr>
          <w:rFonts w:eastAsiaTheme="majorEastAsia" w:cstheme="minorHAnsi"/>
          <w:bCs/>
          <w:sz w:val="20"/>
          <w:szCs w:val="20"/>
        </w:rPr>
        <w:t xml:space="preserve"> (1 timestep in OpenMalaria)</w:t>
      </w:r>
      <w:r w:rsidRPr="0092700B">
        <w:rPr>
          <w:rFonts w:eastAsiaTheme="majorEastAsia" w:cstheme="minorHAnsi"/>
          <w:bCs/>
          <w:sz w:val="20"/>
          <w:szCs w:val="20"/>
        </w:rPr>
        <w:t xml:space="preserve"> and reaching 0% </w:t>
      </w:r>
      <w:r w:rsidR="0092700B">
        <w:rPr>
          <w:rFonts w:eastAsiaTheme="majorEastAsia" w:cstheme="minorHAnsi"/>
          <w:bCs/>
          <w:sz w:val="20"/>
          <w:szCs w:val="20"/>
        </w:rPr>
        <w:t>directly after (timestep 2</w:t>
      </w:r>
      <w:r w:rsidRPr="0092700B">
        <w:rPr>
          <w:rFonts w:eastAsiaTheme="majorEastAsia" w:cstheme="minorHAnsi"/>
          <w:bCs/>
          <w:sz w:val="20"/>
          <w:szCs w:val="20"/>
        </w:rPr>
        <w:t>).</w:t>
      </w:r>
    </w:p>
    <w:p w14:paraId="39C4FDC9" w14:textId="13EF24BD" w:rsidR="0006345A" w:rsidRPr="0092700B" w:rsidRDefault="0006345A">
      <w:pPr>
        <w:spacing w:line="240" w:lineRule="auto"/>
        <w:rPr>
          <w:rFonts w:eastAsiaTheme="majorEastAsia" w:cstheme="minorHAnsi"/>
          <w:bCs/>
          <w:sz w:val="20"/>
          <w:szCs w:val="20"/>
        </w:rPr>
      </w:pPr>
    </w:p>
    <w:p w14:paraId="58612560" w14:textId="71D55CE6" w:rsidR="00C52CB3" w:rsidRPr="0092700B" w:rsidRDefault="00C52CB3">
      <w:pPr>
        <w:spacing w:line="240" w:lineRule="auto"/>
        <w:rPr>
          <w:rFonts w:eastAsiaTheme="majorEastAsia" w:cstheme="minorHAnsi"/>
          <w:bCs/>
          <w:sz w:val="20"/>
          <w:szCs w:val="20"/>
        </w:rPr>
      </w:pPr>
    </w:p>
    <w:p w14:paraId="49081AAF" w14:textId="10B8E7D6" w:rsidR="00FC7BF0" w:rsidRPr="0092700B" w:rsidRDefault="00FC7BF0">
      <w:pPr>
        <w:pStyle w:val="Heading2"/>
        <w:spacing w:line="360" w:lineRule="auto"/>
        <w:rPr>
          <w:rFonts w:cstheme="minorHAnsi"/>
          <w:sz w:val="22"/>
          <w:szCs w:val="32"/>
        </w:rPr>
      </w:pPr>
      <w:bookmarkStart w:id="5" w:name="_Toc72130096"/>
      <w:r w:rsidRPr="0092700B">
        <w:rPr>
          <w:rFonts w:cstheme="minorHAnsi"/>
          <w:sz w:val="22"/>
          <w:szCs w:val="32"/>
        </w:rPr>
        <w:t>Post-larviciding resurgence in predicted outcome measures</w:t>
      </w:r>
      <w:bookmarkEnd w:id="5"/>
      <w:r w:rsidRPr="0092700B">
        <w:rPr>
          <w:rFonts w:cstheme="minorHAnsi"/>
          <w:sz w:val="22"/>
          <w:szCs w:val="32"/>
        </w:rPr>
        <w:t xml:space="preserve"> </w:t>
      </w:r>
    </w:p>
    <w:p w14:paraId="74D92C8B" w14:textId="399909A7" w:rsidR="00FC7BF0" w:rsidRPr="0092700B" w:rsidRDefault="00FC7BF0" w:rsidP="0092700B">
      <w:pPr>
        <w:spacing w:line="360" w:lineRule="auto"/>
        <w:rPr>
          <w:rFonts w:cstheme="minorHAnsi"/>
        </w:rPr>
      </w:pPr>
      <w:r w:rsidRPr="0092700B">
        <w:rPr>
          <w:rFonts w:cstheme="minorHAnsi"/>
        </w:rPr>
        <w:t xml:space="preserve">The re-surgence in the outcome measures after stopping larviciding depending on the deployment frequency during the intervention period is shown in Fig </w:t>
      </w:r>
      <w:r w:rsidR="00CD2D15">
        <w:rPr>
          <w:rFonts w:cstheme="minorHAnsi"/>
        </w:rPr>
        <w:t>S</w:t>
      </w:r>
      <w:r w:rsidR="0050352A" w:rsidRPr="0092700B">
        <w:rPr>
          <w:rFonts w:cstheme="minorHAnsi"/>
        </w:rPr>
        <w:t>2.</w:t>
      </w:r>
      <w:r w:rsidRPr="0092700B">
        <w:rPr>
          <w:rFonts w:cstheme="minorHAnsi"/>
        </w:rPr>
        <w:t xml:space="preserve">5. The predicted rebound was similar for all deployment scenarios but very different for the three outcome measures included in the analysis. The reduction in prevalence reached a peak that was much lower as for EIR and adult mosquito density, and the resurgence to pre-larviciding levels was predicted to also take much longer (Fig </w:t>
      </w:r>
      <w:r w:rsidR="00CD2D15">
        <w:rPr>
          <w:rFonts w:cstheme="minorHAnsi"/>
        </w:rPr>
        <w:t>S</w:t>
      </w:r>
      <w:r w:rsidR="0050352A" w:rsidRPr="0092700B">
        <w:rPr>
          <w:rFonts w:cstheme="minorHAnsi"/>
        </w:rPr>
        <w:t>2.</w:t>
      </w:r>
      <w:r w:rsidRPr="0092700B">
        <w:rPr>
          <w:rFonts w:cstheme="minorHAnsi"/>
        </w:rPr>
        <w:t xml:space="preserve">5). For prevalence, the resurgence was slower at low compared to high transmission intensity (Fig </w:t>
      </w:r>
      <w:r w:rsidR="00CD2D15">
        <w:rPr>
          <w:rFonts w:cstheme="minorHAnsi"/>
        </w:rPr>
        <w:t>S</w:t>
      </w:r>
      <w:r w:rsidR="0050352A" w:rsidRPr="0092700B">
        <w:rPr>
          <w:rFonts w:cstheme="minorHAnsi"/>
        </w:rPr>
        <w:t>2.</w:t>
      </w:r>
      <w:r w:rsidRPr="0092700B">
        <w:rPr>
          <w:rFonts w:cstheme="minorHAnsi"/>
        </w:rPr>
        <w:t>6.)</w:t>
      </w:r>
    </w:p>
    <w:p w14:paraId="3E0C7304" w14:textId="7090FB68" w:rsidR="0006345A" w:rsidRPr="0092700B" w:rsidRDefault="00644A4D">
      <w:pPr>
        <w:keepNext/>
        <w:rPr>
          <w:rFonts w:cstheme="minorHAnsi"/>
        </w:rPr>
      </w:pPr>
      <w:r w:rsidRPr="0092700B">
        <w:rPr>
          <w:rFonts w:cstheme="minorHAnsi"/>
          <w:noProof/>
          <w:lang w:val="en-IN" w:eastAsia="en-IN"/>
        </w:rPr>
        <w:drawing>
          <wp:inline distT="0" distB="0" distL="0" distR="0" wp14:anchorId="0509AF42" wp14:editId="0BCED160">
            <wp:extent cx="5760720" cy="338865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388658"/>
                    </a:xfrm>
                    <a:prstGeom prst="rect">
                      <a:avLst/>
                    </a:prstGeom>
                  </pic:spPr>
                </pic:pic>
              </a:graphicData>
            </a:graphic>
          </wp:inline>
        </w:drawing>
      </w:r>
    </w:p>
    <w:p w14:paraId="7EA542AE" w14:textId="04936B05" w:rsidR="0006345A" w:rsidRPr="0092700B" w:rsidRDefault="0006345A">
      <w:pPr>
        <w:rPr>
          <w:rFonts w:cstheme="minorHAnsi"/>
          <w:b/>
          <w:bCs/>
        </w:rPr>
      </w:pPr>
      <w:bookmarkStart w:id="6" w:name="_Toc17387804"/>
      <w:r w:rsidRPr="0092700B">
        <w:rPr>
          <w:rFonts w:cstheme="minorHAnsi"/>
          <w:b/>
          <w:bCs/>
        </w:rPr>
        <w:t xml:space="preserve">Fig. </w:t>
      </w:r>
      <w:r w:rsidR="00CD2D15">
        <w:rPr>
          <w:rFonts w:cstheme="minorHAnsi"/>
          <w:b/>
          <w:bCs/>
        </w:rPr>
        <w:t>S</w:t>
      </w:r>
      <w:r w:rsidR="00A93CFE" w:rsidRPr="0092700B">
        <w:rPr>
          <w:rFonts w:cstheme="minorHAnsi"/>
          <w:b/>
          <w:bCs/>
        </w:rPr>
        <w:t>2.</w:t>
      </w:r>
      <w:r w:rsidRPr="0092700B">
        <w:rPr>
          <w:rFonts w:cstheme="minorHAnsi"/>
          <w:b/>
          <w:bCs/>
        </w:rPr>
        <w:fldChar w:fldCharType="begin"/>
      </w:r>
      <w:r w:rsidRPr="0092700B">
        <w:rPr>
          <w:rFonts w:cstheme="minorHAnsi"/>
          <w:b/>
          <w:bCs/>
        </w:rPr>
        <w:instrText xml:space="preserve"> SEQ SI-5. \* ARABIC </w:instrText>
      </w:r>
      <w:r w:rsidRPr="0092700B">
        <w:rPr>
          <w:rFonts w:cstheme="minorHAnsi"/>
          <w:b/>
          <w:bCs/>
        </w:rPr>
        <w:fldChar w:fldCharType="separate"/>
      </w:r>
      <w:r w:rsidR="008E3B50" w:rsidRPr="0092700B">
        <w:rPr>
          <w:rFonts w:cstheme="minorHAnsi"/>
          <w:b/>
          <w:bCs/>
          <w:noProof/>
        </w:rPr>
        <w:t>5</w:t>
      </w:r>
      <w:r w:rsidRPr="0092700B">
        <w:rPr>
          <w:rFonts w:cstheme="minorHAnsi"/>
          <w:b/>
          <w:bCs/>
        </w:rPr>
        <w:fldChar w:fldCharType="end"/>
      </w:r>
      <w:r w:rsidRPr="0092700B">
        <w:rPr>
          <w:rFonts w:cstheme="minorHAnsi"/>
          <w:b/>
          <w:bCs/>
        </w:rPr>
        <w:t>: Varying larviciding deployment and impact on vector density, EIR and prevalence over time with 80% coverage at moderate transmission intensity</w:t>
      </w:r>
      <w:r w:rsidR="00AD0F11" w:rsidRPr="0092700B">
        <w:rPr>
          <w:rFonts w:cstheme="minorHAnsi"/>
          <w:b/>
          <w:bCs/>
        </w:rPr>
        <w:t xml:space="preserve"> (EIR </w:t>
      </w:r>
      <w:r w:rsidR="008505E4" w:rsidRPr="0092700B">
        <w:rPr>
          <w:rFonts w:cstheme="minorHAnsi"/>
          <w:b/>
          <w:bCs/>
        </w:rPr>
        <w:t>=</w:t>
      </w:r>
      <w:r w:rsidR="00AD0F11" w:rsidRPr="0092700B">
        <w:rPr>
          <w:rFonts w:cstheme="minorHAnsi"/>
          <w:b/>
          <w:bCs/>
        </w:rPr>
        <w:t xml:space="preserve"> 10 ibpa)</w:t>
      </w:r>
      <w:r w:rsidRPr="0092700B">
        <w:rPr>
          <w:rFonts w:cstheme="minorHAnsi"/>
          <w:b/>
          <w:bCs/>
        </w:rPr>
        <w:t>.</w:t>
      </w:r>
      <w:bookmarkEnd w:id="6"/>
      <w:r w:rsidRPr="0092700B">
        <w:rPr>
          <w:rFonts w:cstheme="minorHAnsi"/>
          <w:b/>
          <w:bCs/>
        </w:rPr>
        <w:t xml:space="preserve"> </w:t>
      </w:r>
    </w:p>
    <w:p w14:paraId="24FC126F" w14:textId="0DDE8A18" w:rsidR="0006345A" w:rsidRPr="0092700B" w:rsidRDefault="0006345A">
      <w:pPr>
        <w:rPr>
          <w:rFonts w:cstheme="minorHAnsi"/>
          <w:sz w:val="20"/>
          <w:szCs w:val="24"/>
        </w:rPr>
      </w:pPr>
      <w:r w:rsidRPr="0092700B">
        <w:rPr>
          <w:rFonts w:cstheme="minorHAnsi"/>
          <w:b/>
          <w:sz w:val="20"/>
          <w:szCs w:val="24"/>
        </w:rPr>
        <w:t>A)</w:t>
      </w:r>
      <w:r w:rsidRPr="0092700B">
        <w:rPr>
          <w:rFonts w:cstheme="minorHAnsi"/>
          <w:sz w:val="20"/>
          <w:szCs w:val="24"/>
        </w:rPr>
        <w:t xml:space="preserve"> Predicted relative reduction </w:t>
      </w:r>
      <w:r w:rsidR="008C025E" w:rsidRPr="0092700B">
        <w:rPr>
          <w:rFonts w:cstheme="minorHAnsi"/>
          <w:sz w:val="20"/>
          <w:szCs w:val="24"/>
        </w:rPr>
        <w:t xml:space="preserve">compared to no larviciding </w:t>
      </w:r>
      <w:r w:rsidRPr="0092700B">
        <w:rPr>
          <w:rFonts w:cstheme="minorHAnsi"/>
          <w:sz w:val="20"/>
          <w:szCs w:val="24"/>
        </w:rPr>
        <w:t xml:space="preserve">during the post-larviciding period. </w:t>
      </w:r>
      <w:r w:rsidRPr="0092700B">
        <w:rPr>
          <w:rFonts w:cstheme="minorHAnsi"/>
          <w:b/>
          <w:sz w:val="20"/>
          <w:szCs w:val="24"/>
        </w:rPr>
        <w:t>B)</w:t>
      </w:r>
      <w:r w:rsidRPr="0092700B">
        <w:rPr>
          <w:rFonts w:cstheme="minorHAnsi"/>
          <w:sz w:val="20"/>
          <w:szCs w:val="24"/>
        </w:rPr>
        <w:t xml:space="preserve"> Predicted relative reduction after one year.The </w:t>
      </w:r>
      <w:r w:rsidR="00211FB8" w:rsidRPr="0092700B">
        <w:rPr>
          <w:rFonts w:cstheme="minorHAnsi"/>
          <w:sz w:val="20"/>
          <w:szCs w:val="24"/>
        </w:rPr>
        <w:t xml:space="preserve">uncertainty </w:t>
      </w:r>
      <w:r w:rsidR="009257C9" w:rsidRPr="0092700B">
        <w:rPr>
          <w:rFonts w:cstheme="minorHAnsi"/>
          <w:sz w:val="20"/>
          <w:szCs w:val="24"/>
        </w:rPr>
        <w:t>interval</w:t>
      </w:r>
      <w:r w:rsidR="00AD0F11" w:rsidRPr="0092700B">
        <w:rPr>
          <w:rFonts w:cstheme="minorHAnsi"/>
          <w:sz w:val="20"/>
          <w:szCs w:val="24"/>
        </w:rPr>
        <w:t xml:space="preserve"> and</w:t>
      </w:r>
      <w:r w:rsidRPr="0092700B">
        <w:rPr>
          <w:rFonts w:cstheme="minorHAnsi"/>
          <w:sz w:val="20"/>
          <w:szCs w:val="24"/>
        </w:rPr>
        <w:t xml:space="preserve"> the errorbars show the range around the </w:t>
      </w:r>
      <w:r w:rsidR="00A0334F" w:rsidRPr="0092700B">
        <w:rPr>
          <w:rFonts w:cstheme="minorHAnsi"/>
          <w:sz w:val="20"/>
          <w:szCs w:val="24"/>
        </w:rPr>
        <w:t>mosquito density-dependence parameters</w:t>
      </w:r>
      <w:r w:rsidR="00A0334F" w:rsidRPr="0092700B" w:rsidDel="00A0334F">
        <w:rPr>
          <w:rFonts w:cstheme="minorHAnsi"/>
          <w:sz w:val="20"/>
          <w:szCs w:val="24"/>
        </w:rPr>
        <w:t xml:space="preserve"> </w:t>
      </w:r>
      <w:r w:rsidR="00AD0F11" w:rsidRPr="0092700B">
        <w:rPr>
          <w:rFonts w:cstheme="minorHAnsi"/>
          <w:sz w:val="20"/>
          <w:szCs w:val="24"/>
        </w:rPr>
        <w:t>(development survival, number of female eggs laid per ovipositing, development duration)</w:t>
      </w:r>
      <w:r w:rsidRPr="0092700B">
        <w:rPr>
          <w:rFonts w:cstheme="minorHAnsi"/>
          <w:sz w:val="20"/>
          <w:szCs w:val="24"/>
        </w:rPr>
        <w:t>.</w:t>
      </w:r>
    </w:p>
    <w:p w14:paraId="755C04A9" w14:textId="77777777" w:rsidR="0006345A" w:rsidRPr="0092700B" w:rsidRDefault="0006345A">
      <w:pPr>
        <w:rPr>
          <w:rFonts w:cstheme="minorHAnsi"/>
        </w:rPr>
      </w:pPr>
    </w:p>
    <w:p w14:paraId="0E5A02CB" w14:textId="328B44BF" w:rsidR="00370222" w:rsidRPr="0092700B" w:rsidRDefault="00370222" w:rsidP="0092700B">
      <w:pPr>
        <w:spacing w:line="360" w:lineRule="auto"/>
        <w:rPr>
          <w:rFonts w:cstheme="minorHAnsi"/>
        </w:rPr>
      </w:pPr>
      <w:r w:rsidRPr="0092700B">
        <w:rPr>
          <w:rFonts w:cstheme="minorHAnsi"/>
        </w:rPr>
        <w:t xml:space="preserve">The </w:t>
      </w:r>
      <w:r w:rsidR="008E3B50" w:rsidRPr="0092700B">
        <w:rPr>
          <w:rFonts w:cstheme="minorHAnsi"/>
        </w:rPr>
        <w:t xml:space="preserve">relative </w:t>
      </w:r>
      <w:r w:rsidRPr="0092700B">
        <w:rPr>
          <w:rFonts w:cstheme="minorHAnsi"/>
        </w:rPr>
        <w:t xml:space="preserve">reduction in prevalence showed a lag time </w:t>
      </w:r>
      <w:r w:rsidR="008E3B50" w:rsidRPr="0092700B">
        <w:rPr>
          <w:rFonts w:cstheme="minorHAnsi"/>
        </w:rPr>
        <w:t xml:space="preserve">of </w:t>
      </w:r>
      <w:r w:rsidR="008A01B2">
        <w:rPr>
          <w:rFonts w:cstheme="minorHAnsi"/>
        </w:rPr>
        <w:t>25-30</w:t>
      </w:r>
      <w:r w:rsidR="008E3B50" w:rsidRPr="0092700B">
        <w:rPr>
          <w:rFonts w:cstheme="minorHAnsi"/>
        </w:rPr>
        <w:t xml:space="preserve"> days </w:t>
      </w:r>
      <w:r w:rsidRPr="0092700B">
        <w:rPr>
          <w:rFonts w:cstheme="minorHAnsi"/>
        </w:rPr>
        <w:t>after</w:t>
      </w:r>
      <w:r w:rsidR="008E3B50" w:rsidRPr="0092700B">
        <w:rPr>
          <w:rFonts w:cstheme="minorHAnsi"/>
        </w:rPr>
        <w:t xml:space="preserve"> start of</w:t>
      </w:r>
      <w:r w:rsidRPr="0092700B">
        <w:rPr>
          <w:rFonts w:cstheme="minorHAnsi"/>
        </w:rPr>
        <w:t xml:space="preserve"> larviciding</w:t>
      </w:r>
      <w:r w:rsidR="008E3B50" w:rsidRPr="0092700B">
        <w:rPr>
          <w:rFonts w:cstheme="minorHAnsi"/>
        </w:rPr>
        <w:t xml:space="preserve"> and </w:t>
      </w:r>
      <w:r w:rsidR="008A01B2">
        <w:rPr>
          <w:rFonts w:cstheme="minorHAnsi"/>
        </w:rPr>
        <w:t>30-60</w:t>
      </w:r>
      <w:r w:rsidR="008E3B50" w:rsidRPr="0092700B">
        <w:rPr>
          <w:rFonts w:cstheme="minorHAnsi"/>
        </w:rPr>
        <w:t xml:space="preserve"> days after end of larviciding</w:t>
      </w:r>
      <w:r w:rsidR="008A01B2">
        <w:rPr>
          <w:rFonts w:cstheme="minorHAnsi"/>
        </w:rPr>
        <w:t>, depending on coverage</w:t>
      </w:r>
      <w:r w:rsidR="00CD2D15">
        <w:rPr>
          <w:rFonts w:cstheme="minorHAnsi"/>
        </w:rPr>
        <w:t xml:space="preserve"> (Fig S</w:t>
      </w:r>
      <w:r w:rsidR="008E3B50" w:rsidRPr="0092700B">
        <w:rPr>
          <w:rFonts w:cstheme="minorHAnsi"/>
        </w:rPr>
        <w:t>2.6)</w:t>
      </w:r>
      <w:r w:rsidRPr="0092700B">
        <w:rPr>
          <w:rFonts w:cstheme="minorHAnsi"/>
        </w:rPr>
        <w:t>.</w:t>
      </w:r>
    </w:p>
    <w:p w14:paraId="43799125" w14:textId="076D7CD1" w:rsidR="00370222" w:rsidRPr="0092700B" w:rsidRDefault="00370222" w:rsidP="0092700B">
      <w:pPr>
        <w:spacing w:line="360" w:lineRule="auto"/>
        <w:rPr>
          <w:rFonts w:cstheme="minorHAnsi"/>
        </w:rPr>
      </w:pPr>
      <w:r w:rsidRPr="0092700B">
        <w:rPr>
          <w:rFonts w:cstheme="minorHAnsi"/>
          <w:noProof/>
          <w:lang w:val="en-IN" w:eastAsia="en-IN"/>
        </w:rPr>
        <w:drawing>
          <wp:inline distT="0" distB="0" distL="0" distR="0" wp14:anchorId="75E202C4" wp14:editId="7A90FF07">
            <wp:extent cx="5259532" cy="35063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59532" cy="3506354"/>
                    </a:xfrm>
                    <a:prstGeom prst="rect">
                      <a:avLst/>
                    </a:prstGeom>
                    <a:noFill/>
                    <a:ln>
                      <a:noFill/>
                    </a:ln>
                  </pic:spPr>
                </pic:pic>
              </a:graphicData>
            </a:graphic>
          </wp:inline>
        </w:drawing>
      </w:r>
    </w:p>
    <w:p w14:paraId="29C216A1" w14:textId="593C4EB2" w:rsidR="00370222" w:rsidRPr="0092700B" w:rsidRDefault="00CD2D15">
      <w:pPr>
        <w:pStyle w:val="Caption"/>
        <w:spacing w:line="240" w:lineRule="auto"/>
        <w:rPr>
          <w:rFonts w:cstheme="minorHAnsi"/>
          <w:sz w:val="22"/>
          <w:szCs w:val="22"/>
        </w:rPr>
      </w:pPr>
      <w:r>
        <w:rPr>
          <w:rFonts w:cstheme="minorHAnsi"/>
          <w:sz w:val="22"/>
          <w:szCs w:val="22"/>
        </w:rPr>
        <w:t>Fig. S</w:t>
      </w:r>
      <w:r w:rsidR="00370222" w:rsidRPr="0092700B">
        <w:rPr>
          <w:rFonts w:cstheme="minorHAnsi"/>
          <w:sz w:val="22"/>
          <w:szCs w:val="22"/>
        </w:rPr>
        <w:t>2.</w:t>
      </w:r>
      <w:r w:rsidR="00370222" w:rsidRPr="0092700B">
        <w:rPr>
          <w:rFonts w:cstheme="minorHAnsi"/>
          <w:sz w:val="22"/>
          <w:szCs w:val="22"/>
        </w:rPr>
        <w:fldChar w:fldCharType="begin"/>
      </w:r>
      <w:r w:rsidR="00370222" w:rsidRPr="0092700B">
        <w:rPr>
          <w:rFonts w:cstheme="minorHAnsi"/>
          <w:sz w:val="22"/>
          <w:szCs w:val="22"/>
        </w:rPr>
        <w:instrText xml:space="preserve"> SEQ SI-5. \* ARABIC </w:instrText>
      </w:r>
      <w:r w:rsidR="00370222" w:rsidRPr="0092700B">
        <w:rPr>
          <w:rFonts w:cstheme="minorHAnsi"/>
          <w:sz w:val="22"/>
          <w:szCs w:val="22"/>
        </w:rPr>
        <w:fldChar w:fldCharType="separate"/>
      </w:r>
      <w:r w:rsidR="008E3B50" w:rsidRPr="0092700B">
        <w:rPr>
          <w:rFonts w:cstheme="minorHAnsi"/>
          <w:noProof/>
          <w:sz w:val="22"/>
          <w:szCs w:val="22"/>
        </w:rPr>
        <w:t>6</w:t>
      </w:r>
      <w:r w:rsidR="00370222" w:rsidRPr="0092700B">
        <w:rPr>
          <w:rFonts w:cstheme="minorHAnsi"/>
          <w:noProof/>
          <w:sz w:val="22"/>
          <w:szCs w:val="22"/>
        </w:rPr>
        <w:fldChar w:fldCharType="end"/>
      </w:r>
      <w:r w:rsidR="00370222" w:rsidRPr="0092700B">
        <w:rPr>
          <w:rFonts w:cstheme="minorHAnsi"/>
          <w:sz w:val="22"/>
          <w:szCs w:val="22"/>
        </w:rPr>
        <w:t xml:space="preserve">: </w:t>
      </w:r>
      <w:r w:rsidR="00370222" w:rsidRPr="0092700B">
        <w:rPr>
          <w:rStyle w:val="Heading2Char"/>
          <w:rFonts w:cstheme="minorHAnsi"/>
          <w:b/>
          <w:bCs/>
          <w:sz w:val="22"/>
          <w:szCs w:val="22"/>
        </w:rPr>
        <w:t xml:space="preserve">Impact on prevalence over time </w:t>
      </w:r>
      <w:r w:rsidR="00370222" w:rsidRPr="0092700B">
        <w:rPr>
          <w:rFonts w:cstheme="minorHAnsi"/>
          <w:sz w:val="22"/>
          <w:szCs w:val="22"/>
        </w:rPr>
        <w:t>with constant l</w:t>
      </w:r>
      <w:r w:rsidR="00370222" w:rsidRPr="0092700B">
        <w:rPr>
          <w:rStyle w:val="Heading2Char"/>
          <w:rFonts w:cstheme="minorHAnsi"/>
          <w:b/>
          <w:bCs/>
          <w:sz w:val="22"/>
          <w:szCs w:val="22"/>
        </w:rPr>
        <w:t>arviciding deployment for 120 days at different coverage levels and varying transmission intensity.</w:t>
      </w:r>
    </w:p>
    <w:p w14:paraId="15EADE55" w14:textId="701F2B61" w:rsidR="00370222" w:rsidRPr="0092700B" w:rsidRDefault="00370222">
      <w:pPr>
        <w:spacing w:line="240" w:lineRule="auto"/>
        <w:rPr>
          <w:rFonts w:cstheme="minorHAnsi"/>
          <w:bCs/>
        </w:rPr>
      </w:pPr>
      <w:r w:rsidRPr="0092700B">
        <w:rPr>
          <w:rFonts w:cstheme="minorHAnsi"/>
          <w:b/>
        </w:rPr>
        <w:t>A)</w:t>
      </w:r>
      <w:r w:rsidRPr="0092700B">
        <w:rPr>
          <w:rFonts w:cstheme="minorHAnsi"/>
          <w:bCs/>
        </w:rPr>
        <w:t xml:space="preserve"> Predicted prevalence over time. </w:t>
      </w:r>
      <w:r w:rsidRPr="0092700B">
        <w:rPr>
          <w:rFonts w:cstheme="minorHAnsi"/>
          <w:b/>
        </w:rPr>
        <w:t>B)</w:t>
      </w:r>
      <w:r w:rsidRPr="0092700B">
        <w:rPr>
          <w:rFonts w:cstheme="minorHAnsi"/>
          <w:bCs/>
        </w:rPr>
        <w:t xml:space="preserve"> Relative reduction compared to no larviciding. The grey shaded area indicates the time larviciding was deployed assuming constant effectiveness. The uncertainty intervals show the range around the </w:t>
      </w:r>
      <w:r w:rsidR="00A0334F" w:rsidRPr="0092700B">
        <w:rPr>
          <w:rFonts w:cstheme="minorHAnsi"/>
          <w:bCs/>
        </w:rPr>
        <w:t xml:space="preserve">mosquito density-dependence parameters </w:t>
      </w:r>
      <w:r w:rsidRPr="0092700B">
        <w:rPr>
          <w:rFonts w:cstheme="minorHAnsi"/>
          <w:bCs/>
        </w:rPr>
        <w:t>(development survival, number of female eggs laid per ovipositing, development duration).</w:t>
      </w:r>
    </w:p>
    <w:p w14:paraId="2F305A1F" w14:textId="77777777" w:rsidR="00D97637" w:rsidRPr="0092700B" w:rsidRDefault="00D97637">
      <w:pPr>
        <w:rPr>
          <w:rFonts w:eastAsiaTheme="majorEastAsia" w:cstheme="minorHAnsi"/>
          <w:b/>
          <w:bCs/>
          <w:sz w:val="18"/>
          <w:szCs w:val="26"/>
        </w:rPr>
      </w:pPr>
    </w:p>
    <w:p w14:paraId="1724F286" w14:textId="676D98E8" w:rsidR="00A71CBE" w:rsidRPr="0092700B" w:rsidRDefault="00A71CBE">
      <w:pPr>
        <w:pStyle w:val="Heading1"/>
        <w:rPr>
          <w:rFonts w:cstheme="minorHAnsi"/>
        </w:rPr>
      </w:pPr>
      <w:bookmarkStart w:id="7" w:name="_Toc72130097"/>
      <w:r w:rsidRPr="0092700B">
        <w:rPr>
          <w:rFonts w:cstheme="minorHAnsi"/>
        </w:rPr>
        <w:t>Larviciding and seasonality</w:t>
      </w:r>
      <w:bookmarkEnd w:id="7"/>
      <w:r w:rsidRPr="0092700B">
        <w:rPr>
          <w:rFonts w:cstheme="minorHAnsi"/>
        </w:rPr>
        <w:t xml:space="preserve"> </w:t>
      </w:r>
    </w:p>
    <w:p w14:paraId="50D8A92D" w14:textId="42204EE5" w:rsidR="00702D70" w:rsidRPr="0092700B" w:rsidRDefault="00702D70">
      <w:pPr>
        <w:pStyle w:val="Heading2"/>
        <w:rPr>
          <w:rFonts w:cstheme="minorHAnsi"/>
          <w:sz w:val="22"/>
          <w:szCs w:val="32"/>
        </w:rPr>
      </w:pPr>
      <w:bookmarkStart w:id="8" w:name="_Toc72130098"/>
      <w:r w:rsidRPr="0092700B">
        <w:rPr>
          <w:rFonts w:cstheme="minorHAnsi"/>
          <w:sz w:val="22"/>
          <w:szCs w:val="32"/>
        </w:rPr>
        <w:t>Seasonality and timing of larviciding</w:t>
      </w:r>
      <w:bookmarkEnd w:id="8"/>
    </w:p>
    <w:p w14:paraId="5D41AD91" w14:textId="14B0324E" w:rsidR="00560E8B" w:rsidRPr="0092700B" w:rsidRDefault="002171CA" w:rsidP="0092700B">
      <w:pPr>
        <w:spacing w:line="360" w:lineRule="auto"/>
        <w:rPr>
          <w:rFonts w:cstheme="minorHAnsi"/>
        </w:rPr>
      </w:pPr>
      <w:r w:rsidRPr="0092700B">
        <w:rPr>
          <w:rFonts w:cstheme="minorHAnsi"/>
        </w:rPr>
        <w:t>T</w:t>
      </w:r>
      <w:r w:rsidR="00560E8B" w:rsidRPr="0092700B">
        <w:rPr>
          <w:rFonts w:cstheme="minorHAnsi"/>
        </w:rPr>
        <w:t>he highest reduction was predicted for larviciding starting around three months before the peak in transmission with the assumption of a fixed effectiveness duration of 120 days, lasting until one months after the peak. (</w:t>
      </w:r>
      <w:r w:rsidR="00702D70" w:rsidRPr="0092700B">
        <w:rPr>
          <w:rFonts w:cstheme="minorHAnsi"/>
        </w:rPr>
        <w:t>Fig</w:t>
      </w:r>
      <w:r w:rsidR="00560E8B" w:rsidRPr="0092700B">
        <w:rPr>
          <w:rFonts w:cstheme="minorHAnsi"/>
        </w:rPr>
        <w:t>.</w:t>
      </w:r>
      <w:r w:rsidR="00702D70" w:rsidRPr="0092700B">
        <w:rPr>
          <w:rFonts w:cstheme="minorHAnsi"/>
        </w:rPr>
        <w:t xml:space="preserve"> </w:t>
      </w:r>
      <w:r w:rsidR="00CD2D15">
        <w:rPr>
          <w:rFonts w:cstheme="minorHAnsi"/>
        </w:rPr>
        <w:t>S</w:t>
      </w:r>
      <w:r w:rsidR="0050352A" w:rsidRPr="0092700B">
        <w:rPr>
          <w:rFonts w:cstheme="minorHAnsi"/>
        </w:rPr>
        <w:t>2.</w:t>
      </w:r>
      <w:r w:rsidRPr="0092700B">
        <w:rPr>
          <w:rFonts w:cstheme="minorHAnsi"/>
        </w:rPr>
        <w:t>7</w:t>
      </w:r>
      <w:r w:rsidR="00560E8B" w:rsidRPr="0092700B">
        <w:rPr>
          <w:rFonts w:cstheme="minorHAnsi"/>
        </w:rPr>
        <w:t xml:space="preserve">). Regardless of seasonality, transmission intensity or larviciding coverage, deployment of larviciding in the wet season </w:t>
      </w:r>
      <w:r w:rsidR="007D7CFB" w:rsidRPr="0092700B">
        <w:rPr>
          <w:rFonts w:cstheme="minorHAnsi"/>
        </w:rPr>
        <w:t>was</w:t>
      </w:r>
      <w:r w:rsidR="00560E8B" w:rsidRPr="0092700B">
        <w:rPr>
          <w:rFonts w:cstheme="minorHAnsi"/>
        </w:rPr>
        <w:t xml:space="preserve"> the most impactful timing, followed by deployment during the beginning of the rain, then the end of the rainy season. For high seasonal settings, deployment of larviciding during the rainy season only or throughout the whole year would have a similar expected impact. </w:t>
      </w:r>
      <w:r w:rsidR="00154D03" w:rsidRPr="0092700B">
        <w:rPr>
          <w:rFonts w:cstheme="minorHAnsi"/>
        </w:rPr>
        <w:t xml:space="preserve">During the dry season, the relative impact of larviciding was equally low across all transmission intensities. </w:t>
      </w:r>
      <w:r w:rsidR="00560E8B" w:rsidRPr="0092700B">
        <w:rPr>
          <w:rFonts w:cstheme="minorHAnsi"/>
        </w:rPr>
        <w:t xml:space="preserve">The </w:t>
      </w:r>
      <w:r w:rsidR="007D7CFB" w:rsidRPr="0092700B">
        <w:rPr>
          <w:rFonts w:cstheme="minorHAnsi"/>
        </w:rPr>
        <w:t xml:space="preserve">modelling </w:t>
      </w:r>
      <w:r w:rsidR="00560E8B" w:rsidRPr="0092700B">
        <w:rPr>
          <w:rFonts w:cstheme="minorHAnsi"/>
        </w:rPr>
        <w:t xml:space="preserve">results </w:t>
      </w:r>
      <w:r w:rsidR="00154D03" w:rsidRPr="0092700B">
        <w:rPr>
          <w:rFonts w:cstheme="minorHAnsi"/>
        </w:rPr>
        <w:t xml:space="preserve">further </w:t>
      </w:r>
      <w:r w:rsidR="00560E8B" w:rsidRPr="0092700B">
        <w:rPr>
          <w:rFonts w:cstheme="minorHAnsi"/>
        </w:rPr>
        <w:t xml:space="preserve">suggest that </w:t>
      </w:r>
      <w:r w:rsidR="007D7CFB" w:rsidRPr="0092700B">
        <w:rPr>
          <w:rFonts w:cstheme="minorHAnsi"/>
        </w:rPr>
        <w:t>at very high transmission intensity with perinnial transmission (no seasonality)</w:t>
      </w:r>
      <w:r w:rsidR="00560E8B" w:rsidRPr="0092700B">
        <w:rPr>
          <w:rFonts w:cstheme="minorHAnsi"/>
        </w:rPr>
        <w:t xml:space="preserve"> larviciding would not have any impact on </w:t>
      </w:r>
      <w:r w:rsidR="00A54064" w:rsidRPr="0092700B">
        <w:rPr>
          <w:rFonts w:cstheme="minorHAnsi"/>
        </w:rPr>
        <w:t xml:space="preserve">the malaria </w:t>
      </w:r>
      <w:r w:rsidR="00560E8B" w:rsidRPr="0092700B">
        <w:rPr>
          <w:rFonts w:cstheme="minorHAnsi"/>
        </w:rPr>
        <w:t xml:space="preserve">prevalence </w:t>
      </w:r>
      <w:r w:rsidR="00A54064" w:rsidRPr="0092700B">
        <w:rPr>
          <w:rFonts w:cstheme="minorHAnsi"/>
        </w:rPr>
        <w:t xml:space="preserve">in human </w:t>
      </w:r>
      <w:r w:rsidR="00560E8B" w:rsidRPr="0092700B">
        <w:rPr>
          <w:rFonts w:cstheme="minorHAnsi"/>
        </w:rPr>
        <w:t>(Fi</w:t>
      </w:r>
      <w:r w:rsidRPr="0092700B">
        <w:rPr>
          <w:rFonts w:cstheme="minorHAnsi"/>
        </w:rPr>
        <w:t xml:space="preserve">g. </w:t>
      </w:r>
      <w:r w:rsidR="00CD2D15">
        <w:rPr>
          <w:rFonts w:cstheme="minorHAnsi"/>
        </w:rPr>
        <w:t>S</w:t>
      </w:r>
      <w:r w:rsidR="0050352A" w:rsidRPr="0092700B">
        <w:rPr>
          <w:rFonts w:cstheme="minorHAnsi"/>
        </w:rPr>
        <w:t>2.</w:t>
      </w:r>
      <w:r w:rsidRPr="0092700B">
        <w:rPr>
          <w:rFonts w:cstheme="minorHAnsi"/>
        </w:rPr>
        <w:t>8</w:t>
      </w:r>
      <w:r w:rsidR="00560E8B" w:rsidRPr="0092700B">
        <w:rPr>
          <w:rFonts w:cstheme="minorHAnsi"/>
        </w:rPr>
        <w:t xml:space="preserve">). </w:t>
      </w:r>
    </w:p>
    <w:p w14:paraId="49102E5C" w14:textId="0CCF4B41" w:rsidR="00C52CB3" w:rsidRPr="0092700B" w:rsidRDefault="00C52CB3" w:rsidP="0092700B">
      <w:pPr>
        <w:spacing w:line="360" w:lineRule="auto"/>
        <w:rPr>
          <w:rFonts w:cstheme="minorHAnsi"/>
        </w:rPr>
      </w:pPr>
    </w:p>
    <w:p w14:paraId="0D8B4955" w14:textId="1289AFE6" w:rsidR="00560E8B" w:rsidRPr="0092700B" w:rsidRDefault="00667770">
      <w:pPr>
        <w:rPr>
          <w:rFonts w:cstheme="minorHAnsi"/>
        </w:rPr>
      </w:pPr>
      <w:r w:rsidRPr="0092700B">
        <w:rPr>
          <w:rFonts w:cstheme="minorHAnsi"/>
          <w:noProof/>
          <w:lang w:val="en-IN" w:eastAsia="en-IN"/>
        </w:rPr>
        <w:drawing>
          <wp:inline distT="0" distB="0" distL="0" distR="0" wp14:anchorId="472DB3B1" wp14:editId="6736557E">
            <wp:extent cx="5760720" cy="38792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879215"/>
                    </a:xfrm>
                    <a:prstGeom prst="rect">
                      <a:avLst/>
                    </a:prstGeom>
                  </pic:spPr>
                </pic:pic>
              </a:graphicData>
            </a:graphic>
          </wp:inline>
        </w:drawing>
      </w:r>
      <w:r w:rsidR="00560E8B" w:rsidRPr="0092700B">
        <w:rPr>
          <w:rFonts w:cstheme="minorHAnsi"/>
        </w:rPr>
        <w:t xml:space="preserve"> </w:t>
      </w:r>
    </w:p>
    <w:p w14:paraId="3388F08F" w14:textId="372E45DE" w:rsidR="00560E8B" w:rsidRPr="0092700B" w:rsidRDefault="00560E8B">
      <w:pPr>
        <w:pStyle w:val="Caption"/>
        <w:spacing w:line="240" w:lineRule="auto"/>
        <w:rPr>
          <w:rFonts w:cstheme="minorHAnsi"/>
          <w:sz w:val="22"/>
          <w:szCs w:val="22"/>
        </w:rPr>
      </w:pPr>
      <w:r w:rsidRPr="0092700B">
        <w:rPr>
          <w:rFonts w:cstheme="minorHAnsi"/>
          <w:sz w:val="22"/>
          <w:szCs w:val="22"/>
        </w:rPr>
        <w:t xml:space="preserve">Fig. </w:t>
      </w:r>
      <w:r w:rsidR="00CD2D15">
        <w:rPr>
          <w:rFonts w:cstheme="minorHAnsi"/>
          <w:sz w:val="22"/>
          <w:szCs w:val="22"/>
        </w:rPr>
        <w:t>S</w:t>
      </w:r>
      <w:r w:rsidR="00A93CFE" w:rsidRPr="0092700B">
        <w:rPr>
          <w:rFonts w:cstheme="minorHAnsi"/>
          <w:sz w:val="22"/>
          <w:szCs w:val="22"/>
        </w:rPr>
        <w:t>2.</w:t>
      </w:r>
      <w:r w:rsidRPr="0092700B">
        <w:rPr>
          <w:rFonts w:cstheme="minorHAnsi"/>
          <w:sz w:val="22"/>
          <w:szCs w:val="22"/>
        </w:rPr>
        <w:fldChar w:fldCharType="begin"/>
      </w:r>
      <w:r w:rsidRPr="0092700B">
        <w:rPr>
          <w:rFonts w:cstheme="minorHAnsi"/>
          <w:sz w:val="22"/>
          <w:szCs w:val="22"/>
        </w:rPr>
        <w:instrText xml:space="preserve"> SEQ SI-5. \* ARABIC </w:instrText>
      </w:r>
      <w:r w:rsidRPr="0092700B">
        <w:rPr>
          <w:rFonts w:cstheme="minorHAnsi"/>
          <w:sz w:val="22"/>
          <w:szCs w:val="22"/>
        </w:rPr>
        <w:fldChar w:fldCharType="separate"/>
      </w:r>
      <w:r w:rsidR="008E3B50" w:rsidRPr="0092700B">
        <w:rPr>
          <w:rFonts w:cstheme="minorHAnsi"/>
          <w:noProof/>
          <w:sz w:val="22"/>
          <w:szCs w:val="22"/>
        </w:rPr>
        <w:t>7</w:t>
      </w:r>
      <w:r w:rsidRPr="0092700B">
        <w:rPr>
          <w:rFonts w:cstheme="minorHAnsi"/>
          <w:noProof/>
          <w:sz w:val="22"/>
          <w:szCs w:val="22"/>
        </w:rPr>
        <w:fldChar w:fldCharType="end"/>
      </w:r>
      <w:r w:rsidRPr="0092700B">
        <w:rPr>
          <w:rFonts w:cstheme="minorHAnsi"/>
          <w:sz w:val="22"/>
          <w:szCs w:val="22"/>
        </w:rPr>
        <w:t xml:space="preserve">: </w:t>
      </w:r>
      <w:r w:rsidR="00C8358F" w:rsidRPr="0092700B">
        <w:rPr>
          <w:rStyle w:val="Heading2Char"/>
          <w:rFonts w:cstheme="minorHAnsi"/>
          <w:b/>
          <w:bCs/>
          <w:sz w:val="22"/>
          <w:szCs w:val="22"/>
        </w:rPr>
        <w:t>Relative reduction in prevalence over time for v</w:t>
      </w:r>
      <w:r w:rsidRPr="0092700B">
        <w:rPr>
          <w:rStyle w:val="Heading2Char"/>
          <w:rFonts w:cstheme="minorHAnsi"/>
          <w:b/>
          <w:bCs/>
          <w:sz w:val="22"/>
          <w:szCs w:val="22"/>
        </w:rPr>
        <w:t>arying starting month</w:t>
      </w:r>
      <w:r w:rsidR="00C8358F" w:rsidRPr="0092700B">
        <w:rPr>
          <w:rStyle w:val="Heading2Char"/>
          <w:rFonts w:cstheme="minorHAnsi"/>
          <w:b/>
          <w:bCs/>
          <w:sz w:val="22"/>
          <w:szCs w:val="22"/>
        </w:rPr>
        <w:t>s</w:t>
      </w:r>
      <w:r w:rsidRPr="0092700B">
        <w:rPr>
          <w:rStyle w:val="Heading2Char"/>
          <w:rFonts w:cstheme="minorHAnsi"/>
          <w:b/>
          <w:bCs/>
          <w:sz w:val="22"/>
          <w:szCs w:val="22"/>
        </w:rPr>
        <w:t xml:space="preserve"> of larviciding</w:t>
      </w:r>
      <w:r w:rsidR="00C8358F" w:rsidRPr="0092700B">
        <w:rPr>
          <w:rStyle w:val="Heading2Char"/>
          <w:rFonts w:cstheme="minorHAnsi"/>
          <w:b/>
          <w:bCs/>
          <w:sz w:val="22"/>
          <w:szCs w:val="22"/>
        </w:rPr>
        <w:t xml:space="preserve"> and varying coverages </w:t>
      </w:r>
      <w:r w:rsidR="00667770" w:rsidRPr="0092700B">
        <w:rPr>
          <w:rStyle w:val="Heading2Char"/>
          <w:rFonts w:cstheme="minorHAnsi"/>
          <w:b/>
          <w:bCs/>
          <w:sz w:val="22"/>
          <w:szCs w:val="22"/>
        </w:rPr>
        <w:t>at moderate transmission intensity</w:t>
      </w:r>
      <w:r w:rsidR="00841C5C" w:rsidRPr="0092700B">
        <w:rPr>
          <w:rStyle w:val="Heading2Char"/>
          <w:rFonts w:cstheme="minorHAnsi"/>
          <w:b/>
          <w:bCs/>
          <w:sz w:val="22"/>
          <w:szCs w:val="22"/>
        </w:rPr>
        <w:t xml:space="preserve"> (EIR=10 ibpa)</w:t>
      </w:r>
      <w:r w:rsidRPr="0092700B">
        <w:rPr>
          <w:rStyle w:val="Heading2Char"/>
          <w:rFonts w:cstheme="minorHAnsi"/>
          <w:b/>
          <w:bCs/>
          <w:sz w:val="22"/>
          <w:szCs w:val="22"/>
        </w:rPr>
        <w:t>.</w:t>
      </w:r>
    </w:p>
    <w:p w14:paraId="27817E02" w14:textId="4A0246D2" w:rsidR="00560E8B" w:rsidRPr="0092700B" w:rsidRDefault="00560E8B" w:rsidP="0092700B">
      <w:pPr>
        <w:spacing w:after="200" w:line="240" w:lineRule="auto"/>
        <w:rPr>
          <w:rFonts w:cstheme="minorHAnsi"/>
          <w:bCs/>
        </w:rPr>
      </w:pPr>
      <w:r w:rsidRPr="0092700B">
        <w:rPr>
          <w:rFonts w:cstheme="minorHAnsi"/>
          <w:bCs/>
        </w:rPr>
        <w:t>The</w:t>
      </w:r>
      <w:r w:rsidR="000D2D54" w:rsidRPr="0092700B">
        <w:rPr>
          <w:rFonts w:cstheme="minorHAnsi"/>
          <w:bCs/>
        </w:rPr>
        <w:t xml:space="preserve"> grey</w:t>
      </w:r>
      <w:r w:rsidRPr="0092700B">
        <w:rPr>
          <w:rFonts w:cstheme="minorHAnsi"/>
          <w:bCs/>
        </w:rPr>
        <w:t xml:space="preserve"> shaded area indicates the time larviciding </w:t>
      </w:r>
      <w:r w:rsidR="002060C2" w:rsidRPr="0092700B">
        <w:rPr>
          <w:rFonts w:cstheme="minorHAnsi"/>
          <w:bCs/>
        </w:rPr>
        <w:t>was</w:t>
      </w:r>
      <w:r w:rsidRPr="0092700B">
        <w:rPr>
          <w:rFonts w:cstheme="minorHAnsi"/>
          <w:bCs/>
        </w:rPr>
        <w:t xml:space="preserve"> deployed</w:t>
      </w:r>
      <w:r w:rsidR="002060C2" w:rsidRPr="0092700B">
        <w:rPr>
          <w:rFonts w:cstheme="minorHAnsi"/>
          <w:bCs/>
        </w:rPr>
        <w:t xml:space="preserve"> assuming constant effectiveness</w:t>
      </w:r>
      <w:r w:rsidRPr="0092700B">
        <w:rPr>
          <w:rFonts w:cstheme="minorHAnsi"/>
          <w:bCs/>
        </w:rPr>
        <w:t xml:space="preserve">. The colored lines show the starting months as selected for the defined seasonal deployment of larviciding. </w:t>
      </w:r>
    </w:p>
    <w:p w14:paraId="1CF76D61" w14:textId="77777777" w:rsidR="0095388A" w:rsidRPr="0092700B" w:rsidRDefault="0095388A" w:rsidP="0092700B">
      <w:pPr>
        <w:spacing w:line="360" w:lineRule="auto"/>
        <w:rPr>
          <w:rFonts w:cstheme="minorHAnsi"/>
        </w:rPr>
      </w:pPr>
    </w:p>
    <w:p w14:paraId="5FD7A373" w14:textId="77777777" w:rsidR="00702D70" w:rsidRPr="0092700B" w:rsidRDefault="00702D70">
      <w:pPr>
        <w:spacing w:line="240" w:lineRule="auto"/>
        <w:rPr>
          <w:rFonts w:cstheme="minorHAnsi"/>
        </w:rPr>
      </w:pPr>
      <w:r w:rsidRPr="0092700B">
        <w:rPr>
          <w:rFonts w:cstheme="minorHAnsi"/>
          <w:noProof/>
          <w:lang w:val="en-IN" w:eastAsia="en-IN"/>
        </w:rPr>
        <w:drawing>
          <wp:inline distT="0" distB="0" distL="0" distR="0" wp14:anchorId="305AE3B6" wp14:editId="1E490065">
            <wp:extent cx="5760719" cy="4800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ngma\Projects\IHI_larviciding\0_Paper\Figures\SI5_Fig6a_PR.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60719" cy="4800600"/>
                    </a:xfrm>
                    <a:prstGeom prst="rect">
                      <a:avLst/>
                    </a:prstGeom>
                    <a:noFill/>
                    <a:ln>
                      <a:noFill/>
                    </a:ln>
                  </pic:spPr>
                </pic:pic>
              </a:graphicData>
            </a:graphic>
          </wp:inline>
        </w:drawing>
      </w:r>
    </w:p>
    <w:p w14:paraId="6EA656A7" w14:textId="77777777" w:rsidR="00702D70" w:rsidRPr="0092700B" w:rsidRDefault="00702D70">
      <w:pPr>
        <w:spacing w:line="240" w:lineRule="auto"/>
        <w:rPr>
          <w:rFonts w:cstheme="minorHAnsi"/>
        </w:rPr>
      </w:pPr>
    </w:p>
    <w:p w14:paraId="7E5749BD" w14:textId="4985AC7F" w:rsidR="00702D70" w:rsidRPr="0092700B" w:rsidRDefault="00702D70">
      <w:pPr>
        <w:pStyle w:val="Caption"/>
        <w:spacing w:line="240" w:lineRule="auto"/>
        <w:rPr>
          <w:rFonts w:cstheme="minorHAnsi"/>
          <w:sz w:val="22"/>
          <w:szCs w:val="22"/>
        </w:rPr>
      </w:pPr>
      <w:r w:rsidRPr="0092700B">
        <w:rPr>
          <w:rFonts w:cstheme="minorHAnsi"/>
          <w:sz w:val="22"/>
          <w:szCs w:val="22"/>
        </w:rPr>
        <w:t>Fig</w:t>
      </w:r>
      <w:r w:rsidR="00561894" w:rsidRPr="0092700B">
        <w:rPr>
          <w:rFonts w:cstheme="minorHAnsi"/>
          <w:sz w:val="22"/>
          <w:szCs w:val="22"/>
        </w:rPr>
        <w:t>.</w:t>
      </w:r>
      <w:r w:rsidRPr="0092700B">
        <w:rPr>
          <w:rFonts w:cstheme="minorHAnsi"/>
          <w:sz w:val="22"/>
          <w:szCs w:val="22"/>
        </w:rPr>
        <w:t xml:space="preserve"> </w:t>
      </w:r>
      <w:r w:rsidR="00CD2D15">
        <w:rPr>
          <w:rFonts w:cstheme="minorHAnsi"/>
          <w:sz w:val="22"/>
          <w:szCs w:val="22"/>
        </w:rPr>
        <w:t>S</w:t>
      </w:r>
      <w:r w:rsidR="00A93CFE" w:rsidRPr="0092700B">
        <w:rPr>
          <w:rFonts w:cstheme="minorHAnsi"/>
          <w:sz w:val="22"/>
          <w:szCs w:val="22"/>
        </w:rPr>
        <w:t>2.</w:t>
      </w:r>
      <w:r w:rsidRPr="0092700B">
        <w:rPr>
          <w:rFonts w:cstheme="minorHAnsi"/>
          <w:sz w:val="22"/>
          <w:szCs w:val="22"/>
        </w:rPr>
        <w:fldChar w:fldCharType="begin"/>
      </w:r>
      <w:r w:rsidRPr="0092700B">
        <w:rPr>
          <w:rFonts w:cstheme="minorHAnsi"/>
          <w:sz w:val="22"/>
          <w:szCs w:val="22"/>
        </w:rPr>
        <w:instrText xml:space="preserve"> SEQ SI-5. \* ARABIC </w:instrText>
      </w:r>
      <w:r w:rsidRPr="0092700B">
        <w:rPr>
          <w:rFonts w:cstheme="minorHAnsi"/>
          <w:sz w:val="22"/>
          <w:szCs w:val="22"/>
        </w:rPr>
        <w:fldChar w:fldCharType="separate"/>
      </w:r>
      <w:r w:rsidR="008E3B50" w:rsidRPr="0092700B">
        <w:rPr>
          <w:rFonts w:cstheme="minorHAnsi"/>
          <w:noProof/>
          <w:sz w:val="22"/>
          <w:szCs w:val="22"/>
        </w:rPr>
        <w:t>8</w:t>
      </w:r>
      <w:r w:rsidRPr="0092700B">
        <w:rPr>
          <w:rFonts w:cstheme="minorHAnsi"/>
          <w:noProof/>
          <w:sz w:val="22"/>
          <w:szCs w:val="22"/>
        </w:rPr>
        <w:fldChar w:fldCharType="end"/>
      </w:r>
      <w:r w:rsidRPr="0092700B">
        <w:rPr>
          <w:rFonts w:cstheme="minorHAnsi"/>
          <w:sz w:val="22"/>
          <w:szCs w:val="22"/>
        </w:rPr>
        <w:t>: Monthly shift in deployment and relative reduction in prevalence with varying coverage and transmission intensity.</w:t>
      </w:r>
    </w:p>
    <w:p w14:paraId="75B4C846" w14:textId="4B1E5A88" w:rsidR="00702D70" w:rsidRPr="0092700B" w:rsidRDefault="00702D70">
      <w:pPr>
        <w:pStyle w:val="Caption"/>
        <w:spacing w:line="240" w:lineRule="auto"/>
        <w:rPr>
          <w:rFonts w:cstheme="minorHAnsi"/>
          <w:b w:val="0"/>
          <w:sz w:val="22"/>
          <w:szCs w:val="22"/>
        </w:rPr>
      </w:pPr>
      <w:r w:rsidRPr="0092700B">
        <w:rPr>
          <w:rFonts w:cstheme="minorHAnsi"/>
          <w:b w:val="0"/>
          <w:sz w:val="22"/>
          <w:szCs w:val="22"/>
        </w:rPr>
        <w:t xml:space="preserve">The colored lines indicate the seasonal timing explored (begin of rain = -6 </w:t>
      </w:r>
      <w:r w:rsidR="00F61A1A" w:rsidRPr="0092700B">
        <w:rPr>
          <w:rFonts w:cstheme="minorHAnsi"/>
          <w:b w:val="0"/>
          <w:sz w:val="22"/>
          <w:szCs w:val="22"/>
        </w:rPr>
        <w:t>to</w:t>
      </w:r>
      <w:r w:rsidRPr="0092700B">
        <w:rPr>
          <w:rFonts w:cstheme="minorHAnsi"/>
          <w:b w:val="0"/>
          <w:sz w:val="22"/>
          <w:szCs w:val="22"/>
        </w:rPr>
        <w:t xml:space="preserve"> -4 , dry season = 3</w:t>
      </w:r>
      <w:r w:rsidR="00F61A1A" w:rsidRPr="0092700B">
        <w:rPr>
          <w:rFonts w:cstheme="minorHAnsi"/>
          <w:b w:val="0"/>
          <w:sz w:val="22"/>
          <w:szCs w:val="22"/>
        </w:rPr>
        <w:t xml:space="preserve"> to </w:t>
      </w:r>
      <w:r w:rsidRPr="0092700B">
        <w:rPr>
          <w:rFonts w:cstheme="minorHAnsi"/>
          <w:b w:val="0"/>
          <w:sz w:val="22"/>
          <w:szCs w:val="22"/>
        </w:rPr>
        <w:t>5, end of rain=0</w:t>
      </w:r>
      <w:r w:rsidR="00F61A1A" w:rsidRPr="0092700B">
        <w:rPr>
          <w:rFonts w:cstheme="minorHAnsi"/>
          <w:b w:val="0"/>
          <w:sz w:val="22"/>
          <w:szCs w:val="22"/>
        </w:rPr>
        <w:t xml:space="preserve"> to </w:t>
      </w:r>
      <w:r w:rsidRPr="0092700B">
        <w:rPr>
          <w:rFonts w:cstheme="minorHAnsi"/>
          <w:b w:val="0"/>
          <w:sz w:val="22"/>
          <w:szCs w:val="22"/>
        </w:rPr>
        <w:t xml:space="preserve">2, </w:t>
      </w:r>
      <w:r w:rsidR="00F61A1A" w:rsidRPr="0092700B">
        <w:rPr>
          <w:rFonts w:cstheme="minorHAnsi"/>
          <w:b w:val="0"/>
          <w:sz w:val="22"/>
          <w:szCs w:val="22"/>
        </w:rPr>
        <w:t xml:space="preserve">and </w:t>
      </w:r>
      <w:r w:rsidRPr="0092700B">
        <w:rPr>
          <w:rFonts w:cstheme="minorHAnsi"/>
          <w:b w:val="0"/>
          <w:sz w:val="22"/>
          <w:szCs w:val="22"/>
        </w:rPr>
        <w:t xml:space="preserve">mid of rain=-3 </w:t>
      </w:r>
      <w:r w:rsidR="00F61A1A" w:rsidRPr="0092700B">
        <w:rPr>
          <w:rFonts w:cstheme="minorHAnsi"/>
          <w:b w:val="0"/>
          <w:sz w:val="22"/>
          <w:szCs w:val="22"/>
        </w:rPr>
        <w:t>to</w:t>
      </w:r>
      <w:r w:rsidRPr="0092700B">
        <w:rPr>
          <w:rFonts w:cstheme="minorHAnsi"/>
          <w:b w:val="0"/>
          <w:sz w:val="22"/>
          <w:szCs w:val="22"/>
        </w:rPr>
        <w:t xml:space="preserve"> -1 months before the peak in transmission).</w:t>
      </w:r>
    </w:p>
    <w:p w14:paraId="337425EF" w14:textId="5C2F1BFA" w:rsidR="00702D70" w:rsidRPr="0092700B" w:rsidRDefault="00702D70">
      <w:pPr>
        <w:rPr>
          <w:rFonts w:cstheme="minorHAnsi"/>
          <w:sz w:val="18"/>
        </w:rPr>
      </w:pPr>
    </w:p>
    <w:p w14:paraId="4562D816" w14:textId="77777777" w:rsidR="00560E8B" w:rsidRPr="0092700B" w:rsidRDefault="00560E8B" w:rsidP="0092700B">
      <w:pPr>
        <w:spacing w:line="360" w:lineRule="auto"/>
        <w:rPr>
          <w:rFonts w:cstheme="minorHAnsi"/>
        </w:rPr>
      </w:pPr>
      <w:r w:rsidRPr="0092700B">
        <w:rPr>
          <w:rFonts w:cstheme="minorHAnsi"/>
          <w:noProof/>
          <w:lang w:val="en-IN" w:eastAsia="en-IN"/>
        </w:rPr>
        <w:drawing>
          <wp:inline distT="0" distB="0" distL="0" distR="0" wp14:anchorId="390444A5" wp14:editId="461F6135">
            <wp:extent cx="5656719" cy="4088366"/>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56719" cy="4088366"/>
                    </a:xfrm>
                    <a:prstGeom prst="rect">
                      <a:avLst/>
                    </a:prstGeom>
                    <a:noFill/>
                    <a:ln>
                      <a:noFill/>
                    </a:ln>
                  </pic:spPr>
                </pic:pic>
              </a:graphicData>
            </a:graphic>
          </wp:inline>
        </w:drawing>
      </w:r>
    </w:p>
    <w:p w14:paraId="7C08A2FF" w14:textId="70D7BD93" w:rsidR="00560E8B" w:rsidRPr="0092700B" w:rsidRDefault="00560E8B">
      <w:pPr>
        <w:pStyle w:val="Caption"/>
        <w:spacing w:line="276" w:lineRule="auto"/>
        <w:rPr>
          <w:rFonts w:cstheme="minorHAnsi"/>
          <w:sz w:val="20"/>
        </w:rPr>
      </w:pPr>
      <w:r w:rsidRPr="0092700B">
        <w:rPr>
          <w:rFonts w:cstheme="minorHAnsi"/>
          <w:sz w:val="22"/>
          <w:szCs w:val="22"/>
        </w:rPr>
        <w:t xml:space="preserve">Fig. </w:t>
      </w:r>
      <w:r w:rsidR="00CD2D15">
        <w:rPr>
          <w:rFonts w:cstheme="minorHAnsi"/>
          <w:sz w:val="22"/>
          <w:szCs w:val="22"/>
        </w:rPr>
        <w:t>S</w:t>
      </w:r>
      <w:r w:rsidR="00A93CFE" w:rsidRPr="0092700B">
        <w:rPr>
          <w:rFonts w:cstheme="minorHAnsi"/>
          <w:sz w:val="22"/>
          <w:szCs w:val="22"/>
        </w:rPr>
        <w:t>2.</w:t>
      </w:r>
      <w:r w:rsidRPr="0092700B">
        <w:rPr>
          <w:rFonts w:cstheme="minorHAnsi"/>
          <w:sz w:val="22"/>
          <w:szCs w:val="22"/>
        </w:rPr>
        <w:fldChar w:fldCharType="begin"/>
      </w:r>
      <w:r w:rsidRPr="0092700B">
        <w:rPr>
          <w:rFonts w:cstheme="minorHAnsi"/>
          <w:sz w:val="22"/>
          <w:szCs w:val="22"/>
        </w:rPr>
        <w:instrText xml:space="preserve"> SEQ SI-5. \* ARABIC </w:instrText>
      </w:r>
      <w:r w:rsidRPr="0092700B">
        <w:rPr>
          <w:rFonts w:cstheme="minorHAnsi"/>
          <w:sz w:val="22"/>
          <w:szCs w:val="22"/>
        </w:rPr>
        <w:fldChar w:fldCharType="separate"/>
      </w:r>
      <w:r w:rsidR="008E3B50" w:rsidRPr="0092700B">
        <w:rPr>
          <w:rFonts w:cstheme="minorHAnsi"/>
          <w:noProof/>
          <w:sz w:val="22"/>
          <w:szCs w:val="22"/>
        </w:rPr>
        <w:t>9</w:t>
      </w:r>
      <w:r w:rsidRPr="0092700B">
        <w:rPr>
          <w:rFonts w:cstheme="minorHAnsi"/>
          <w:noProof/>
          <w:sz w:val="22"/>
          <w:szCs w:val="22"/>
        </w:rPr>
        <w:fldChar w:fldCharType="end"/>
      </w:r>
      <w:r w:rsidRPr="0092700B">
        <w:rPr>
          <w:rFonts w:cstheme="minorHAnsi"/>
          <w:sz w:val="20"/>
        </w:rPr>
        <w:t xml:space="preserve">: </w:t>
      </w:r>
      <w:r w:rsidRPr="0092700B">
        <w:rPr>
          <w:rFonts w:cstheme="minorHAnsi"/>
          <w:sz w:val="20"/>
          <w:szCs w:val="20"/>
        </w:rPr>
        <w:t>Simulated relative r</w:t>
      </w:r>
      <w:r w:rsidRPr="0092700B">
        <w:rPr>
          <w:rFonts w:cstheme="minorHAnsi"/>
          <w:noProof/>
          <w:sz w:val="20"/>
          <w:szCs w:val="20"/>
        </w:rPr>
        <w:t>eduction</w:t>
      </w:r>
      <w:r w:rsidRPr="0092700B">
        <w:rPr>
          <w:rFonts w:cstheme="minorHAnsi"/>
          <w:sz w:val="20"/>
          <w:szCs w:val="20"/>
        </w:rPr>
        <w:t xml:space="preserve"> </w:t>
      </w:r>
      <w:r w:rsidRPr="0092700B">
        <w:rPr>
          <w:rFonts w:cstheme="minorHAnsi"/>
          <w:sz w:val="20"/>
        </w:rPr>
        <w:t xml:space="preserve">in prevalence, after one year of larviciding deployment, by coverage and timing of deployment for different seasonality and intensity of transmission. </w:t>
      </w:r>
    </w:p>
    <w:p w14:paraId="72621D20" w14:textId="37AA4327" w:rsidR="00560E8B" w:rsidRPr="0092700B" w:rsidRDefault="00560E8B">
      <w:pPr>
        <w:rPr>
          <w:rFonts w:cstheme="minorHAnsi"/>
        </w:rPr>
      </w:pPr>
      <w:r w:rsidRPr="0092700B">
        <w:rPr>
          <w:rFonts w:cstheme="minorHAnsi"/>
          <w:sz w:val="20"/>
        </w:rPr>
        <w:t>The x-axis shows the effective larviciding coverage. The grey area shows effective larviciding coverage above 60%, which might be difficult to achieve in practice. The coloured shaded areas represent the 95% confidence interval for the relative reduction for different timing of deployment, assuming a fixed deployment</w:t>
      </w:r>
      <w:r w:rsidR="00254866" w:rsidRPr="0092700B">
        <w:rPr>
          <w:rFonts w:cstheme="minorHAnsi"/>
          <w:sz w:val="20"/>
        </w:rPr>
        <w:t xml:space="preserve"> period of one year (throughout the year) or 120 days (seasonal deployment)</w:t>
      </w:r>
      <w:r w:rsidR="00CA7A10">
        <w:rPr>
          <w:rFonts w:cstheme="minorHAnsi"/>
          <w:sz w:val="20"/>
        </w:rPr>
        <w:t>.</w:t>
      </w:r>
    </w:p>
    <w:p w14:paraId="16513B76" w14:textId="77777777" w:rsidR="00560E8B" w:rsidRPr="0092700B" w:rsidRDefault="00560E8B">
      <w:pPr>
        <w:rPr>
          <w:rFonts w:cstheme="minorHAnsi"/>
          <w:sz w:val="18"/>
        </w:rPr>
      </w:pPr>
    </w:p>
    <w:p w14:paraId="6C6861FB" w14:textId="0DC5FB21" w:rsidR="00505B8C" w:rsidRPr="0092700B" w:rsidRDefault="00E76919">
      <w:pPr>
        <w:pStyle w:val="Heading2"/>
        <w:spacing w:line="360" w:lineRule="auto"/>
        <w:rPr>
          <w:rFonts w:cstheme="minorHAnsi"/>
          <w:sz w:val="22"/>
          <w:szCs w:val="32"/>
        </w:rPr>
      </w:pPr>
      <w:bookmarkStart w:id="9" w:name="_Toc72130099"/>
      <w:r w:rsidRPr="0092700B">
        <w:rPr>
          <w:rFonts w:cstheme="minorHAnsi"/>
          <w:sz w:val="22"/>
          <w:szCs w:val="32"/>
        </w:rPr>
        <w:t>Coverage thresholds and seasonal timing</w:t>
      </w:r>
      <w:bookmarkEnd w:id="9"/>
    </w:p>
    <w:p w14:paraId="2A545A6C" w14:textId="09A3A0CA" w:rsidR="00E76919" w:rsidRPr="0092700B" w:rsidRDefault="00E76919" w:rsidP="0092700B">
      <w:pPr>
        <w:spacing w:line="360" w:lineRule="auto"/>
        <w:rPr>
          <w:rFonts w:cstheme="minorHAnsi"/>
        </w:rPr>
      </w:pPr>
      <w:r w:rsidRPr="0092700B">
        <w:rPr>
          <w:rFonts w:cstheme="minorHAnsi"/>
        </w:rPr>
        <w:t>At the end of the intervention period, the maximum relative prevalence reduction of larviciding during the wet season ranged between 69.8% and 47.8% depending on seasonality with higher reductions at high seasonality and one peak. In this setting (high seasonality and one peak) the prevalence reduction ranged from 0.5% for larviciding applied at maximum coverage during the dry season to 73.2% during the beginning of the wet season. The difference depending on timing was lowest in settings with medium seasonality and two peaks (RR</w:t>
      </w:r>
      <w:r w:rsidRPr="0092700B">
        <w:rPr>
          <w:rFonts w:cstheme="minorHAnsi"/>
          <w:vertAlign w:val="subscript"/>
        </w:rPr>
        <w:t>dry season</w:t>
      </w:r>
      <w:r w:rsidRPr="0092700B">
        <w:rPr>
          <w:rFonts w:cstheme="minorHAnsi"/>
        </w:rPr>
        <w:t>=10.4%, RR</w:t>
      </w:r>
      <w:r w:rsidRPr="0092700B">
        <w:rPr>
          <w:rFonts w:cstheme="minorHAnsi"/>
          <w:vertAlign w:val="subscript"/>
        </w:rPr>
        <w:t>wet season</w:t>
      </w:r>
      <w:r w:rsidRPr="0092700B">
        <w:rPr>
          <w:rFonts w:cstheme="minorHAnsi"/>
        </w:rPr>
        <w:t xml:space="preserve">=47.8%). The maximum reduction in perennial settings (constant transmission) would be 26.5% for 120 days and 76.8% for 365 days of effective larviciding (Table </w:t>
      </w:r>
      <w:r w:rsidR="00CD2D15">
        <w:rPr>
          <w:rFonts w:cstheme="minorHAnsi"/>
        </w:rPr>
        <w:t>S</w:t>
      </w:r>
      <w:r w:rsidR="00ED301B" w:rsidRPr="0092700B">
        <w:rPr>
          <w:rFonts w:cstheme="minorHAnsi"/>
        </w:rPr>
        <w:t>2.</w:t>
      </w:r>
      <w:r w:rsidR="00B40962" w:rsidRPr="0092700B">
        <w:rPr>
          <w:rFonts w:cstheme="minorHAnsi"/>
        </w:rPr>
        <w:t>1</w:t>
      </w:r>
      <w:r w:rsidRPr="0092700B">
        <w:rPr>
          <w:rFonts w:cstheme="minorHAnsi"/>
        </w:rPr>
        <w:t xml:space="preserve">). </w:t>
      </w:r>
    </w:p>
    <w:p w14:paraId="7B83C733" w14:textId="77777777" w:rsidR="00E44848" w:rsidRPr="0092700B" w:rsidRDefault="00E44848">
      <w:pPr>
        <w:rPr>
          <w:rFonts w:cstheme="minorHAnsi"/>
        </w:rPr>
      </w:pPr>
    </w:p>
    <w:p w14:paraId="097DFAD3" w14:textId="77777777" w:rsidR="004A5CF9" w:rsidRPr="0092700B" w:rsidRDefault="00E222E1">
      <w:pPr>
        <w:keepNext/>
        <w:rPr>
          <w:rFonts w:cstheme="minorHAnsi"/>
        </w:rPr>
      </w:pPr>
      <w:r w:rsidRPr="0092700B">
        <w:rPr>
          <w:rFonts w:cstheme="minorHAnsi"/>
          <w:noProof/>
          <w:lang w:val="en-IN" w:eastAsia="en-IN"/>
        </w:rPr>
        <w:drawing>
          <wp:inline distT="0" distB="0" distL="0" distR="0" wp14:anchorId="13F1BB61" wp14:editId="17D5C798">
            <wp:extent cx="6179301" cy="254441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79301" cy="2544418"/>
                    </a:xfrm>
                    <a:prstGeom prst="rect">
                      <a:avLst/>
                    </a:prstGeom>
                    <a:noFill/>
                    <a:ln>
                      <a:noFill/>
                    </a:ln>
                  </pic:spPr>
                </pic:pic>
              </a:graphicData>
            </a:graphic>
          </wp:inline>
        </w:drawing>
      </w:r>
    </w:p>
    <w:p w14:paraId="410C178A" w14:textId="175836EF" w:rsidR="00E44848" w:rsidRPr="0092700B" w:rsidRDefault="0076373F">
      <w:pPr>
        <w:pStyle w:val="Caption"/>
        <w:spacing w:line="240" w:lineRule="auto"/>
        <w:rPr>
          <w:rFonts w:cstheme="minorHAnsi"/>
          <w:b w:val="0"/>
          <w:bCs w:val="0"/>
          <w:sz w:val="22"/>
          <w:szCs w:val="22"/>
        </w:rPr>
      </w:pPr>
      <w:r w:rsidRPr="0092700B">
        <w:rPr>
          <w:rFonts w:cstheme="minorHAnsi"/>
          <w:sz w:val="22"/>
          <w:szCs w:val="22"/>
        </w:rPr>
        <w:t>Fi</w:t>
      </w:r>
      <w:r w:rsidR="00E76919" w:rsidRPr="0092700B">
        <w:rPr>
          <w:rFonts w:cstheme="minorHAnsi"/>
          <w:sz w:val="22"/>
          <w:szCs w:val="22"/>
        </w:rPr>
        <w:t>g</w:t>
      </w:r>
      <w:r w:rsidR="00561894" w:rsidRPr="0092700B">
        <w:rPr>
          <w:rFonts w:cstheme="minorHAnsi"/>
          <w:sz w:val="22"/>
          <w:szCs w:val="22"/>
        </w:rPr>
        <w:t>.</w:t>
      </w:r>
      <w:r w:rsidR="00E76919" w:rsidRPr="0092700B">
        <w:rPr>
          <w:rFonts w:cstheme="minorHAnsi"/>
          <w:sz w:val="22"/>
          <w:szCs w:val="22"/>
        </w:rPr>
        <w:t xml:space="preserve"> </w:t>
      </w:r>
      <w:r w:rsidR="00CD2D15">
        <w:rPr>
          <w:rFonts w:cstheme="minorHAnsi"/>
          <w:sz w:val="22"/>
          <w:szCs w:val="22"/>
        </w:rPr>
        <w:t>S</w:t>
      </w:r>
      <w:r w:rsidR="00730B58" w:rsidRPr="0092700B">
        <w:rPr>
          <w:rFonts w:cstheme="minorHAnsi"/>
          <w:sz w:val="22"/>
          <w:szCs w:val="22"/>
        </w:rPr>
        <w:t>2.</w:t>
      </w:r>
      <w:r w:rsidR="006B464C" w:rsidRPr="0092700B">
        <w:rPr>
          <w:rFonts w:cstheme="minorHAnsi"/>
          <w:sz w:val="22"/>
          <w:szCs w:val="22"/>
        </w:rPr>
        <w:fldChar w:fldCharType="begin"/>
      </w:r>
      <w:r w:rsidR="006B464C" w:rsidRPr="0092700B">
        <w:rPr>
          <w:rFonts w:cstheme="minorHAnsi"/>
          <w:sz w:val="22"/>
          <w:szCs w:val="22"/>
        </w:rPr>
        <w:instrText xml:space="preserve"> SEQ SI-5. \* ARABIC </w:instrText>
      </w:r>
      <w:r w:rsidR="006B464C" w:rsidRPr="0092700B">
        <w:rPr>
          <w:rFonts w:cstheme="minorHAnsi"/>
          <w:sz w:val="22"/>
          <w:szCs w:val="22"/>
        </w:rPr>
        <w:fldChar w:fldCharType="separate"/>
      </w:r>
      <w:r w:rsidR="008E3B50" w:rsidRPr="0092700B">
        <w:rPr>
          <w:rFonts w:cstheme="minorHAnsi"/>
          <w:noProof/>
          <w:sz w:val="22"/>
          <w:szCs w:val="22"/>
        </w:rPr>
        <w:t>10</w:t>
      </w:r>
      <w:r w:rsidR="006B464C" w:rsidRPr="0092700B">
        <w:rPr>
          <w:rFonts w:cstheme="minorHAnsi"/>
          <w:sz w:val="22"/>
          <w:szCs w:val="22"/>
        </w:rPr>
        <w:fldChar w:fldCharType="end"/>
      </w:r>
      <w:r w:rsidR="004A5CF9" w:rsidRPr="0092700B">
        <w:rPr>
          <w:rFonts w:cstheme="minorHAnsi"/>
          <w:sz w:val="22"/>
          <w:szCs w:val="22"/>
        </w:rPr>
        <w:t>:</w:t>
      </w:r>
      <w:r w:rsidR="00871D52" w:rsidRPr="0092700B">
        <w:rPr>
          <w:rFonts w:cstheme="minorHAnsi"/>
          <w:b w:val="0"/>
          <w:bCs w:val="0"/>
          <w:sz w:val="22"/>
          <w:szCs w:val="22"/>
        </w:rPr>
        <w:t xml:space="preserve"> </w:t>
      </w:r>
      <w:r w:rsidR="00DE091D" w:rsidRPr="0092700B">
        <w:rPr>
          <w:rFonts w:cstheme="minorHAnsi"/>
          <w:b w:val="0"/>
          <w:bCs w:val="0"/>
          <w:sz w:val="22"/>
          <w:szCs w:val="22"/>
        </w:rPr>
        <w:t xml:space="preserve">Threshold for larviciding coverage during the wet season compared to </w:t>
      </w:r>
      <w:r w:rsidR="0064341A" w:rsidRPr="0092700B">
        <w:rPr>
          <w:rFonts w:cstheme="minorHAnsi"/>
          <w:b w:val="0"/>
          <w:bCs w:val="0"/>
          <w:sz w:val="22"/>
          <w:szCs w:val="22"/>
        </w:rPr>
        <w:t>a</w:t>
      </w:r>
      <w:r w:rsidR="00966251" w:rsidRPr="0092700B">
        <w:rPr>
          <w:rFonts w:cstheme="minorHAnsi"/>
          <w:b w:val="0"/>
          <w:bCs w:val="0"/>
          <w:sz w:val="22"/>
          <w:szCs w:val="22"/>
        </w:rPr>
        <w:t>n</w:t>
      </w:r>
      <w:r w:rsidR="0064341A" w:rsidRPr="0092700B">
        <w:rPr>
          <w:rFonts w:cstheme="minorHAnsi"/>
          <w:b w:val="0"/>
          <w:bCs w:val="0"/>
          <w:sz w:val="22"/>
          <w:szCs w:val="22"/>
        </w:rPr>
        <w:t xml:space="preserve"> </w:t>
      </w:r>
      <w:r w:rsidR="00995D4E" w:rsidRPr="0092700B">
        <w:rPr>
          <w:rFonts w:cstheme="minorHAnsi"/>
          <w:b w:val="0"/>
          <w:bCs w:val="0"/>
          <w:sz w:val="22"/>
          <w:szCs w:val="22"/>
        </w:rPr>
        <w:t>arbitrary</w:t>
      </w:r>
      <w:r w:rsidR="0064341A" w:rsidRPr="0092700B">
        <w:rPr>
          <w:rFonts w:cstheme="minorHAnsi"/>
          <w:b w:val="0"/>
          <w:bCs w:val="0"/>
          <w:sz w:val="22"/>
          <w:szCs w:val="22"/>
        </w:rPr>
        <w:t xml:space="preserve"> </w:t>
      </w:r>
      <w:r w:rsidR="00966251" w:rsidRPr="0092700B">
        <w:rPr>
          <w:rFonts w:cstheme="minorHAnsi"/>
          <w:b w:val="0"/>
          <w:bCs w:val="0"/>
          <w:sz w:val="22"/>
          <w:szCs w:val="22"/>
        </w:rPr>
        <w:t xml:space="preserve">effective </w:t>
      </w:r>
      <w:r w:rsidR="00DE091D" w:rsidRPr="0092700B">
        <w:rPr>
          <w:rFonts w:cstheme="minorHAnsi"/>
          <w:b w:val="0"/>
          <w:bCs w:val="0"/>
          <w:sz w:val="22"/>
          <w:szCs w:val="22"/>
        </w:rPr>
        <w:t>target coverage</w:t>
      </w:r>
      <w:r w:rsidR="002F40D3" w:rsidRPr="0092700B">
        <w:rPr>
          <w:rFonts w:cstheme="minorHAnsi"/>
          <w:b w:val="0"/>
          <w:bCs w:val="0"/>
          <w:sz w:val="22"/>
          <w:szCs w:val="22"/>
        </w:rPr>
        <w:t xml:space="preserve"> of 80% </w:t>
      </w:r>
      <w:r w:rsidR="00DE091D" w:rsidRPr="0092700B">
        <w:rPr>
          <w:rFonts w:cstheme="minorHAnsi"/>
          <w:b w:val="0"/>
          <w:bCs w:val="0"/>
          <w:sz w:val="22"/>
          <w:szCs w:val="22"/>
        </w:rPr>
        <w:t xml:space="preserve">during </w:t>
      </w:r>
      <w:r w:rsidR="002F40D3" w:rsidRPr="0092700B">
        <w:rPr>
          <w:rFonts w:cstheme="minorHAnsi"/>
          <w:b w:val="0"/>
          <w:bCs w:val="0"/>
          <w:sz w:val="22"/>
          <w:szCs w:val="22"/>
        </w:rPr>
        <w:t>the other seasons</w:t>
      </w:r>
      <w:r w:rsidR="004D341C" w:rsidRPr="0092700B">
        <w:rPr>
          <w:rFonts w:cstheme="minorHAnsi"/>
          <w:b w:val="0"/>
          <w:bCs w:val="0"/>
          <w:sz w:val="22"/>
          <w:szCs w:val="22"/>
        </w:rPr>
        <w:t xml:space="preserve"> after larviciding</w:t>
      </w:r>
      <w:r w:rsidR="00C77B3F" w:rsidRPr="0092700B">
        <w:rPr>
          <w:rFonts w:cstheme="minorHAnsi"/>
          <w:b w:val="0"/>
          <w:bCs w:val="0"/>
          <w:sz w:val="22"/>
          <w:szCs w:val="22"/>
        </w:rPr>
        <w:t xml:space="preserve"> </w:t>
      </w:r>
      <w:r w:rsidR="00966251" w:rsidRPr="0092700B">
        <w:rPr>
          <w:rFonts w:cstheme="minorHAnsi"/>
          <w:b w:val="0"/>
          <w:bCs w:val="0"/>
          <w:sz w:val="22"/>
          <w:szCs w:val="22"/>
        </w:rPr>
        <w:t>with</w:t>
      </w:r>
      <w:r w:rsidR="00C77B3F" w:rsidRPr="0092700B">
        <w:rPr>
          <w:rFonts w:cstheme="minorHAnsi"/>
          <w:b w:val="0"/>
          <w:bCs w:val="0"/>
          <w:sz w:val="22"/>
          <w:szCs w:val="22"/>
        </w:rPr>
        <w:t xml:space="preserve"> constant effectiveness</w:t>
      </w:r>
      <w:r w:rsidR="00966251" w:rsidRPr="0092700B">
        <w:rPr>
          <w:rFonts w:cstheme="minorHAnsi"/>
          <w:b w:val="0"/>
          <w:bCs w:val="0"/>
          <w:sz w:val="22"/>
          <w:szCs w:val="22"/>
        </w:rPr>
        <w:t xml:space="preserve"> throughout deployment period of 120 days at moderate transmission (EIR= 10 ibpa)</w:t>
      </w:r>
      <w:r w:rsidR="00DE091D" w:rsidRPr="0092700B">
        <w:rPr>
          <w:rFonts w:cstheme="minorHAnsi"/>
          <w:b w:val="0"/>
          <w:bCs w:val="0"/>
          <w:sz w:val="22"/>
          <w:szCs w:val="22"/>
        </w:rPr>
        <w:t xml:space="preserve">. </w:t>
      </w:r>
    </w:p>
    <w:p w14:paraId="07EFED64" w14:textId="77777777" w:rsidR="00082D56" w:rsidRPr="0092700B" w:rsidRDefault="00082D56">
      <w:pPr>
        <w:rPr>
          <w:rFonts w:cstheme="minorHAnsi"/>
        </w:rPr>
      </w:pPr>
    </w:p>
    <w:p w14:paraId="70D9BEA5" w14:textId="7189E670" w:rsidR="00F3268D" w:rsidRPr="0092700B" w:rsidRDefault="00F3268D">
      <w:pPr>
        <w:pStyle w:val="Caption"/>
        <w:spacing w:after="240" w:line="240" w:lineRule="auto"/>
        <w:rPr>
          <w:rFonts w:cstheme="minorHAnsi"/>
          <w:sz w:val="22"/>
          <w:szCs w:val="22"/>
        </w:rPr>
      </w:pPr>
      <w:r w:rsidRPr="0092700B">
        <w:rPr>
          <w:rFonts w:cstheme="minorHAnsi"/>
          <w:sz w:val="22"/>
          <w:szCs w:val="22"/>
        </w:rPr>
        <w:t>Table</w:t>
      </w:r>
      <w:r w:rsidR="004A5CF9" w:rsidRPr="0092700B">
        <w:rPr>
          <w:rFonts w:cstheme="minorHAnsi"/>
          <w:sz w:val="22"/>
          <w:szCs w:val="22"/>
        </w:rPr>
        <w:t xml:space="preserve"> </w:t>
      </w:r>
      <w:r w:rsidR="00CD2D15">
        <w:rPr>
          <w:rFonts w:cstheme="minorHAnsi"/>
          <w:sz w:val="22"/>
          <w:szCs w:val="22"/>
        </w:rPr>
        <w:t>S</w:t>
      </w:r>
      <w:r w:rsidR="00730B58" w:rsidRPr="0092700B">
        <w:rPr>
          <w:rFonts w:cstheme="minorHAnsi"/>
          <w:sz w:val="22"/>
          <w:szCs w:val="22"/>
        </w:rPr>
        <w:t>2.</w:t>
      </w:r>
      <w:r w:rsidR="00AC7829" w:rsidRPr="0092700B">
        <w:rPr>
          <w:rFonts w:cstheme="minorHAnsi"/>
          <w:sz w:val="22"/>
          <w:szCs w:val="22"/>
        </w:rPr>
        <w:t>1</w:t>
      </w:r>
      <w:r w:rsidRPr="0092700B">
        <w:rPr>
          <w:rFonts w:cstheme="minorHAnsi"/>
          <w:sz w:val="22"/>
          <w:szCs w:val="22"/>
        </w:rPr>
        <w:t xml:space="preserve">: Relative </w:t>
      </w:r>
      <w:r w:rsidR="00681B89" w:rsidRPr="0092700B">
        <w:rPr>
          <w:rFonts w:cstheme="minorHAnsi"/>
          <w:sz w:val="22"/>
          <w:szCs w:val="22"/>
        </w:rPr>
        <w:t xml:space="preserve">mean </w:t>
      </w:r>
      <w:r w:rsidR="00EB3272" w:rsidRPr="0092700B">
        <w:rPr>
          <w:rFonts w:cstheme="minorHAnsi"/>
          <w:sz w:val="22"/>
          <w:szCs w:val="22"/>
        </w:rPr>
        <w:t xml:space="preserve">reduction in prevalence at </w:t>
      </w:r>
      <w:r w:rsidR="0065461B" w:rsidRPr="0092700B">
        <w:rPr>
          <w:rFonts w:cstheme="minorHAnsi"/>
          <w:sz w:val="22"/>
          <w:szCs w:val="22"/>
        </w:rPr>
        <w:t>moderate transmission (EIR=10 ibpa)</w:t>
      </w:r>
      <w:r w:rsidRPr="0092700B">
        <w:rPr>
          <w:rFonts w:cstheme="minorHAnsi"/>
          <w:sz w:val="22"/>
          <w:szCs w:val="22"/>
        </w:rPr>
        <w:t xml:space="preserve"> with varying seasonality and deployment times</w:t>
      </w:r>
      <w:r w:rsidR="00681B89" w:rsidRPr="0092700B">
        <w:rPr>
          <w:rFonts w:cstheme="minorHAnsi"/>
          <w:sz w:val="22"/>
          <w:szCs w:val="22"/>
        </w:rPr>
        <w:t xml:space="preserve"> after 120 days </w:t>
      </w:r>
      <w:r w:rsidR="00454834" w:rsidRPr="0092700B">
        <w:rPr>
          <w:rFonts w:cstheme="minorHAnsi"/>
          <w:sz w:val="22"/>
          <w:szCs w:val="22"/>
        </w:rPr>
        <w:t>effective</w:t>
      </w:r>
      <w:r w:rsidR="00681B89" w:rsidRPr="0092700B">
        <w:rPr>
          <w:rFonts w:cstheme="minorHAnsi"/>
          <w:sz w:val="22"/>
          <w:szCs w:val="22"/>
        </w:rPr>
        <w:t xml:space="preserve"> larviciding. </w:t>
      </w:r>
    </w:p>
    <w:tbl>
      <w:tblPr>
        <w:tblW w:w="9468" w:type="dxa"/>
        <w:tblLayout w:type="fixed"/>
        <w:tblLook w:val="04A0" w:firstRow="1" w:lastRow="0" w:firstColumn="1" w:lastColumn="0" w:noHBand="0" w:noVBand="1"/>
      </w:tblPr>
      <w:tblGrid>
        <w:gridCol w:w="1188"/>
        <w:gridCol w:w="720"/>
        <w:gridCol w:w="1080"/>
        <w:gridCol w:w="1350"/>
        <w:gridCol w:w="1260"/>
        <w:gridCol w:w="1170"/>
        <w:gridCol w:w="1350"/>
        <w:gridCol w:w="1350"/>
      </w:tblGrid>
      <w:tr w:rsidR="004A5CF9" w:rsidRPr="00A0334F" w14:paraId="124B6B38" w14:textId="77777777" w:rsidTr="005B1961">
        <w:trPr>
          <w:trHeight w:val="276"/>
        </w:trPr>
        <w:tc>
          <w:tcPr>
            <w:tcW w:w="1908" w:type="dxa"/>
            <w:gridSpan w:val="2"/>
            <w:tcBorders>
              <w:top w:val="single" w:sz="4" w:space="0" w:color="auto"/>
              <w:left w:val="nil"/>
              <w:bottom w:val="single" w:sz="4" w:space="0" w:color="auto"/>
              <w:right w:val="nil"/>
            </w:tcBorders>
            <w:shd w:val="clear" w:color="auto" w:fill="auto"/>
            <w:noWrap/>
            <w:vAlign w:val="bottom"/>
          </w:tcPr>
          <w:p w14:paraId="6C73BB45" w14:textId="77777777" w:rsidR="004A5CF9" w:rsidRPr="0092700B" w:rsidRDefault="004A5CF9" w:rsidP="0092700B">
            <w:pPr>
              <w:spacing w:line="240" w:lineRule="auto"/>
              <w:rPr>
                <w:rFonts w:eastAsia="Times New Roman" w:cstheme="minorHAnsi"/>
                <w:b/>
                <w:bCs/>
                <w:color w:val="000000"/>
                <w:sz w:val="20"/>
                <w:szCs w:val="24"/>
                <w:lang w:eastAsia="en-GB"/>
              </w:rPr>
            </w:pPr>
          </w:p>
        </w:tc>
        <w:tc>
          <w:tcPr>
            <w:tcW w:w="1080" w:type="dxa"/>
            <w:tcBorders>
              <w:top w:val="single" w:sz="4" w:space="0" w:color="auto"/>
              <w:left w:val="nil"/>
              <w:right w:val="single" w:sz="4" w:space="0" w:color="auto"/>
            </w:tcBorders>
            <w:shd w:val="clear" w:color="auto" w:fill="auto"/>
            <w:noWrap/>
            <w:vAlign w:val="center"/>
          </w:tcPr>
          <w:p w14:paraId="2EE445AC" w14:textId="77777777" w:rsidR="004A5CF9" w:rsidRPr="0092700B" w:rsidRDefault="004A5CF9">
            <w:pPr>
              <w:spacing w:line="240" w:lineRule="auto"/>
              <w:rPr>
                <w:rFonts w:eastAsia="Times New Roman" w:cstheme="minorHAnsi"/>
                <w:b/>
                <w:bCs/>
                <w:color w:val="000000"/>
                <w:sz w:val="20"/>
                <w:szCs w:val="24"/>
                <w:lang w:eastAsia="en-GB"/>
              </w:rPr>
            </w:pPr>
          </w:p>
        </w:tc>
        <w:tc>
          <w:tcPr>
            <w:tcW w:w="5130" w:type="dxa"/>
            <w:gridSpan w:val="4"/>
            <w:tcBorders>
              <w:top w:val="single" w:sz="4" w:space="0" w:color="auto"/>
              <w:left w:val="single" w:sz="4" w:space="0" w:color="auto"/>
              <w:right w:val="nil"/>
            </w:tcBorders>
            <w:shd w:val="clear" w:color="auto" w:fill="auto"/>
            <w:noWrap/>
            <w:vAlign w:val="center"/>
          </w:tcPr>
          <w:p w14:paraId="065197DA" w14:textId="77777777" w:rsidR="004A5CF9" w:rsidRPr="0092700B" w:rsidRDefault="004A5CF9" w:rsidP="0092700B">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Start of larviciding, effective for four months</w:t>
            </w:r>
          </w:p>
        </w:tc>
        <w:tc>
          <w:tcPr>
            <w:tcW w:w="1350" w:type="dxa"/>
            <w:vMerge w:val="restart"/>
            <w:tcBorders>
              <w:top w:val="single" w:sz="4" w:space="0" w:color="auto"/>
              <w:left w:val="nil"/>
              <w:right w:val="nil"/>
            </w:tcBorders>
            <w:shd w:val="clear" w:color="auto" w:fill="auto"/>
            <w:noWrap/>
            <w:vAlign w:val="center"/>
          </w:tcPr>
          <w:p w14:paraId="033B3ACD" w14:textId="77777777" w:rsidR="004A5CF9" w:rsidRPr="0092700B" w:rsidRDefault="004A5CF9">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Throughout the year</w:t>
            </w:r>
          </w:p>
        </w:tc>
      </w:tr>
      <w:tr w:rsidR="005B1961" w:rsidRPr="00A0334F" w14:paraId="282A9016" w14:textId="77777777" w:rsidTr="005B1961">
        <w:trPr>
          <w:trHeight w:val="376"/>
        </w:trPr>
        <w:tc>
          <w:tcPr>
            <w:tcW w:w="1188" w:type="dxa"/>
            <w:tcBorders>
              <w:top w:val="single" w:sz="4" w:space="0" w:color="auto"/>
              <w:left w:val="nil"/>
              <w:right w:val="nil"/>
            </w:tcBorders>
            <w:shd w:val="clear" w:color="auto" w:fill="auto"/>
            <w:noWrap/>
            <w:vAlign w:val="center"/>
            <w:hideMark/>
          </w:tcPr>
          <w:p w14:paraId="725D0548" w14:textId="77777777" w:rsidR="004A5CF9" w:rsidRPr="0092700B" w:rsidRDefault="004A5CF9">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Seasonality</w:t>
            </w:r>
          </w:p>
        </w:tc>
        <w:tc>
          <w:tcPr>
            <w:tcW w:w="720" w:type="dxa"/>
            <w:tcBorders>
              <w:top w:val="single" w:sz="4" w:space="0" w:color="auto"/>
              <w:left w:val="nil"/>
              <w:right w:val="nil"/>
            </w:tcBorders>
            <w:shd w:val="clear" w:color="auto" w:fill="auto"/>
            <w:vAlign w:val="center"/>
          </w:tcPr>
          <w:p w14:paraId="75A08600" w14:textId="77777777" w:rsidR="004A5CF9" w:rsidRPr="0092700B" w:rsidRDefault="004A5CF9">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Peaks</w:t>
            </w:r>
          </w:p>
        </w:tc>
        <w:tc>
          <w:tcPr>
            <w:tcW w:w="1080" w:type="dxa"/>
            <w:tcBorders>
              <w:top w:val="single" w:sz="4" w:space="0" w:color="auto"/>
              <w:left w:val="nil"/>
              <w:right w:val="single" w:sz="4" w:space="0" w:color="auto"/>
            </w:tcBorders>
            <w:shd w:val="clear" w:color="auto" w:fill="auto"/>
            <w:noWrap/>
            <w:vAlign w:val="center"/>
            <w:hideMark/>
          </w:tcPr>
          <w:p w14:paraId="2A41AF1A" w14:textId="77777777" w:rsidR="004A5CF9" w:rsidRPr="0092700B" w:rsidRDefault="004A5CF9">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Coverage</w:t>
            </w:r>
          </w:p>
        </w:tc>
        <w:tc>
          <w:tcPr>
            <w:tcW w:w="1350" w:type="dxa"/>
            <w:tcBorders>
              <w:top w:val="single" w:sz="4" w:space="0" w:color="auto"/>
              <w:left w:val="single" w:sz="4" w:space="0" w:color="auto"/>
              <w:right w:val="nil"/>
            </w:tcBorders>
            <w:shd w:val="clear" w:color="auto" w:fill="auto"/>
            <w:noWrap/>
            <w:vAlign w:val="center"/>
            <w:hideMark/>
          </w:tcPr>
          <w:p w14:paraId="34E75116" w14:textId="77777777" w:rsidR="004A5CF9" w:rsidRPr="0092700B" w:rsidRDefault="004A5CF9">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Begin of rain</w:t>
            </w:r>
          </w:p>
        </w:tc>
        <w:tc>
          <w:tcPr>
            <w:tcW w:w="1260" w:type="dxa"/>
            <w:tcBorders>
              <w:top w:val="single" w:sz="4" w:space="0" w:color="auto"/>
              <w:left w:val="nil"/>
              <w:right w:val="nil"/>
            </w:tcBorders>
            <w:shd w:val="clear" w:color="auto" w:fill="auto"/>
            <w:noWrap/>
            <w:vAlign w:val="center"/>
            <w:hideMark/>
          </w:tcPr>
          <w:p w14:paraId="291E8E43" w14:textId="77777777" w:rsidR="004A5CF9" w:rsidRPr="0092700B" w:rsidRDefault="004A5CF9">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Dry season</w:t>
            </w:r>
          </w:p>
        </w:tc>
        <w:tc>
          <w:tcPr>
            <w:tcW w:w="1170" w:type="dxa"/>
            <w:tcBorders>
              <w:top w:val="single" w:sz="4" w:space="0" w:color="auto"/>
              <w:left w:val="nil"/>
              <w:right w:val="nil"/>
            </w:tcBorders>
            <w:shd w:val="clear" w:color="auto" w:fill="auto"/>
            <w:noWrap/>
            <w:vAlign w:val="center"/>
            <w:hideMark/>
          </w:tcPr>
          <w:p w14:paraId="14446EF1" w14:textId="77777777" w:rsidR="004A5CF9" w:rsidRPr="0092700B" w:rsidRDefault="004A5CF9">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End of rain</w:t>
            </w:r>
          </w:p>
        </w:tc>
        <w:tc>
          <w:tcPr>
            <w:tcW w:w="1350" w:type="dxa"/>
            <w:tcBorders>
              <w:top w:val="single" w:sz="4" w:space="0" w:color="auto"/>
              <w:left w:val="nil"/>
              <w:right w:val="nil"/>
            </w:tcBorders>
            <w:shd w:val="clear" w:color="auto" w:fill="auto"/>
            <w:noWrap/>
            <w:vAlign w:val="center"/>
            <w:hideMark/>
          </w:tcPr>
          <w:p w14:paraId="2060DBC9" w14:textId="51B8FA07" w:rsidR="004A5CF9" w:rsidRPr="0092700B" w:rsidRDefault="00A20111">
            <w:pPr>
              <w:spacing w:line="240" w:lineRule="auto"/>
              <w:rPr>
                <w:rFonts w:eastAsia="Times New Roman" w:cstheme="minorHAnsi"/>
                <w:b/>
                <w:bCs/>
                <w:color w:val="000000"/>
                <w:sz w:val="20"/>
                <w:szCs w:val="24"/>
                <w:lang w:eastAsia="en-GB"/>
              </w:rPr>
            </w:pPr>
            <w:r w:rsidRPr="0092700B">
              <w:rPr>
                <w:rFonts w:eastAsia="Times New Roman" w:cstheme="minorHAnsi"/>
                <w:b/>
                <w:bCs/>
                <w:color w:val="000000"/>
                <w:sz w:val="20"/>
                <w:szCs w:val="24"/>
                <w:lang w:eastAsia="en-GB"/>
              </w:rPr>
              <w:t>Mid of rain</w:t>
            </w:r>
          </w:p>
        </w:tc>
        <w:tc>
          <w:tcPr>
            <w:tcW w:w="1350" w:type="dxa"/>
            <w:vMerge/>
            <w:tcBorders>
              <w:left w:val="nil"/>
              <w:right w:val="nil"/>
            </w:tcBorders>
            <w:shd w:val="clear" w:color="auto" w:fill="auto"/>
            <w:noWrap/>
            <w:vAlign w:val="center"/>
            <w:hideMark/>
          </w:tcPr>
          <w:p w14:paraId="3EDC6564" w14:textId="77777777" w:rsidR="004A5CF9" w:rsidRPr="0092700B" w:rsidRDefault="004A5CF9">
            <w:pPr>
              <w:spacing w:line="240" w:lineRule="auto"/>
              <w:rPr>
                <w:rFonts w:eastAsia="Times New Roman" w:cstheme="minorHAnsi"/>
                <w:b/>
                <w:bCs/>
                <w:color w:val="000000"/>
                <w:sz w:val="20"/>
                <w:szCs w:val="24"/>
                <w:lang w:eastAsia="en-GB"/>
              </w:rPr>
            </w:pPr>
          </w:p>
        </w:tc>
      </w:tr>
      <w:tr w:rsidR="005B1961" w:rsidRPr="00A0334F" w14:paraId="7868E93E" w14:textId="77777777" w:rsidTr="005B1961">
        <w:trPr>
          <w:trHeight w:val="276"/>
        </w:trPr>
        <w:tc>
          <w:tcPr>
            <w:tcW w:w="1188" w:type="dxa"/>
            <w:tcBorders>
              <w:top w:val="single" w:sz="4" w:space="0" w:color="auto"/>
              <w:left w:val="nil"/>
              <w:bottom w:val="nil"/>
              <w:right w:val="nil"/>
            </w:tcBorders>
            <w:shd w:val="clear" w:color="auto" w:fill="auto"/>
            <w:noWrap/>
            <w:vAlign w:val="bottom"/>
            <w:hideMark/>
          </w:tcPr>
          <w:p w14:paraId="03E65EE8"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None</w:t>
            </w:r>
          </w:p>
        </w:tc>
        <w:tc>
          <w:tcPr>
            <w:tcW w:w="720" w:type="dxa"/>
            <w:tcBorders>
              <w:top w:val="single" w:sz="4" w:space="0" w:color="auto"/>
              <w:left w:val="nil"/>
              <w:bottom w:val="nil"/>
              <w:right w:val="nil"/>
            </w:tcBorders>
            <w:shd w:val="clear" w:color="auto" w:fill="auto"/>
            <w:noWrap/>
            <w:vAlign w:val="bottom"/>
            <w:hideMark/>
          </w:tcPr>
          <w:p w14:paraId="37D3A5A0" w14:textId="77777777" w:rsidR="00004F71" w:rsidRPr="0092700B" w:rsidRDefault="00004F71" w:rsidP="0092700B">
            <w:pPr>
              <w:spacing w:line="240" w:lineRule="auto"/>
              <w:rPr>
                <w:rFonts w:eastAsia="Times New Roman" w:cstheme="minorHAnsi"/>
                <w:color w:val="000000"/>
                <w:sz w:val="20"/>
                <w:szCs w:val="24"/>
                <w:lang w:eastAsia="en-GB"/>
              </w:rPr>
            </w:pPr>
          </w:p>
        </w:tc>
        <w:tc>
          <w:tcPr>
            <w:tcW w:w="1080" w:type="dxa"/>
            <w:tcBorders>
              <w:top w:val="single" w:sz="4" w:space="0" w:color="auto"/>
              <w:left w:val="nil"/>
              <w:bottom w:val="nil"/>
              <w:right w:val="single" w:sz="4" w:space="0" w:color="auto"/>
            </w:tcBorders>
            <w:shd w:val="clear" w:color="auto" w:fill="auto"/>
            <w:noWrap/>
            <w:vAlign w:val="center"/>
            <w:hideMark/>
          </w:tcPr>
          <w:p w14:paraId="4D85BF9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20</w:t>
            </w:r>
          </w:p>
        </w:tc>
        <w:tc>
          <w:tcPr>
            <w:tcW w:w="1350" w:type="dxa"/>
            <w:tcBorders>
              <w:top w:val="single" w:sz="4" w:space="0" w:color="auto"/>
              <w:left w:val="single" w:sz="4" w:space="0" w:color="auto"/>
              <w:bottom w:val="nil"/>
              <w:right w:val="nil"/>
            </w:tcBorders>
            <w:shd w:val="clear" w:color="auto" w:fill="auto"/>
            <w:noWrap/>
            <w:vAlign w:val="center"/>
            <w:hideMark/>
          </w:tcPr>
          <w:p w14:paraId="1F1312B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2.5</w:t>
            </w:r>
          </w:p>
        </w:tc>
        <w:tc>
          <w:tcPr>
            <w:tcW w:w="1260" w:type="dxa"/>
            <w:tcBorders>
              <w:top w:val="single" w:sz="4" w:space="0" w:color="auto"/>
              <w:left w:val="nil"/>
              <w:bottom w:val="nil"/>
              <w:right w:val="nil"/>
            </w:tcBorders>
            <w:shd w:val="clear" w:color="auto" w:fill="auto"/>
            <w:noWrap/>
            <w:vAlign w:val="center"/>
            <w:hideMark/>
          </w:tcPr>
          <w:p w14:paraId="39C1C5A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4.2</w:t>
            </w:r>
          </w:p>
        </w:tc>
        <w:tc>
          <w:tcPr>
            <w:tcW w:w="1170" w:type="dxa"/>
            <w:tcBorders>
              <w:top w:val="single" w:sz="4" w:space="0" w:color="auto"/>
              <w:left w:val="nil"/>
              <w:bottom w:val="nil"/>
              <w:right w:val="nil"/>
            </w:tcBorders>
            <w:shd w:val="clear" w:color="auto" w:fill="auto"/>
            <w:noWrap/>
            <w:vAlign w:val="center"/>
            <w:hideMark/>
          </w:tcPr>
          <w:p w14:paraId="59C97DD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3.1</w:t>
            </w:r>
          </w:p>
        </w:tc>
        <w:tc>
          <w:tcPr>
            <w:tcW w:w="1350" w:type="dxa"/>
            <w:tcBorders>
              <w:top w:val="single" w:sz="4" w:space="0" w:color="auto"/>
              <w:left w:val="nil"/>
              <w:bottom w:val="nil"/>
              <w:right w:val="nil"/>
            </w:tcBorders>
            <w:shd w:val="clear" w:color="auto" w:fill="auto"/>
            <w:noWrap/>
            <w:vAlign w:val="center"/>
            <w:hideMark/>
          </w:tcPr>
          <w:p w14:paraId="21ECEAC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2.6</w:t>
            </w:r>
          </w:p>
        </w:tc>
        <w:tc>
          <w:tcPr>
            <w:tcW w:w="1350" w:type="dxa"/>
            <w:tcBorders>
              <w:top w:val="single" w:sz="4" w:space="0" w:color="auto"/>
              <w:left w:val="nil"/>
              <w:bottom w:val="nil"/>
              <w:right w:val="nil"/>
            </w:tcBorders>
            <w:shd w:val="clear" w:color="auto" w:fill="auto"/>
            <w:noWrap/>
            <w:vAlign w:val="center"/>
            <w:hideMark/>
          </w:tcPr>
          <w:p w14:paraId="18F7E06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13.1</w:t>
            </w:r>
          </w:p>
        </w:tc>
      </w:tr>
      <w:tr w:rsidR="005B1961" w:rsidRPr="00A0334F" w14:paraId="215F080F" w14:textId="77777777" w:rsidTr="005B1961">
        <w:trPr>
          <w:trHeight w:val="276"/>
        </w:trPr>
        <w:tc>
          <w:tcPr>
            <w:tcW w:w="1188" w:type="dxa"/>
            <w:tcBorders>
              <w:top w:val="nil"/>
              <w:left w:val="nil"/>
              <w:bottom w:val="nil"/>
              <w:right w:val="nil"/>
            </w:tcBorders>
            <w:shd w:val="clear" w:color="auto" w:fill="auto"/>
            <w:noWrap/>
            <w:vAlign w:val="bottom"/>
            <w:hideMark/>
          </w:tcPr>
          <w:p w14:paraId="6BC8EC34"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161A6A5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0E6DA72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20</w:t>
            </w:r>
          </w:p>
        </w:tc>
        <w:tc>
          <w:tcPr>
            <w:tcW w:w="1350" w:type="dxa"/>
            <w:tcBorders>
              <w:top w:val="nil"/>
              <w:left w:val="single" w:sz="4" w:space="0" w:color="auto"/>
              <w:bottom w:val="nil"/>
              <w:right w:val="nil"/>
            </w:tcBorders>
            <w:shd w:val="clear" w:color="auto" w:fill="auto"/>
            <w:noWrap/>
            <w:vAlign w:val="center"/>
            <w:hideMark/>
          </w:tcPr>
          <w:p w14:paraId="1FB1609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3.3</w:t>
            </w:r>
          </w:p>
        </w:tc>
        <w:tc>
          <w:tcPr>
            <w:tcW w:w="1260" w:type="dxa"/>
            <w:tcBorders>
              <w:top w:val="nil"/>
              <w:left w:val="nil"/>
              <w:bottom w:val="nil"/>
              <w:right w:val="nil"/>
            </w:tcBorders>
            <w:shd w:val="clear" w:color="auto" w:fill="auto"/>
            <w:noWrap/>
            <w:vAlign w:val="center"/>
            <w:hideMark/>
          </w:tcPr>
          <w:p w14:paraId="72D2BB18"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1.6</w:t>
            </w:r>
          </w:p>
        </w:tc>
        <w:tc>
          <w:tcPr>
            <w:tcW w:w="1170" w:type="dxa"/>
            <w:tcBorders>
              <w:top w:val="nil"/>
              <w:left w:val="nil"/>
              <w:bottom w:val="nil"/>
              <w:right w:val="nil"/>
            </w:tcBorders>
            <w:shd w:val="clear" w:color="auto" w:fill="auto"/>
            <w:noWrap/>
            <w:vAlign w:val="center"/>
            <w:hideMark/>
          </w:tcPr>
          <w:p w14:paraId="196083C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4.2</w:t>
            </w:r>
          </w:p>
        </w:tc>
        <w:tc>
          <w:tcPr>
            <w:tcW w:w="1350" w:type="dxa"/>
            <w:tcBorders>
              <w:top w:val="nil"/>
              <w:left w:val="nil"/>
              <w:bottom w:val="nil"/>
              <w:right w:val="nil"/>
            </w:tcBorders>
            <w:shd w:val="clear" w:color="auto" w:fill="auto"/>
            <w:noWrap/>
            <w:vAlign w:val="center"/>
            <w:hideMark/>
          </w:tcPr>
          <w:p w14:paraId="26AD2185"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9.3</w:t>
            </w:r>
          </w:p>
        </w:tc>
        <w:tc>
          <w:tcPr>
            <w:tcW w:w="1350" w:type="dxa"/>
            <w:tcBorders>
              <w:top w:val="nil"/>
              <w:left w:val="nil"/>
              <w:bottom w:val="nil"/>
              <w:right w:val="nil"/>
            </w:tcBorders>
            <w:shd w:val="clear" w:color="auto" w:fill="auto"/>
            <w:noWrap/>
            <w:vAlign w:val="center"/>
            <w:hideMark/>
          </w:tcPr>
          <w:p w14:paraId="5AEBC12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13.7</w:t>
            </w:r>
          </w:p>
        </w:tc>
      </w:tr>
      <w:tr w:rsidR="005B1961" w:rsidRPr="00A0334F" w14:paraId="7CADA29E" w14:textId="77777777" w:rsidTr="005B1961">
        <w:trPr>
          <w:trHeight w:val="276"/>
        </w:trPr>
        <w:tc>
          <w:tcPr>
            <w:tcW w:w="1188" w:type="dxa"/>
            <w:tcBorders>
              <w:top w:val="nil"/>
              <w:left w:val="nil"/>
              <w:bottom w:val="nil"/>
              <w:right w:val="nil"/>
            </w:tcBorders>
            <w:shd w:val="clear" w:color="auto" w:fill="auto"/>
            <w:noWrap/>
            <w:vAlign w:val="bottom"/>
            <w:hideMark/>
          </w:tcPr>
          <w:p w14:paraId="55C4F513"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7FFABAA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nil"/>
              <w:right w:val="single" w:sz="4" w:space="0" w:color="auto"/>
            </w:tcBorders>
            <w:shd w:val="clear" w:color="auto" w:fill="auto"/>
            <w:noWrap/>
            <w:vAlign w:val="center"/>
            <w:hideMark/>
          </w:tcPr>
          <w:p w14:paraId="50D6C5C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20</w:t>
            </w:r>
          </w:p>
        </w:tc>
        <w:tc>
          <w:tcPr>
            <w:tcW w:w="1350" w:type="dxa"/>
            <w:tcBorders>
              <w:top w:val="nil"/>
              <w:left w:val="single" w:sz="4" w:space="0" w:color="auto"/>
              <w:bottom w:val="nil"/>
              <w:right w:val="nil"/>
            </w:tcBorders>
            <w:shd w:val="clear" w:color="auto" w:fill="auto"/>
            <w:noWrap/>
            <w:vAlign w:val="center"/>
            <w:hideMark/>
          </w:tcPr>
          <w:p w14:paraId="5A6F0125"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1.5</w:t>
            </w:r>
            <w:bookmarkStart w:id="10" w:name="_GoBack"/>
            <w:bookmarkEnd w:id="10"/>
          </w:p>
        </w:tc>
        <w:tc>
          <w:tcPr>
            <w:tcW w:w="1260" w:type="dxa"/>
            <w:tcBorders>
              <w:top w:val="nil"/>
              <w:left w:val="nil"/>
              <w:bottom w:val="nil"/>
              <w:right w:val="nil"/>
            </w:tcBorders>
            <w:shd w:val="clear" w:color="auto" w:fill="auto"/>
            <w:noWrap/>
            <w:vAlign w:val="center"/>
            <w:hideMark/>
          </w:tcPr>
          <w:p w14:paraId="6F8BC0B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-1.6</w:t>
            </w:r>
          </w:p>
        </w:tc>
        <w:tc>
          <w:tcPr>
            <w:tcW w:w="1170" w:type="dxa"/>
            <w:tcBorders>
              <w:top w:val="nil"/>
              <w:left w:val="nil"/>
              <w:bottom w:val="nil"/>
              <w:right w:val="nil"/>
            </w:tcBorders>
            <w:shd w:val="clear" w:color="auto" w:fill="auto"/>
            <w:noWrap/>
            <w:vAlign w:val="center"/>
            <w:hideMark/>
          </w:tcPr>
          <w:p w14:paraId="5F6CB88B"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2.3</w:t>
            </w:r>
          </w:p>
        </w:tc>
        <w:tc>
          <w:tcPr>
            <w:tcW w:w="1350" w:type="dxa"/>
            <w:tcBorders>
              <w:top w:val="nil"/>
              <w:left w:val="nil"/>
              <w:bottom w:val="nil"/>
              <w:right w:val="nil"/>
            </w:tcBorders>
            <w:shd w:val="clear" w:color="auto" w:fill="auto"/>
            <w:noWrap/>
            <w:vAlign w:val="center"/>
            <w:hideMark/>
          </w:tcPr>
          <w:p w14:paraId="68F08FC6"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8.9</w:t>
            </w:r>
          </w:p>
        </w:tc>
        <w:tc>
          <w:tcPr>
            <w:tcW w:w="1350" w:type="dxa"/>
            <w:tcBorders>
              <w:top w:val="nil"/>
              <w:left w:val="nil"/>
              <w:bottom w:val="nil"/>
              <w:right w:val="nil"/>
            </w:tcBorders>
            <w:shd w:val="clear" w:color="auto" w:fill="auto"/>
            <w:noWrap/>
            <w:vAlign w:val="center"/>
            <w:hideMark/>
          </w:tcPr>
          <w:p w14:paraId="6FC8929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16.5</w:t>
            </w:r>
          </w:p>
        </w:tc>
      </w:tr>
      <w:tr w:rsidR="005B1961" w:rsidRPr="00A0334F" w14:paraId="4017587A" w14:textId="77777777" w:rsidTr="005B1961">
        <w:trPr>
          <w:trHeight w:val="276"/>
        </w:trPr>
        <w:tc>
          <w:tcPr>
            <w:tcW w:w="1188" w:type="dxa"/>
            <w:tcBorders>
              <w:top w:val="nil"/>
              <w:left w:val="nil"/>
              <w:bottom w:val="nil"/>
              <w:right w:val="nil"/>
            </w:tcBorders>
            <w:shd w:val="clear" w:color="auto" w:fill="auto"/>
            <w:noWrap/>
            <w:vAlign w:val="bottom"/>
            <w:hideMark/>
          </w:tcPr>
          <w:p w14:paraId="2C4484E8"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nil"/>
              <w:right w:val="nil"/>
            </w:tcBorders>
            <w:shd w:val="clear" w:color="auto" w:fill="auto"/>
            <w:noWrap/>
            <w:vAlign w:val="bottom"/>
            <w:hideMark/>
          </w:tcPr>
          <w:p w14:paraId="5BAB755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5BC1B298"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20</w:t>
            </w:r>
          </w:p>
        </w:tc>
        <w:tc>
          <w:tcPr>
            <w:tcW w:w="1350" w:type="dxa"/>
            <w:tcBorders>
              <w:top w:val="nil"/>
              <w:left w:val="single" w:sz="4" w:space="0" w:color="auto"/>
              <w:bottom w:val="nil"/>
              <w:right w:val="nil"/>
            </w:tcBorders>
            <w:shd w:val="clear" w:color="auto" w:fill="auto"/>
            <w:noWrap/>
            <w:vAlign w:val="center"/>
            <w:hideMark/>
          </w:tcPr>
          <w:p w14:paraId="30ED543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8.3</w:t>
            </w:r>
          </w:p>
        </w:tc>
        <w:tc>
          <w:tcPr>
            <w:tcW w:w="1260" w:type="dxa"/>
            <w:tcBorders>
              <w:top w:val="nil"/>
              <w:left w:val="nil"/>
              <w:bottom w:val="nil"/>
              <w:right w:val="nil"/>
            </w:tcBorders>
            <w:shd w:val="clear" w:color="auto" w:fill="auto"/>
            <w:noWrap/>
            <w:vAlign w:val="center"/>
            <w:hideMark/>
          </w:tcPr>
          <w:p w14:paraId="1BC4005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-1.5</w:t>
            </w:r>
          </w:p>
        </w:tc>
        <w:tc>
          <w:tcPr>
            <w:tcW w:w="1170" w:type="dxa"/>
            <w:tcBorders>
              <w:top w:val="nil"/>
              <w:left w:val="nil"/>
              <w:bottom w:val="nil"/>
              <w:right w:val="nil"/>
            </w:tcBorders>
            <w:shd w:val="clear" w:color="auto" w:fill="auto"/>
            <w:noWrap/>
            <w:vAlign w:val="center"/>
            <w:hideMark/>
          </w:tcPr>
          <w:p w14:paraId="494E055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4.9</w:t>
            </w:r>
          </w:p>
        </w:tc>
        <w:tc>
          <w:tcPr>
            <w:tcW w:w="1350" w:type="dxa"/>
            <w:tcBorders>
              <w:top w:val="nil"/>
              <w:left w:val="nil"/>
              <w:bottom w:val="nil"/>
              <w:right w:val="nil"/>
            </w:tcBorders>
            <w:shd w:val="clear" w:color="auto" w:fill="auto"/>
            <w:noWrap/>
            <w:vAlign w:val="center"/>
            <w:hideMark/>
          </w:tcPr>
          <w:p w14:paraId="512EA3A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12.0</w:t>
            </w:r>
          </w:p>
        </w:tc>
        <w:tc>
          <w:tcPr>
            <w:tcW w:w="1350" w:type="dxa"/>
            <w:tcBorders>
              <w:top w:val="nil"/>
              <w:left w:val="nil"/>
              <w:bottom w:val="nil"/>
              <w:right w:val="nil"/>
            </w:tcBorders>
            <w:shd w:val="clear" w:color="auto" w:fill="auto"/>
            <w:noWrap/>
            <w:vAlign w:val="center"/>
            <w:hideMark/>
          </w:tcPr>
          <w:p w14:paraId="054841F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12.0</w:t>
            </w:r>
          </w:p>
        </w:tc>
      </w:tr>
      <w:tr w:rsidR="005B1961" w:rsidRPr="00A0334F" w14:paraId="627971A7" w14:textId="77777777" w:rsidTr="005B1961">
        <w:trPr>
          <w:trHeight w:val="276"/>
        </w:trPr>
        <w:tc>
          <w:tcPr>
            <w:tcW w:w="1188" w:type="dxa"/>
            <w:tcBorders>
              <w:top w:val="nil"/>
              <w:left w:val="nil"/>
              <w:bottom w:val="single" w:sz="4" w:space="0" w:color="auto"/>
              <w:right w:val="nil"/>
            </w:tcBorders>
            <w:shd w:val="clear" w:color="auto" w:fill="auto"/>
            <w:noWrap/>
            <w:vAlign w:val="bottom"/>
            <w:hideMark/>
          </w:tcPr>
          <w:p w14:paraId="5AAA1F8E"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single" w:sz="4" w:space="0" w:color="auto"/>
              <w:right w:val="nil"/>
            </w:tcBorders>
            <w:shd w:val="clear" w:color="auto" w:fill="auto"/>
            <w:noWrap/>
            <w:vAlign w:val="bottom"/>
            <w:hideMark/>
          </w:tcPr>
          <w:p w14:paraId="4B895F4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single" w:sz="4" w:space="0" w:color="auto"/>
              <w:right w:val="single" w:sz="4" w:space="0" w:color="auto"/>
            </w:tcBorders>
            <w:shd w:val="clear" w:color="auto" w:fill="auto"/>
            <w:noWrap/>
            <w:vAlign w:val="center"/>
            <w:hideMark/>
          </w:tcPr>
          <w:p w14:paraId="7018243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20</w:t>
            </w:r>
          </w:p>
        </w:tc>
        <w:tc>
          <w:tcPr>
            <w:tcW w:w="1350" w:type="dxa"/>
            <w:tcBorders>
              <w:top w:val="nil"/>
              <w:left w:val="single" w:sz="4" w:space="0" w:color="auto"/>
              <w:bottom w:val="single" w:sz="4" w:space="0" w:color="auto"/>
              <w:right w:val="nil"/>
            </w:tcBorders>
            <w:shd w:val="clear" w:color="auto" w:fill="auto"/>
            <w:noWrap/>
            <w:vAlign w:val="center"/>
            <w:hideMark/>
          </w:tcPr>
          <w:p w14:paraId="693154F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4.4</w:t>
            </w:r>
          </w:p>
        </w:tc>
        <w:tc>
          <w:tcPr>
            <w:tcW w:w="1260" w:type="dxa"/>
            <w:tcBorders>
              <w:top w:val="nil"/>
              <w:left w:val="nil"/>
              <w:bottom w:val="single" w:sz="4" w:space="0" w:color="auto"/>
              <w:right w:val="nil"/>
            </w:tcBorders>
            <w:shd w:val="clear" w:color="auto" w:fill="auto"/>
            <w:noWrap/>
            <w:vAlign w:val="center"/>
            <w:hideMark/>
          </w:tcPr>
          <w:p w14:paraId="2496BBB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0.0</w:t>
            </w:r>
          </w:p>
        </w:tc>
        <w:tc>
          <w:tcPr>
            <w:tcW w:w="1170" w:type="dxa"/>
            <w:tcBorders>
              <w:top w:val="nil"/>
              <w:left w:val="nil"/>
              <w:bottom w:val="single" w:sz="4" w:space="0" w:color="auto"/>
              <w:right w:val="nil"/>
            </w:tcBorders>
            <w:shd w:val="clear" w:color="auto" w:fill="auto"/>
            <w:noWrap/>
            <w:vAlign w:val="center"/>
            <w:hideMark/>
          </w:tcPr>
          <w:p w14:paraId="45AD1A3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-0.2</w:t>
            </w:r>
          </w:p>
        </w:tc>
        <w:tc>
          <w:tcPr>
            <w:tcW w:w="1350" w:type="dxa"/>
            <w:tcBorders>
              <w:top w:val="nil"/>
              <w:left w:val="nil"/>
              <w:bottom w:val="single" w:sz="4" w:space="0" w:color="auto"/>
              <w:right w:val="nil"/>
            </w:tcBorders>
            <w:shd w:val="clear" w:color="auto" w:fill="auto"/>
            <w:noWrap/>
            <w:vAlign w:val="center"/>
            <w:hideMark/>
          </w:tcPr>
          <w:p w14:paraId="1CD3F15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9.5</w:t>
            </w:r>
          </w:p>
        </w:tc>
        <w:tc>
          <w:tcPr>
            <w:tcW w:w="1350" w:type="dxa"/>
            <w:tcBorders>
              <w:top w:val="nil"/>
              <w:left w:val="nil"/>
              <w:bottom w:val="single" w:sz="4" w:space="0" w:color="auto"/>
              <w:right w:val="nil"/>
            </w:tcBorders>
            <w:shd w:val="clear" w:color="auto" w:fill="auto"/>
            <w:noWrap/>
            <w:vAlign w:val="center"/>
            <w:hideMark/>
          </w:tcPr>
          <w:p w14:paraId="09DF9C3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9.4</w:t>
            </w:r>
          </w:p>
        </w:tc>
      </w:tr>
      <w:tr w:rsidR="005B1961" w:rsidRPr="00A0334F" w14:paraId="78CDB13D" w14:textId="77777777" w:rsidTr="005B1961">
        <w:trPr>
          <w:trHeight w:val="276"/>
        </w:trPr>
        <w:tc>
          <w:tcPr>
            <w:tcW w:w="1188" w:type="dxa"/>
            <w:tcBorders>
              <w:top w:val="single" w:sz="4" w:space="0" w:color="auto"/>
              <w:left w:val="nil"/>
              <w:bottom w:val="nil"/>
              <w:right w:val="nil"/>
            </w:tcBorders>
            <w:shd w:val="clear" w:color="auto" w:fill="auto"/>
            <w:noWrap/>
            <w:vAlign w:val="bottom"/>
            <w:hideMark/>
          </w:tcPr>
          <w:p w14:paraId="6809F4EC"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None</w:t>
            </w:r>
          </w:p>
        </w:tc>
        <w:tc>
          <w:tcPr>
            <w:tcW w:w="720" w:type="dxa"/>
            <w:tcBorders>
              <w:top w:val="single" w:sz="4" w:space="0" w:color="auto"/>
              <w:left w:val="nil"/>
              <w:bottom w:val="nil"/>
              <w:right w:val="nil"/>
            </w:tcBorders>
            <w:shd w:val="clear" w:color="auto" w:fill="auto"/>
            <w:noWrap/>
            <w:vAlign w:val="bottom"/>
            <w:hideMark/>
          </w:tcPr>
          <w:p w14:paraId="6105F918" w14:textId="77777777" w:rsidR="00004F71" w:rsidRPr="0092700B" w:rsidRDefault="00004F71" w:rsidP="0092700B">
            <w:pPr>
              <w:spacing w:line="240" w:lineRule="auto"/>
              <w:rPr>
                <w:rFonts w:eastAsia="Times New Roman" w:cstheme="minorHAnsi"/>
                <w:color w:val="000000"/>
                <w:sz w:val="20"/>
                <w:szCs w:val="24"/>
                <w:lang w:eastAsia="en-GB"/>
              </w:rPr>
            </w:pPr>
          </w:p>
        </w:tc>
        <w:tc>
          <w:tcPr>
            <w:tcW w:w="1080" w:type="dxa"/>
            <w:tcBorders>
              <w:top w:val="single" w:sz="4" w:space="0" w:color="auto"/>
              <w:left w:val="nil"/>
              <w:bottom w:val="nil"/>
              <w:right w:val="single" w:sz="4" w:space="0" w:color="auto"/>
            </w:tcBorders>
            <w:shd w:val="clear" w:color="auto" w:fill="auto"/>
            <w:noWrap/>
            <w:vAlign w:val="center"/>
            <w:hideMark/>
          </w:tcPr>
          <w:p w14:paraId="3D31F51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40</w:t>
            </w:r>
          </w:p>
        </w:tc>
        <w:tc>
          <w:tcPr>
            <w:tcW w:w="1350" w:type="dxa"/>
            <w:tcBorders>
              <w:top w:val="single" w:sz="4" w:space="0" w:color="auto"/>
              <w:left w:val="single" w:sz="4" w:space="0" w:color="auto"/>
              <w:bottom w:val="nil"/>
              <w:right w:val="nil"/>
            </w:tcBorders>
            <w:shd w:val="clear" w:color="auto" w:fill="auto"/>
            <w:noWrap/>
            <w:vAlign w:val="center"/>
            <w:hideMark/>
          </w:tcPr>
          <w:p w14:paraId="4095733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6.4</w:t>
            </w:r>
          </w:p>
        </w:tc>
        <w:tc>
          <w:tcPr>
            <w:tcW w:w="1260" w:type="dxa"/>
            <w:tcBorders>
              <w:top w:val="single" w:sz="4" w:space="0" w:color="auto"/>
              <w:left w:val="nil"/>
              <w:bottom w:val="nil"/>
              <w:right w:val="nil"/>
            </w:tcBorders>
            <w:shd w:val="clear" w:color="auto" w:fill="auto"/>
            <w:noWrap/>
            <w:vAlign w:val="center"/>
            <w:hideMark/>
          </w:tcPr>
          <w:p w14:paraId="4071CD5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5.7</w:t>
            </w:r>
          </w:p>
        </w:tc>
        <w:tc>
          <w:tcPr>
            <w:tcW w:w="1170" w:type="dxa"/>
            <w:tcBorders>
              <w:top w:val="single" w:sz="4" w:space="0" w:color="auto"/>
              <w:left w:val="nil"/>
              <w:bottom w:val="nil"/>
              <w:right w:val="nil"/>
            </w:tcBorders>
            <w:shd w:val="clear" w:color="auto" w:fill="auto"/>
            <w:noWrap/>
            <w:vAlign w:val="center"/>
            <w:hideMark/>
          </w:tcPr>
          <w:p w14:paraId="68E02E1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4.4</w:t>
            </w:r>
          </w:p>
        </w:tc>
        <w:tc>
          <w:tcPr>
            <w:tcW w:w="1350" w:type="dxa"/>
            <w:tcBorders>
              <w:top w:val="single" w:sz="4" w:space="0" w:color="auto"/>
              <w:left w:val="nil"/>
              <w:bottom w:val="nil"/>
              <w:right w:val="nil"/>
            </w:tcBorders>
            <w:shd w:val="clear" w:color="auto" w:fill="auto"/>
            <w:noWrap/>
            <w:vAlign w:val="center"/>
            <w:hideMark/>
          </w:tcPr>
          <w:p w14:paraId="7B55293B"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5.7</w:t>
            </w:r>
          </w:p>
        </w:tc>
        <w:tc>
          <w:tcPr>
            <w:tcW w:w="1350" w:type="dxa"/>
            <w:tcBorders>
              <w:top w:val="single" w:sz="4" w:space="0" w:color="auto"/>
              <w:left w:val="nil"/>
              <w:bottom w:val="nil"/>
              <w:right w:val="nil"/>
            </w:tcBorders>
            <w:shd w:val="clear" w:color="auto" w:fill="auto"/>
            <w:noWrap/>
            <w:vAlign w:val="center"/>
            <w:hideMark/>
          </w:tcPr>
          <w:p w14:paraId="0D1BA676"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30.0</w:t>
            </w:r>
          </w:p>
        </w:tc>
      </w:tr>
      <w:tr w:rsidR="005B1961" w:rsidRPr="00A0334F" w14:paraId="0E432503" w14:textId="77777777" w:rsidTr="005B1961">
        <w:trPr>
          <w:trHeight w:val="276"/>
        </w:trPr>
        <w:tc>
          <w:tcPr>
            <w:tcW w:w="1188" w:type="dxa"/>
            <w:tcBorders>
              <w:top w:val="nil"/>
              <w:left w:val="nil"/>
              <w:bottom w:val="nil"/>
              <w:right w:val="nil"/>
            </w:tcBorders>
            <w:shd w:val="clear" w:color="auto" w:fill="auto"/>
            <w:noWrap/>
            <w:vAlign w:val="bottom"/>
            <w:hideMark/>
          </w:tcPr>
          <w:p w14:paraId="06157018"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7F79F0C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0417EF7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40</w:t>
            </w:r>
          </w:p>
        </w:tc>
        <w:tc>
          <w:tcPr>
            <w:tcW w:w="1350" w:type="dxa"/>
            <w:tcBorders>
              <w:top w:val="nil"/>
              <w:left w:val="single" w:sz="4" w:space="0" w:color="auto"/>
              <w:bottom w:val="nil"/>
              <w:right w:val="nil"/>
            </w:tcBorders>
            <w:shd w:val="clear" w:color="auto" w:fill="auto"/>
            <w:noWrap/>
            <w:vAlign w:val="center"/>
            <w:hideMark/>
          </w:tcPr>
          <w:p w14:paraId="254B9AE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7.4</w:t>
            </w:r>
          </w:p>
        </w:tc>
        <w:tc>
          <w:tcPr>
            <w:tcW w:w="1260" w:type="dxa"/>
            <w:tcBorders>
              <w:top w:val="nil"/>
              <w:left w:val="nil"/>
              <w:bottom w:val="nil"/>
              <w:right w:val="nil"/>
            </w:tcBorders>
            <w:shd w:val="clear" w:color="auto" w:fill="auto"/>
            <w:noWrap/>
            <w:vAlign w:val="center"/>
            <w:hideMark/>
          </w:tcPr>
          <w:p w14:paraId="6082597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1.8</w:t>
            </w:r>
          </w:p>
        </w:tc>
        <w:tc>
          <w:tcPr>
            <w:tcW w:w="1170" w:type="dxa"/>
            <w:tcBorders>
              <w:top w:val="nil"/>
              <w:left w:val="nil"/>
              <w:bottom w:val="nil"/>
              <w:right w:val="nil"/>
            </w:tcBorders>
            <w:shd w:val="clear" w:color="auto" w:fill="auto"/>
            <w:noWrap/>
            <w:vAlign w:val="center"/>
            <w:hideMark/>
          </w:tcPr>
          <w:p w14:paraId="03B0453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7.0</w:t>
            </w:r>
          </w:p>
        </w:tc>
        <w:tc>
          <w:tcPr>
            <w:tcW w:w="1350" w:type="dxa"/>
            <w:tcBorders>
              <w:top w:val="nil"/>
              <w:left w:val="nil"/>
              <w:bottom w:val="nil"/>
              <w:right w:val="nil"/>
            </w:tcBorders>
            <w:shd w:val="clear" w:color="auto" w:fill="auto"/>
            <w:noWrap/>
            <w:vAlign w:val="center"/>
            <w:hideMark/>
          </w:tcPr>
          <w:p w14:paraId="1C5C0DE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18.7</w:t>
            </w:r>
          </w:p>
        </w:tc>
        <w:tc>
          <w:tcPr>
            <w:tcW w:w="1350" w:type="dxa"/>
            <w:tcBorders>
              <w:top w:val="nil"/>
              <w:left w:val="nil"/>
              <w:bottom w:val="nil"/>
              <w:right w:val="nil"/>
            </w:tcBorders>
            <w:shd w:val="clear" w:color="auto" w:fill="auto"/>
            <w:noWrap/>
            <w:vAlign w:val="center"/>
            <w:hideMark/>
          </w:tcPr>
          <w:p w14:paraId="128EE06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27.9</w:t>
            </w:r>
          </w:p>
        </w:tc>
      </w:tr>
      <w:tr w:rsidR="005B1961" w:rsidRPr="00A0334F" w14:paraId="009746AE" w14:textId="77777777" w:rsidTr="005B1961">
        <w:trPr>
          <w:trHeight w:val="276"/>
        </w:trPr>
        <w:tc>
          <w:tcPr>
            <w:tcW w:w="1188" w:type="dxa"/>
            <w:tcBorders>
              <w:top w:val="nil"/>
              <w:left w:val="nil"/>
              <w:bottom w:val="nil"/>
              <w:right w:val="nil"/>
            </w:tcBorders>
            <w:shd w:val="clear" w:color="auto" w:fill="auto"/>
            <w:noWrap/>
            <w:vAlign w:val="bottom"/>
            <w:hideMark/>
          </w:tcPr>
          <w:p w14:paraId="40EF9EE9"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43B01AA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nil"/>
              <w:right w:val="single" w:sz="4" w:space="0" w:color="auto"/>
            </w:tcBorders>
            <w:shd w:val="clear" w:color="auto" w:fill="auto"/>
            <w:noWrap/>
            <w:vAlign w:val="center"/>
            <w:hideMark/>
          </w:tcPr>
          <w:p w14:paraId="55FC240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40</w:t>
            </w:r>
          </w:p>
        </w:tc>
        <w:tc>
          <w:tcPr>
            <w:tcW w:w="1350" w:type="dxa"/>
            <w:tcBorders>
              <w:top w:val="nil"/>
              <w:left w:val="single" w:sz="4" w:space="0" w:color="auto"/>
              <w:bottom w:val="nil"/>
              <w:right w:val="nil"/>
            </w:tcBorders>
            <w:shd w:val="clear" w:color="auto" w:fill="auto"/>
            <w:noWrap/>
            <w:vAlign w:val="center"/>
            <w:hideMark/>
          </w:tcPr>
          <w:p w14:paraId="44FE2D4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7.6</w:t>
            </w:r>
          </w:p>
        </w:tc>
        <w:tc>
          <w:tcPr>
            <w:tcW w:w="1260" w:type="dxa"/>
            <w:tcBorders>
              <w:top w:val="nil"/>
              <w:left w:val="nil"/>
              <w:bottom w:val="nil"/>
              <w:right w:val="nil"/>
            </w:tcBorders>
            <w:shd w:val="clear" w:color="auto" w:fill="auto"/>
            <w:noWrap/>
            <w:vAlign w:val="center"/>
            <w:hideMark/>
          </w:tcPr>
          <w:p w14:paraId="661CD53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1.9</w:t>
            </w:r>
          </w:p>
        </w:tc>
        <w:tc>
          <w:tcPr>
            <w:tcW w:w="1170" w:type="dxa"/>
            <w:tcBorders>
              <w:top w:val="nil"/>
              <w:left w:val="nil"/>
              <w:bottom w:val="nil"/>
              <w:right w:val="nil"/>
            </w:tcBorders>
            <w:shd w:val="clear" w:color="auto" w:fill="auto"/>
            <w:noWrap/>
            <w:vAlign w:val="center"/>
            <w:hideMark/>
          </w:tcPr>
          <w:p w14:paraId="7B2D5F1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3.3</w:t>
            </w:r>
          </w:p>
        </w:tc>
        <w:tc>
          <w:tcPr>
            <w:tcW w:w="1350" w:type="dxa"/>
            <w:tcBorders>
              <w:top w:val="nil"/>
              <w:left w:val="nil"/>
              <w:bottom w:val="nil"/>
              <w:right w:val="nil"/>
            </w:tcBorders>
            <w:shd w:val="clear" w:color="auto" w:fill="auto"/>
            <w:noWrap/>
            <w:vAlign w:val="center"/>
            <w:hideMark/>
          </w:tcPr>
          <w:p w14:paraId="16A5348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13.0</w:t>
            </w:r>
          </w:p>
        </w:tc>
        <w:tc>
          <w:tcPr>
            <w:tcW w:w="1350" w:type="dxa"/>
            <w:tcBorders>
              <w:top w:val="nil"/>
              <w:left w:val="nil"/>
              <w:bottom w:val="nil"/>
              <w:right w:val="nil"/>
            </w:tcBorders>
            <w:shd w:val="clear" w:color="auto" w:fill="auto"/>
            <w:noWrap/>
            <w:vAlign w:val="center"/>
            <w:hideMark/>
          </w:tcPr>
          <w:p w14:paraId="5ADD8DD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33.0</w:t>
            </w:r>
          </w:p>
        </w:tc>
      </w:tr>
      <w:tr w:rsidR="005B1961" w:rsidRPr="00A0334F" w14:paraId="367AD321" w14:textId="77777777" w:rsidTr="005B1961">
        <w:trPr>
          <w:trHeight w:val="276"/>
        </w:trPr>
        <w:tc>
          <w:tcPr>
            <w:tcW w:w="1188" w:type="dxa"/>
            <w:tcBorders>
              <w:top w:val="nil"/>
              <w:left w:val="nil"/>
              <w:bottom w:val="nil"/>
              <w:right w:val="nil"/>
            </w:tcBorders>
            <w:shd w:val="clear" w:color="auto" w:fill="auto"/>
            <w:noWrap/>
            <w:vAlign w:val="bottom"/>
            <w:hideMark/>
          </w:tcPr>
          <w:p w14:paraId="467F1EF5"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nil"/>
              <w:right w:val="nil"/>
            </w:tcBorders>
            <w:shd w:val="clear" w:color="auto" w:fill="auto"/>
            <w:noWrap/>
            <w:vAlign w:val="bottom"/>
            <w:hideMark/>
          </w:tcPr>
          <w:p w14:paraId="15D37B1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6D26F23B"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40</w:t>
            </w:r>
          </w:p>
        </w:tc>
        <w:tc>
          <w:tcPr>
            <w:tcW w:w="1350" w:type="dxa"/>
            <w:tcBorders>
              <w:top w:val="nil"/>
              <w:left w:val="single" w:sz="4" w:space="0" w:color="auto"/>
              <w:bottom w:val="nil"/>
              <w:right w:val="nil"/>
            </w:tcBorders>
            <w:shd w:val="clear" w:color="auto" w:fill="auto"/>
            <w:noWrap/>
            <w:vAlign w:val="center"/>
            <w:hideMark/>
          </w:tcPr>
          <w:p w14:paraId="0A27B47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17.1</w:t>
            </w:r>
          </w:p>
        </w:tc>
        <w:tc>
          <w:tcPr>
            <w:tcW w:w="1260" w:type="dxa"/>
            <w:tcBorders>
              <w:top w:val="nil"/>
              <w:left w:val="nil"/>
              <w:bottom w:val="nil"/>
              <w:right w:val="nil"/>
            </w:tcBorders>
            <w:shd w:val="clear" w:color="auto" w:fill="auto"/>
            <w:noWrap/>
            <w:vAlign w:val="center"/>
            <w:hideMark/>
          </w:tcPr>
          <w:p w14:paraId="304272B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-1.1</w:t>
            </w:r>
          </w:p>
        </w:tc>
        <w:tc>
          <w:tcPr>
            <w:tcW w:w="1170" w:type="dxa"/>
            <w:tcBorders>
              <w:top w:val="nil"/>
              <w:left w:val="nil"/>
              <w:bottom w:val="nil"/>
              <w:right w:val="nil"/>
            </w:tcBorders>
            <w:shd w:val="clear" w:color="auto" w:fill="auto"/>
            <w:noWrap/>
            <w:vAlign w:val="center"/>
            <w:hideMark/>
          </w:tcPr>
          <w:p w14:paraId="0037FFF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2.6</w:t>
            </w:r>
          </w:p>
        </w:tc>
        <w:tc>
          <w:tcPr>
            <w:tcW w:w="1350" w:type="dxa"/>
            <w:tcBorders>
              <w:top w:val="nil"/>
              <w:left w:val="nil"/>
              <w:bottom w:val="nil"/>
              <w:right w:val="nil"/>
            </w:tcBorders>
            <w:shd w:val="clear" w:color="auto" w:fill="auto"/>
            <w:noWrap/>
            <w:vAlign w:val="center"/>
            <w:hideMark/>
          </w:tcPr>
          <w:p w14:paraId="7F63A1F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28.2</w:t>
            </w:r>
          </w:p>
        </w:tc>
        <w:tc>
          <w:tcPr>
            <w:tcW w:w="1350" w:type="dxa"/>
            <w:tcBorders>
              <w:top w:val="nil"/>
              <w:left w:val="nil"/>
              <w:bottom w:val="nil"/>
              <w:right w:val="nil"/>
            </w:tcBorders>
            <w:shd w:val="clear" w:color="auto" w:fill="auto"/>
            <w:noWrap/>
            <w:vAlign w:val="center"/>
            <w:hideMark/>
          </w:tcPr>
          <w:p w14:paraId="2C4A390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29.0</w:t>
            </w:r>
          </w:p>
        </w:tc>
      </w:tr>
      <w:tr w:rsidR="005B1961" w:rsidRPr="00A0334F" w14:paraId="5DABCCCE" w14:textId="77777777" w:rsidTr="005B1961">
        <w:trPr>
          <w:trHeight w:val="276"/>
        </w:trPr>
        <w:tc>
          <w:tcPr>
            <w:tcW w:w="1188" w:type="dxa"/>
            <w:tcBorders>
              <w:top w:val="nil"/>
              <w:left w:val="nil"/>
              <w:bottom w:val="single" w:sz="4" w:space="0" w:color="auto"/>
              <w:right w:val="nil"/>
            </w:tcBorders>
            <w:shd w:val="clear" w:color="auto" w:fill="auto"/>
            <w:noWrap/>
            <w:vAlign w:val="bottom"/>
            <w:hideMark/>
          </w:tcPr>
          <w:p w14:paraId="2102700F"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single" w:sz="4" w:space="0" w:color="auto"/>
              <w:right w:val="nil"/>
            </w:tcBorders>
            <w:shd w:val="clear" w:color="auto" w:fill="auto"/>
            <w:noWrap/>
            <w:vAlign w:val="bottom"/>
            <w:hideMark/>
          </w:tcPr>
          <w:p w14:paraId="7591A578"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single" w:sz="4" w:space="0" w:color="auto"/>
              <w:right w:val="single" w:sz="4" w:space="0" w:color="auto"/>
            </w:tcBorders>
            <w:shd w:val="clear" w:color="auto" w:fill="auto"/>
            <w:noWrap/>
            <w:vAlign w:val="center"/>
            <w:hideMark/>
          </w:tcPr>
          <w:p w14:paraId="6F85EB5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40</w:t>
            </w:r>
          </w:p>
        </w:tc>
        <w:tc>
          <w:tcPr>
            <w:tcW w:w="1350" w:type="dxa"/>
            <w:tcBorders>
              <w:top w:val="nil"/>
              <w:left w:val="single" w:sz="4" w:space="0" w:color="auto"/>
              <w:bottom w:val="single" w:sz="4" w:space="0" w:color="auto"/>
              <w:right w:val="nil"/>
            </w:tcBorders>
            <w:shd w:val="clear" w:color="auto" w:fill="auto"/>
            <w:noWrap/>
            <w:vAlign w:val="center"/>
            <w:hideMark/>
          </w:tcPr>
          <w:p w14:paraId="7FA3823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14.5</w:t>
            </w:r>
          </w:p>
        </w:tc>
        <w:tc>
          <w:tcPr>
            <w:tcW w:w="1260" w:type="dxa"/>
            <w:tcBorders>
              <w:top w:val="nil"/>
              <w:left w:val="nil"/>
              <w:bottom w:val="single" w:sz="4" w:space="0" w:color="auto"/>
              <w:right w:val="nil"/>
            </w:tcBorders>
            <w:shd w:val="clear" w:color="auto" w:fill="auto"/>
            <w:noWrap/>
            <w:vAlign w:val="center"/>
            <w:hideMark/>
          </w:tcPr>
          <w:p w14:paraId="3EC8393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0.1</w:t>
            </w:r>
          </w:p>
        </w:tc>
        <w:tc>
          <w:tcPr>
            <w:tcW w:w="1170" w:type="dxa"/>
            <w:tcBorders>
              <w:top w:val="nil"/>
              <w:left w:val="nil"/>
              <w:bottom w:val="single" w:sz="4" w:space="0" w:color="auto"/>
              <w:right w:val="nil"/>
            </w:tcBorders>
            <w:shd w:val="clear" w:color="auto" w:fill="auto"/>
            <w:noWrap/>
            <w:vAlign w:val="center"/>
            <w:hideMark/>
          </w:tcPr>
          <w:p w14:paraId="224727A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4.1</w:t>
            </w:r>
          </w:p>
        </w:tc>
        <w:tc>
          <w:tcPr>
            <w:tcW w:w="1350" w:type="dxa"/>
            <w:tcBorders>
              <w:top w:val="nil"/>
              <w:left w:val="nil"/>
              <w:bottom w:val="single" w:sz="4" w:space="0" w:color="auto"/>
              <w:right w:val="nil"/>
            </w:tcBorders>
            <w:shd w:val="clear" w:color="auto" w:fill="auto"/>
            <w:noWrap/>
            <w:vAlign w:val="center"/>
            <w:hideMark/>
          </w:tcPr>
          <w:p w14:paraId="1ECA02F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22.7</w:t>
            </w:r>
          </w:p>
        </w:tc>
        <w:tc>
          <w:tcPr>
            <w:tcW w:w="1350" w:type="dxa"/>
            <w:tcBorders>
              <w:top w:val="nil"/>
              <w:left w:val="nil"/>
              <w:bottom w:val="single" w:sz="4" w:space="0" w:color="auto"/>
              <w:right w:val="nil"/>
            </w:tcBorders>
            <w:shd w:val="clear" w:color="auto" w:fill="auto"/>
            <w:noWrap/>
            <w:vAlign w:val="center"/>
            <w:hideMark/>
          </w:tcPr>
          <w:p w14:paraId="46E1C0B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26.5</w:t>
            </w:r>
          </w:p>
        </w:tc>
      </w:tr>
      <w:tr w:rsidR="005B1961" w:rsidRPr="00A0334F" w14:paraId="255AD153" w14:textId="77777777" w:rsidTr="005B1961">
        <w:trPr>
          <w:trHeight w:val="276"/>
        </w:trPr>
        <w:tc>
          <w:tcPr>
            <w:tcW w:w="1188" w:type="dxa"/>
            <w:tcBorders>
              <w:top w:val="single" w:sz="4" w:space="0" w:color="auto"/>
              <w:left w:val="nil"/>
              <w:bottom w:val="nil"/>
              <w:right w:val="nil"/>
            </w:tcBorders>
            <w:shd w:val="clear" w:color="auto" w:fill="auto"/>
            <w:noWrap/>
            <w:vAlign w:val="bottom"/>
            <w:hideMark/>
          </w:tcPr>
          <w:p w14:paraId="22DCD2E1"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None</w:t>
            </w:r>
          </w:p>
        </w:tc>
        <w:tc>
          <w:tcPr>
            <w:tcW w:w="720" w:type="dxa"/>
            <w:tcBorders>
              <w:top w:val="single" w:sz="4" w:space="0" w:color="auto"/>
              <w:left w:val="nil"/>
              <w:bottom w:val="nil"/>
              <w:right w:val="nil"/>
            </w:tcBorders>
            <w:shd w:val="clear" w:color="auto" w:fill="auto"/>
            <w:noWrap/>
            <w:vAlign w:val="bottom"/>
            <w:hideMark/>
          </w:tcPr>
          <w:p w14:paraId="0C92C5A0" w14:textId="77777777" w:rsidR="00004F71" w:rsidRPr="0092700B" w:rsidRDefault="00004F71" w:rsidP="0092700B">
            <w:pPr>
              <w:spacing w:line="240" w:lineRule="auto"/>
              <w:rPr>
                <w:rFonts w:eastAsia="Times New Roman" w:cstheme="minorHAnsi"/>
                <w:color w:val="000000"/>
                <w:sz w:val="20"/>
                <w:szCs w:val="24"/>
                <w:lang w:eastAsia="en-GB"/>
              </w:rPr>
            </w:pPr>
          </w:p>
        </w:tc>
        <w:tc>
          <w:tcPr>
            <w:tcW w:w="1080" w:type="dxa"/>
            <w:tcBorders>
              <w:top w:val="single" w:sz="4" w:space="0" w:color="auto"/>
              <w:left w:val="nil"/>
              <w:bottom w:val="nil"/>
              <w:right w:val="single" w:sz="4" w:space="0" w:color="auto"/>
            </w:tcBorders>
            <w:shd w:val="clear" w:color="auto" w:fill="auto"/>
            <w:noWrap/>
            <w:vAlign w:val="center"/>
            <w:hideMark/>
          </w:tcPr>
          <w:p w14:paraId="75B4545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60</w:t>
            </w:r>
          </w:p>
        </w:tc>
        <w:tc>
          <w:tcPr>
            <w:tcW w:w="1350" w:type="dxa"/>
            <w:tcBorders>
              <w:top w:val="single" w:sz="4" w:space="0" w:color="auto"/>
              <w:left w:val="single" w:sz="4" w:space="0" w:color="auto"/>
              <w:bottom w:val="nil"/>
              <w:right w:val="nil"/>
            </w:tcBorders>
            <w:shd w:val="clear" w:color="auto" w:fill="auto"/>
            <w:noWrap/>
            <w:vAlign w:val="center"/>
            <w:hideMark/>
          </w:tcPr>
          <w:p w14:paraId="2214061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9.4</w:t>
            </w:r>
          </w:p>
        </w:tc>
        <w:tc>
          <w:tcPr>
            <w:tcW w:w="1260" w:type="dxa"/>
            <w:tcBorders>
              <w:top w:val="single" w:sz="4" w:space="0" w:color="auto"/>
              <w:left w:val="nil"/>
              <w:bottom w:val="nil"/>
              <w:right w:val="nil"/>
            </w:tcBorders>
            <w:shd w:val="clear" w:color="auto" w:fill="auto"/>
            <w:noWrap/>
            <w:vAlign w:val="center"/>
            <w:hideMark/>
          </w:tcPr>
          <w:p w14:paraId="753B5A1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8.0</w:t>
            </w:r>
          </w:p>
        </w:tc>
        <w:tc>
          <w:tcPr>
            <w:tcW w:w="1170" w:type="dxa"/>
            <w:tcBorders>
              <w:top w:val="single" w:sz="4" w:space="0" w:color="auto"/>
              <w:left w:val="nil"/>
              <w:bottom w:val="nil"/>
              <w:right w:val="nil"/>
            </w:tcBorders>
            <w:shd w:val="clear" w:color="auto" w:fill="auto"/>
            <w:noWrap/>
            <w:vAlign w:val="center"/>
            <w:hideMark/>
          </w:tcPr>
          <w:p w14:paraId="00FB9F6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7.2</w:t>
            </w:r>
          </w:p>
        </w:tc>
        <w:tc>
          <w:tcPr>
            <w:tcW w:w="1350" w:type="dxa"/>
            <w:tcBorders>
              <w:top w:val="single" w:sz="4" w:space="0" w:color="auto"/>
              <w:left w:val="nil"/>
              <w:bottom w:val="nil"/>
              <w:right w:val="nil"/>
            </w:tcBorders>
            <w:shd w:val="clear" w:color="auto" w:fill="auto"/>
            <w:noWrap/>
            <w:vAlign w:val="center"/>
            <w:hideMark/>
          </w:tcPr>
          <w:p w14:paraId="501F5995"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8.9</w:t>
            </w:r>
          </w:p>
        </w:tc>
        <w:tc>
          <w:tcPr>
            <w:tcW w:w="1350" w:type="dxa"/>
            <w:tcBorders>
              <w:top w:val="single" w:sz="4" w:space="0" w:color="auto"/>
              <w:left w:val="nil"/>
              <w:bottom w:val="nil"/>
              <w:right w:val="nil"/>
            </w:tcBorders>
            <w:shd w:val="clear" w:color="auto" w:fill="auto"/>
            <w:noWrap/>
            <w:vAlign w:val="center"/>
            <w:hideMark/>
          </w:tcPr>
          <w:p w14:paraId="5DBC8C2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46.8</w:t>
            </w:r>
          </w:p>
        </w:tc>
      </w:tr>
      <w:tr w:rsidR="005B1961" w:rsidRPr="00A0334F" w14:paraId="04B01A95" w14:textId="77777777" w:rsidTr="005B1961">
        <w:trPr>
          <w:trHeight w:val="276"/>
        </w:trPr>
        <w:tc>
          <w:tcPr>
            <w:tcW w:w="1188" w:type="dxa"/>
            <w:tcBorders>
              <w:top w:val="nil"/>
              <w:left w:val="nil"/>
              <w:bottom w:val="nil"/>
              <w:right w:val="nil"/>
            </w:tcBorders>
            <w:shd w:val="clear" w:color="auto" w:fill="auto"/>
            <w:noWrap/>
            <w:vAlign w:val="bottom"/>
            <w:hideMark/>
          </w:tcPr>
          <w:p w14:paraId="281D265C"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01555CA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42D06C9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60</w:t>
            </w:r>
          </w:p>
        </w:tc>
        <w:tc>
          <w:tcPr>
            <w:tcW w:w="1350" w:type="dxa"/>
            <w:tcBorders>
              <w:top w:val="nil"/>
              <w:left w:val="single" w:sz="4" w:space="0" w:color="auto"/>
              <w:bottom w:val="nil"/>
              <w:right w:val="nil"/>
            </w:tcBorders>
            <w:shd w:val="clear" w:color="auto" w:fill="auto"/>
            <w:noWrap/>
            <w:vAlign w:val="center"/>
            <w:hideMark/>
          </w:tcPr>
          <w:p w14:paraId="50E2318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17.0</w:t>
            </w:r>
          </w:p>
        </w:tc>
        <w:tc>
          <w:tcPr>
            <w:tcW w:w="1260" w:type="dxa"/>
            <w:tcBorders>
              <w:top w:val="nil"/>
              <w:left w:val="nil"/>
              <w:bottom w:val="nil"/>
              <w:right w:val="nil"/>
            </w:tcBorders>
            <w:shd w:val="clear" w:color="auto" w:fill="auto"/>
            <w:noWrap/>
            <w:vAlign w:val="center"/>
            <w:hideMark/>
          </w:tcPr>
          <w:p w14:paraId="1093AD9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1.2</w:t>
            </w:r>
          </w:p>
        </w:tc>
        <w:tc>
          <w:tcPr>
            <w:tcW w:w="1170" w:type="dxa"/>
            <w:tcBorders>
              <w:top w:val="nil"/>
              <w:left w:val="nil"/>
              <w:bottom w:val="nil"/>
              <w:right w:val="nil"/>
            </w:tcBorders>
            <w:shd w:val="clear" w:color="auto" w:fill="auto"/>
            <w:noWrap/>
            <w:vAlign w:val="center"/>
            <w:hideMark/>
          </w:tcPr>
          <w:p w14:paraId="0C782D2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11.6</w:t>
            </w:r>
          </w:p>
        </w:tc>
        <w:tc>
          <w:tcPr>
            <w:tcW w:w="1350" w:type="dxa"/>
            <w:tcBorders>
              <w:top w:val="nil"/>
              <w:left w:val="nil"/>
              <w:bottom w:val="nil"/>
              <w:right w:val="nil"/>
            </w:tcBorders>
            <w:shd w:val="clear" w:color="auto" w:fill="auto"/>
            <w:noWrap/>
            <w:vAlign w:val="center"/>
            <w:hideMark/>
          </w:tcPr>
          <w:p w14:paraId="79686E0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27.0</w:t>
            </w:r>
          </w:p>
        </w:tc>
        <w:tc>
          <w:tcPr>
            <w:tcW w:w="1350" w:type="dxa"/>
            <w:tcBorders>
              <w:top w:val="nil"/>
              <w:left w:val="nil"/>
              <w:bottom w:val="nil"/>
              <w:right w:val="nil"/>
            </w:tcBorders>
            <w:shd w:val="clear" w:color="auto" w:fill="auto"/>
            <w:noWrap/>
            <w:vAlign w:val="center"/>
            <w:hideMark/>
          </w:tcPr>
          <w:p w14:paraId="36520C56"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44.7</w:t>
            </w:r>
          </w:p>
        </w:tc>
      </w:tr>
      <w:tr w:rsidR="005B1961" w:rsidRPr="00A0334F" w14:paraId="51797FAF" w14:textId="77777777" w:rsidTr="005B1961">
        <w:trPr>
          <w:trHeight w:val="276"/>
        </w:trPr>
        <w:tc>
          <w:tcPr>
            <w:tcW w:w="1188" w:type="dxa"/>
            <w:tcBorders>
              <w:top w:val="nil"/>
              <w:left w:val="nil"/>
              <w:bottom w:val="nil"/>
              <w:right w:val="nil"/>
            </w:tcBorders>
            <w:shd w:val="clear" w:color="auto" w:fill="auto"/>
            <w:noWrap/>
            <w:vAlign w:val="bottom"/>
            <w:hideMark/>
          </w:tcPr>
          <w:p w14:paraId="72F889B6"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43C8052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nil"/>
              <w:right w:val="single" w:sz="4" w:space="0" w:color="auto"/>
            </w:tcBorders>
            <w:shd w:val="clear" w:color="auto" w:fill="auto"/>
            <w:noWrap/>
            <w:vAlign w:val="center"/>
            <w:hideMark/>
          </w:tcPr>
          <w:p w14:paraId="6B7B652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60</w:t>
            </w:r>
          </w:p>
        </w:tc>
        <w:tc>
          <w:tcPr>
            <w:tcW w:w="1350" w:type="dxa"/>
            <w:tcBorders>
              <w:top w:val="nil"/>
              <w:left w:val="single" w:sz="4" w:space="0" w:color="auto"/>
              <w:bottom w:val="nil"/>
              <w:right w:val="nil"/>
            </w:tcBorders>
            <w:shd w:val="clear" w:color="auto" w:fill="auto"/>
            <w:noWrap/>
            <w:vAlign w:val="center"/>
            <w:hideMark/>
          </w:tcPr>
          <w:p w14:paraId="77E3EF1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14.1</w:t>
            </w:r>
          </w:p>
        </w:tc>
        <w:tc>
          <w:tcPr>
            <w:tcW w:w="1260" w:type="dxa"/>
            <w:tcBorders>
              <w:top w:val="nil"/>
              <w:left w:val="nil"/>
              <w:bottom w:val="nil"/>
              <w:right w:val="nil"/>
            </w:tcBorders>
            <w:shd w:val="clear" w:color="auto" w:fill="auto"/>
            <w:noWrap/>
            <w:vAlign w:val="center"/>
            <w:hideMark/>
          </w:tcPr>
          <w:p w14:paraId="7E583D76"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2.9</w:t>
            </w:r>
          </w:p>
        </w:tc>
        <w:tc>
          <w:tcPr>
            <w:tcW w:w="1170" w:type="dxa"/>
            <w:tcBorders>
              <w:top w:val="nil"/>
              <w:left w:val="nil"/>
              <w:bottom w:val="nil"/>
              <w:right w:val="nil"/>
            </w:tcBorders>
            <w:shd w:val="clear" w:color="auto" w:fill="auto"/>
            <w:noWrap/>
            <w:vAlign w:val="center"/>
            <w:hideMark/>
          </w:tcPr>
          <w:p w14:paraId="1A3ADEA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6.7</w:t>
            </w:r>
          </w:p>
        </w:tc>
        <w:tc>
          <w:tcPr>
            <w:tcW w:w="1350" w:type="dxa"/>
            <w:tcBorders>
              <w:top w:val="nil"/>
              <w:left w:val="nil"/>
              <w:bottom w:val="nil"/>
              <w:right w:val="nil"/>
            </w:tcBorders>
            <w:shd w:val="clear" w:color="auto" w:fill="auto"/>
            <w:noWrap/>
            <w:vAlign w:val="center"/>
            <w:hideMark/>
          </w:tcPr>
          <w:p w14:paraId="5F7CF0E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23.6</w:t>
            </w:r>
          </w:p>
        </w:tc>
        <w:tc>
          <w:tcPr>
            <w:tcW w:w="1350" w:type="dxa"/>
            <w:tcBorders>
              <w:top w:val="nil"/>
              <w:left w:val="nil"/>
              <w:bottom w:val="nil"/>
              <w:right w:val="nil"/>
            </w:tcBorders>
            <w:shd w:val="clear" w:color="auto" w:fill="auto"/>
            <w:noWrap/>
            <w:vAlign w:val="center"/>
            <w:hideMark/>
          </w:tcPr>
          <w:p w14:paraId="5732C34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48.9</w:t>
            </w:r>
          </w:p>
        </w:tc>
      </w:tr>
      <w:tr w:rsidR="005B1961" w:rsidRPr="00A0334F" w14:paraId="3173D8A9" w14:textId="77777777" w:rsidTr="005B1961">
        <w:trPr>
          <w:trHeight w:val="276"/>
        </w:trPr>
        <w:tc>
          <w:tcPr>
            <w:tcW w:w="1188" w:type="dxa"/>
            <w:tcBorders>
              <w:top w:val="nil"/>
              <w:left w:val="nil"/>
              <w:bottom w:val="nil"/>
              <w:right w:val="nil"/>
            </w:tcBorders>
            <w:shd w:val="clear" w:color="auto" w:fill="auto"/>
            <w:noWrap/>
            <w:vAlign w:val="bottom"/>
            <w:hideMark/>
          </w:tcPr>
          <w:p w14:paraId="3D244C11"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nil"/>
              <w:right w:val="nil"/>
            </w:tcBorders>
            <w:shd w:val="clear" w:color="auto" w:fill="auto"/>
            <w:noWrap/>
            <w:vAlign w:val="bottom"/>
            <w:hideMark/>
          </w:tcPr>
          <w:p w14:paraId="34870CC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3C03128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60</w:t>
            </w:r>
          </w:p>
        </w:tc>
        <w:tc>
          <w:tcPr>
            <w:tcW w:w="1350" w:type="dxa"/>
            <w:tcBorders>
              <w:top w:val="nil"/>
              <w:left w:val="single" w:sz="4" w:space="0" w:color="auto"/>
              <w:bottom w:val="nil"/>
              <w:right w:val="nil"/>
            </w:tcBorders>
            <w:shd w:val="clear" w:color="auto" w:fill="auto"/>
            <w:noWrap/>
            <w:vAlign w:val="center"/>
            <w:hideMark/>
          </w:tcPr>
          <w:p w14:paraId="5CE9A645"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26.9</w:t>
            </w:r>
          </w:p>
        </w:tc>
        <w:tc>
          <w:tcPr>
            <w:tcW w:w="1260" w:type="dxa"/>
            <w:tcBorders>
              <w:top w:val="nil"/>
              <w:left w:val="nil"/>
              <w:bottom w:val="nil"/>
              <w:right w:val="nil"/>
            </w:tcBorders>
            <w:shd w:val="clear" w:color="auto" w:fill="auto"/>
            <w:noWrap/>
            <w:vAlign w:val="center"/>
            <w:hideMark/>
          </w:tcPr>
          <w:p w14:paraId="0A9C82E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-2.8</w:t>
            </w:r>
          </w:p>
        </w:tc>
        <w:tc>
          <w:tcPr>
            <w:tcW w:w="1170" w:type="dxa"/>
            <w:tcBorders>
              <w:top w:val="nil"/>
              <w:left w:val="nil"/>
              <w:bottom w:val="nil"/>
              <w:right w:val="nil"/>
            </w:tcBorders>
            <w:shd w:val="clear" w:color="auto" w:fill="auto"/>
            <w:noWrap/>
            <w:vAlign w:val="center"/>
            <w:hideMark/>
          </w:tcPr>
          <w:p w14:paraId="3155B51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5.5</w:t>
            </w:r>
          </w:p>
        </w:tc>
        <w:tc>
          <w:tcPr>
            <w:tcW w:w="1350" w:type="dxa"/>
            <w:tcBorders>
              <w:top w:val="nil"/>
              <w:left w:val="nil"/>
              <w:bottom w:val="nil"/>
              <w:right w:val="nil"/>
            </w:tcBorders>
            <w:shd w:val="clear" w:color="auto" w:fill="auto"/>
            <w:noWrap/>
            <w:vAlign w:val="center"/>
            <w:hideMark/>
          </w:tcPr>
          <w:p w14:paraId="4011653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41.4</w:t>
            </w:r>
          </w:p>
        </w:tc>
        <w:tc>
          <w:tcPr>
            <w:tcW w:w="1350" w:type="dxa"/>
            <w:tcBorders>
              <w:top w:val="nil"/>
              <w:left w:val="nil"/>
              <w:bottom w:val="nil"/>
              <w:right w:val="nil"/>
            </w:tcBorders>
            <w:shd w:val="clear" w:color="auto" w:fill="auto"/>
            <w:noWrap/>
            <w:vAlign w:val="center"/>
            <w:hideMark/>
          </w:tcPr>
          <w:p w14:paraId="766590E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44.2</w:t>
            </w:r>
          </w:p>
        </w:tc>
      </w:tr>
      <w:tr w:rsidR="005B1961" w:rsidRPr="00A0334F" w14:paraId="27602127" w14:textId="77777777" w:rsidTr="005B1961">
        <w:trPr>
          <w:trHeight w:val="276"/>
        </w:trPr>
        <w:tc>
          <w:tcPr>
            <w:tcW w:w="1188" w:type="dxa"/>
            <w:tcBorders>
              <w:top w:val="nil"/>
              <w:left w:val="nil"/>
              <w:bottom w:val="single" w:sz="4" w:space="0" w:color="auto"/>
              <w:right w:val="nil"/>
            </w:tcBorders>
            <w:shd w:val="clear" w:color="auto" w:fill="auto"/>
            <w:noWrap/>
            <w:vAlign w:val="bottom"/>
            <w:hideMark/>
          </w:tcPr>
          <w:p w14:paraId="444BABD4"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single" w:sz="4" w:space="0" w:color="auto"/>
              <w:right w:val="nil"/>
            </w:tcBorders>
            <w:shd w:val="clear" w:color="auto" w:fill="auto"/>
            <w:noWrap/>
            <w:vAlign w:val="bottom"/>
            <w:hideMark/>
          </w:tcPr>
          <w:p w14:paraId="260BB51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single" w:sz="4" w:space="0" w:color="auto"/>
              <w:right w:val="single" w:sz="4" w:space="0" w:color="auto"/>
            </w:tcBorders>
            <w:shd w:val="clear" w:color="auto" w:fill="auto"/>
            <w:noWrap/>
            <w:vAlign w:val="center"/>
            <w:hideMark/>
          </w:tcPr>
          <w:p w14:paraId="2A2EFB5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60</w:t>
            </w:r>
          </w:p>
        </w:tc>
        <w:tc>
          <w:tcPr>
            <w:tcW w:w="1350" w:type="dxa"/>
            <w:tcBorders>
              <w:top w:val="nil"/>
              <w:left w:val="single" w:sz="4" w:space="0" w:color="auto"/>
              <w:bottom w:val="single" w:sz="4" w:space="0" w:color="auto"/>
              <w:right w:val="nil"/>
            </w:tcBorders>
            <w:shd w:val="clear" w:color="auto" w:fill="auto"/>
            <w:noWrap/>
            <w:vAlign w:val="center"/>
            <w:hideMark/>
          </w:tcPr>
          <w:p w14:paraId="676DE79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21.4</w:t>
            </w:r>
          </w:p>
        </w:tc>
        <w:tc>
          <w:tcPr>
            <w:tcW w:w="1260" w:type="dxa"/>
            <w:tcBorders>
              <w:top w:val="nil"/>
              <w:left w:val="nil"/>
              <w:bottom w:val="single" w:sz="4" w:space="0" w:color="auto"/>
              <w:right w:val="nil"/>
            </w:tcBorders>
            <w:shd w:val="clear" w:color="auto" w:fill="auto"/>
            <w:noWrap/>
            <w:vAlign w:val="center"/>
            <w:hideMark/>
          </w:tcPr>
          <w:p w14:paraId="7E5B6126"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-0.1</w:t>
            </w:r>
          </w:p>
        </w:tc>
        <w:tc>
          <w:tcPr>
            <w:tcW w:w="1170" w:type="dxa"/>
            <w:tcBorders>
              <w:top w:val="nil"/>
              <w:left w:val="nil"/>
              <w:bottom w:val="single" w:sz="4" w:space="0" w:color="auto"/>
              <w:right w:val="nil"/>
            </w:tcBorders>
            <w:shd w:val="clear" w:color="auto" w:fill="auto"/>
            <w:noWrap/>
            <w:vAlign w:val="center"/>
            <w:hideMark/>
          </w:tcPr>
          <w:p w14:paraId="12AAFD5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3.6</w:t>
            </w:r>
          </w:p>
        </w:tc>
        <w:tc>
          <w:tcPr>
            <w:tcW w:w="1350" w:type="dxa"/>
            <w:tcBorders>
              <w:top w:val="nil"/>
              <w:left w:val="nil"/>
              <w:bottom w:val="single" w:sz="4" w:space="0" w:color="auto"/>
              <w:right w:val="nil"/>
            </w:tcBorders>
            <w:shd w:val="clear" w:color="auto" w:fill="auto"/>
            <w:noWrap/>
            <w:vAlign w:val="center"/>
            <w:hideMark/>
          </w:tcPr>
          <w:p w14:paraId="44C4F8D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37.0</w:t>
            </w:r>
          </w:p>
        </w:tc>
        <w:tc>
          <w:tcPr>
            <w:tcW w:w="1350" w:type="dxa"/>
            <w:tcBorders>
              <w:top w:val="nil"/>
              <w:left w:val="nil"/>
              <w:bottom w:val="single" w:sz="4" w:space="0" w:color="auto"/>
              <w:right w:val="nil"/>
            </w:tcBorders>
            <w:shd w:val="clear" w:color="auto" w:fill="auto"/>
            <w:noWrap/>
            <w:vAlign w:val="center"/>
            <w:hideMark/>
          </w:tcPr>
          <w:p w14:paraId="538B704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44.9</w:t>
            </w:r>
          </w:p>
        </w:tc>
      </w:tr>
      <w:tr w:rsidR="005B1961" w:rsidRPr="00A0334F" w14:paraId="56D617C0" w14:textId="77777777" w:rsidTr="005B1961">
        <w:trPr>
          <w:trHeight w:val="276"/>
        </w:trPr>
        <w:tc>
          <w:tcPr>
            <w:tcW w:w="1188" w:type="dxa"/>
            <w:tcBorders>
              <w:top w:val="single" w:sz="4" w:space="0" w:color="auto"/>
              <w:left w:val="nil"/>
              <w:bottom w:val="nil"/>
              <w:right w:val="nil"/>
            </w:tcBorders>
            <w:shd w:val="clear" w:color="auto" w:fill="auto"/>
            <w:noWrap/>
            <w:vAlign w:val="bottom"/>
            <w:hideMark/>
          </w:tcPr>
          <w:p w14:paraId="2DE48D37"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None</w:t>
            </w:r>
          </w:p>
        </w:tc>
        <w:tc>
          <w:tcPr>
            <w:tcW w:w="720" w:type="dxa"/>
            <w:tcBorders>
              <w:top w:val="single" w:sz="4" w:space="0" w:color="auto"/>
              <w:left w:val="nil"/>
              <w:bottom w:val="nil"/>
              <w:right w:val="nil"/>
            </w:tcBorders>
            <w:shd w:val="clear" w:color="auto" w:fill="auto"/>
            <w:noWrap/>
            <w:vAlign w:val="bottom"/>
            <w:hideMark/>
          </w:tcPr>
          <w:p w14:paraId="340A4BBA" w14:textId="77777777" w:rsidR="00004F71" w:rsidRPr="0092700B" w:rsidRDefault="00004F71" w:rsidP="0092700B">
            <w:pPr>
              <w:spacing w:line="240" w:lineRule="auto"/>
              <w:rPr>
                <w:rFonts w:eastAsia="Times New Roman" w:cstheme="minorHAnsi"/>
                <w:color w:val="000000"/>
                <w:sz w:val="20"/>
                <w:szCs w:val="24"/>
                <w:lang w:eastAsia="en-GB"/>
              </w:rPr>
            </w:pPr>
          </w:p>
        </w:tc>
        <w:tc>
          <w:tcPr>
            <w:tcW w:w="1080" w:type="dxa"/>
            <w:tcBorders>
              <w:top w:val="single" w:sz="4" w:space="0" w:color="auto"/>
              <w:left w:val="nil"/>
              <w:bottom w:val="nil"/>
              <w:right w:val="single" w:sz="4" w:space="0" w:color="auto"/>
            </w:tcBorders>
            <w:shd w:val="clear" w:color="auto" w:fill="auto"/>
            <w:noWrap/>
            <w:vAlign w:val="center"/>
            <w:hideMark/>
          </w:tcPr>
          <w:p w14:paraId="0A07E2C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80</w:t>
            </w:r>
          </w:p>
        </w:tc>
        <w:tc>
          <w:tcPr>
            <w:tcW w:w="1350" w:type="dxa"/>
            <w:tcBorders>
              <w:top w:val="single" w:sz="4" w:space="0" w:color="auto"/>
              <w:left w:val="single" w:sz="4" w:space="0" w:color="auto"/>
              <w:bottom w:val="nil"/>
              <w:right w:val="nil"/>
            </w:tcBorders>
            <w:shd w:val="clear" w:color="auto" w:fill="auto"/>
            <w:noWrap/>
            <w:vAlign w:val="center"/>
            <w:hideMark/>
          </w:tcPr>
          <w:p w14:paraId="6B92EB3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12.6</w:t>
            </w:r>
          </w:p>
        </w:tc>
        <w:tc>
          <w:tcPr>
            <w:tcW w:w="1260" w:type="dxa"/>
            <w:tcBorders>
              <w:top w:val="single" w:sz="4" w:space="0" w:color="auto"/>
              <w:left w:val="nil"/>
              <w:bottom w:val="nil"/>
              <w:right w:val="nil"/>
            </w:tcBorders>
            <w:shd w:val="clear" w:color="auto" w:fill="auto"/>
            <w:noWrap/>
            <w:vAlign w:val="center"/>
            <w:hideMark/>
          </w:tcPr>
          <w:p w14:paraId="7E5591E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11.8</w:t>
            </w:r>
          </w:p>
        </w:tc>
        <w:tc>
          <w:tcPr>
            <w:tcW w:w="1170" w:type="dxa"/>
            <w:tcBorders>
              <w:top w:val="single" w:sz="4" w:space="0" w:color="auto"/>
              <w:left w:val="nil"/>
              <w:bottom w:val="nil"/>
              <w:right w:val="nil"/>
            </w:tcBorders>
            <w:shd w:val="clear" w:color="auto" w:fill="auto"/>
            <w:noWrap/>
            <w:vAlign w:val="center"/>
            <w:hideMark/>
          </w:tcPr>
          <w:p w14:paraId="33CB930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12.2</w:t>
            </w:r>
          </w:p>
        </w:tc>
        <w:tc>
          <w:tcPr>
            <w:tcW w:w="1350" w:type="dxa"/>
            <w:tcBorders>
              <w:top w:val="single" w:sz="4" w:space="0" w:color="auto"/>
              <w:left w:val="nil"/>
              <w:bottom w:val="nil"/>
              <w:right w:val="nil"/>
            </w:tcBorders>
            <w:shd w:val="clear" w:color="auto" w:fill="auto"/>
            <w:noWrap/>
            <w:vAlign w:val="center"/>
            <w:hideMark/>
          </w:tcPr>
          <w:p w14:paraId="23D539D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13.1</w:t>
            </w:r>
          </w:p>
        </w:tc>
        <w:tc>
          <w:tcPr>
            <w:tcW w:w="1350" w:type="dxa"/>
            <w:tcBorders>
              <w:top w:val="single" w:sz="4" w:space="0" w:color="auto"/>
              <w:left w:val="nil"/>
              <w:bottom w:val="nil"/>
              <w:right w:val="nil"/>
            </w:tcBorders>
            <w:shd w:val="clear" w:color="auto" w:fill="auto"/>
            <w:noWrap/>
            <w:vAlign w:val="center"/>
            <w:hideMark/>
          </w:tcPr>
          <w:p w14:paraId="4619621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63.2</w:t>
            </w:r>
          </w:p>
        </w:tc>
      </w:tr>
      <w:tr w:rsidR="005B1961" w:rsidRPr="00A0334F" w14:paraId="449CE87D" w14:textId="77777777" w:rsidTr="005B1961">
        <w:trPr>
          <w:trHeight w:val="276"/>
        </w:trPr>
        <w:tc>
          <w:tcPr>
            <w:tcW w:w="1188" w:type="dxa"/>
            <w:tcBorders>
              <w:top w:val="nil"/>
              <w:left w:val="nil"/>
              <w:bottom w:val="nil"/>
              <w:right w:val="nil"/>
            </w:tcBorders>
            <w:shd w:val="clear" w:color="auto" w:fill="auto"/>
            <w:noWrap/>
            <w:vAlign w:val="bottom"/>
            <w:hideMark/>
          </w:tcPr>
          <w:p w14:paraId="6E5A0E71"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0FE9024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79086588"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80</w:t>
            </w:r>
          </w:p>
        </w:tc>
        <w:tc>
          <w:tcPr>
            <w:tcW w:w="1350" w:type="dxa"/>
            <w:tcBorders>
              <w:top w:val="nil"/>
              <w:left w:val="single" w:sz="4" w:space="0" w:color="auto"/>
              <w:bottom w:val="nil"/>
              <w:right w:val="nil"/>
            </w:tcBorders>
            <w:shd w:val="clear" w:color="auto" w:fill="auto"/>
            <w:noWrap/>
            <w:vAlign w:val="center"/>
            <w:hideMark/>
          </w:tcPr>
          <w:p w14:paraId="522BFE2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25.7</w:t>
            </w:r>
          </w:p>
        </w:tc>
        <w:tc>
          <w:tcPr>
            <w:tcW w:w="1260" w:type="dxa"/>
            <w:tcBorders>
              <w:top w:val="nil"/>
              <w:left w:val="nil"/>
              <w:bottom w:val="nil"/>
              <w:right w:val="nil"/>
            </w:tcBorders>
            <w:shd w:val="clear" w:color="auto" w:fill="auto"/>
            <w:noWrap/>
            <w:vAlign w:val="center"/>
            <w:hideMark/>
          </w:tcPr>
          <w:p w14:paraId="7CC1FFC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4.1</w:t>
            </w:r>
          </w:p>
        </w:tc>
        <w:tc>
          <w:tcPr>
            <w:tcW w:w="1170" w:type="dxa"/>
            <w:tcBorders>
              <w:top w:val="nil"/>
              <w:left w:val="nil"/>
              <w:bottom w:val="nil"/>
              <w:right w:val="nil"/>
            </w:tcBorders>
            <w:shd w:val="clear" w:color="auto" w:fill="auto"/>
            <w:noWrap/>
            <w:vAlign w:val="center"/>
            <w:hideMark/>
          </w:tcPr>
          <w:p w14:paraId="397F28F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15.4</w:t>
            </w:r>
          </w:p>
        </w:tc>
        <w:tc>
          <w:tcPr>
            <w:tcW w:w="1350" w:type="dxa"/>
            <w:tcBorders>
              <w:top w:val="nil"/>
              <w:left w:val="nil"/>
              <w:bottom w:val="nil"/>
              <w:right w:val="nil"/>
            </w:tcBorders>
            <w:shd w:val="clear" w:color="auto" w:fill="auto"/>
            <w:noWrap/>
            <w:vAlign w:val="center"/>
            <w:hideMark/>
          </w:tcPr>
          <w:p w14:paraId="5E52C53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39.9</w:t>
            </w:r>
          </w:p>
        </w:tc>
        <w:tc>
          <w:tcPr>
            <w:tcW w:w="1350" w:type="dxa"/>
            <w:tcBorders>
              <w:top w:val="nil"/>
              <w:left w:val="nil"/>
              <w:bottom w:val="nil"/>
              <w:right w:val="nil"/>
            </w:tcBorders>
            <w:shd w:val="clear" w:color="auto" w:fill="auto"/>
            <w:noWrap/>
            <w:vAlign w:val="center"/>
            <w:hideMark/>
          </w:tcPr>
          <w:p w14:paraId="2864F878"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59.9</w:t>
            </w:r>
          </w:p>
        </w:tc>
      </w:tr>
      <w:tr w:rsidR="005B1961" w:rsidRPr="00A0334F" w14:paraId="2BDEFA50" w14:textId="77777777" w:rsidTr="005B1961">
        <w:trPr>
          <w:trHeight w:val="276"/>
        </w:trPr>
        <w:tc>
          <w:tcPr>
            <w:tcW w:w="1188" w:type="dxa"/>
            <w:tcBorders>
              <w:top w:val="nil"/>
              <w:left w:val="nil"/>
              <w:bottom w:val="nil"/>
              <w:right w:val="nil"/>
            </w:tcBorders>
            <w:shd w:val="clear" w:color="auto" w:fill="auto"/>
            <w:noWrap/>
            <w:vAlign w:val="bottom"/>
            <w:hideMark/>
          </w:tcPr>
          <w:p w14:paraId="528FD588"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72FF9F3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nil"/>
              <w:right w:val="single" w:sz="4" w:space="0" w:color="auto"/>
            </w:tcBorders>
            <w:shd w:val="clear" w:color="auto" w:fill="auto"/>
            <w:noWrap/>
            <w:vAlign w:val="center"/>
            <w:hideMark/>
          </w:tcPr>
          <w:p w14:paraId="538CE96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80</w:t>
            </w:r>
          </w:p>
        </w:tc>
        <w:tc>
          <w:tcPr>
            <w:tcW w:w="1350" w:type="dxa"/>
            <w:tcBorders>
              <w:top w:val="nil"/>
              <w:left w:val="single" w:sz="4" w:space="0" w:color="auto"/>
              <w:bottom w:val="nil"/>
              <w:right w:val="nil"/>
            </w:tcBorders>
            <w:shd w:val="clear" w:color="auto" w:fill="auto"/>
            <w:noWrap/>
            <w:vAlign w:val="center"/>
            <w:hideMark/>
          </w:tcPr>
          <w:p w14:paraId="5FE2491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20.0</w:t>
            </w:r>
          </w:p>
        </w:tc>
        <w:tc>
          <w:tcPr>
            <w:tcW w:w="1260" w:type="dxa"/>
            <w:tcBorders>
              <w:top w:val="nil"/>
              <w:left w:val="nil"/>
              <w:bottom w:val="nil"/>
              <w:right w:val="nil"/>
            </w:tcBorders>
            <w:shd w:val="clear" w:color="auto" w:fill="auto"/>
            <w:noWrap/>
            <w:vAlign w:val="center"/>
            <w:hideMark/>
          </w:tcPr>
          <w:p w14:paraId="071BC8B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5.4</w:t>
            </w:r>
          </w:p>
        </w:tc>
        <w:tc>
          <w:tcPr>
            <w:tcW w:w="1170" w:type="dxa"/>
            <w:tcBorders>
              <w:top w:val="nil"/>
              <w:left w:val="nil"/>
              <w:bottom w:val="nil"/>
              <w:right w:val="nil"/>
            </w:tcBorders>
            <w:shd w:val="clear" w:color="auto" w:fill="auto"/>
            <w:noWrap/>
            <w:vAlign w:val="center"/>
            <w:hideMark/>
          </w:tcPr>
          <w:p w14:paraId="4FEEB1A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7.9</w:t>
            </w:r>
          </w:p>
        </w:tc>
        <w:tc>
          <w:tcPr>
            <w:tcW w:w="1350" w:type="dxa"/>
            <w:tcBorders>
              <w:top w:val="nil"/>
              <w:left w:val="nil"/>
              <w:bottom w:val="nil"/>
              <w:right w:val="nil"/>
            </w:tcBorders>
            <w:shd w:val="clear" w:color="auto" w:fill="auto"/>
            <w:noWrap/>
            <w:vAlign w:val="center"/>
            <w:hideMark/>
          </w:tcPr>
          <w:p w14:paraId="1322F3F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32.6</w:t>
            </w:r>
          </w:p>
        </w:tc>
        <w:tc>
          <w:tcPr>
            <w:tcW w:w="1350" w:type="dxa"/>
            <w:tcBorders>
              <w:top w:val="nil"/>
              <w:left w:val="nil"/>
              <w:bottom w:val="nil"/>
              <w:right w:val="nil"/>
            </w:tcBorders>
            <w:shd w:val="clear" w:color="auto" w:fill="auto"/>
            <w:noWrap/>
            <w:vAlign w:val="center"/>
            <w:hideMark/>
          </w:tcPr>
          <w:p w14:paraId="3EF72F5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62.9</w:t>
            </w:r>
          </w:p>
        </w:tc>
      </w:tr>
      <w:tr w:rsidR="005B1961" w:rsidRPr="00A0334F" w14:paraId="0B0F7E75" w14:textId="77777777" w:rsidTr="005B1961">
        <w:trPr>
          <w:trHeight w:val="276"/>
        </w:trPr>
        <w:tc>
          <w:tcPr>
            <w:tcW w:w="1188" w:type="dxa"/>
            <w:tcBorders>
              <w:top w:val="nil"/>
              <w:left w:val="nil"/>
              <w:bottom w:val="nil"/>
              <w:right w:val="nil"/>
            </w:tcBorders>
            <w:shd w:val="clear" w:color="auto" w:fill="auto"/>
            <w:noWrap/>
            <w:vAlign w:val="bottom"/>
            <w:hideMark/>
          </w:tcPr>
          <w:p w14:paraId="24359845"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nil"/>
              <w:right w:val="nil"/>
            </w:tcBorders>
            <w:shd w:val="clear" w:color="auto" w:fill="auto"/>
            <w:noWrap/>
            <w:vAlign w:val="bottom"/>
            <w:hideMark/>
          </w:tcPr>
          <w:p w14:paraId="371F544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47F1E18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80</w:t>
            </w:r>
          </w:p>
        </w:tc>
        <w:tc>
          <w:tcPr>
            <w:tcW w:w="1350" w:type="dxa"/>
            <w:tcBorders>
              <w:top w:val="nil"/>
              <w:left w:val="single" w:sz="4" w:space="0" w:color="auto"/>
              <w:bottom w:val="nil"/>
              <w:right w:val="nil"/>
            </w:tcBorders>
            <w:shd w:val="clear" w:color="auto" w:fill="auto"/>
            <w:noWrap/>
            <w:vAlign w:val="center"/>
            <w:hideMark/>
          </w:tcPr>
          <w:p w14:paraId="2565731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40.0</w:t>
            </w:r>
          </w:p>
        </w:tc>
        <w:tc>
          <w:tcPr>
            <w:tcW w:w="1260" w:type="dxa"/>
            <w:tcBorders>
              <w:top w:val="nil"/>
              <w:left w:val="nil"/>
              <w:bottom w:val="nil"/>
              <w:right w:val="nil"/>
            </w:tcBorders>
            <w:shd w:val="clear" w:color="auto" w:fill="auto"/>
            <w:noWrap/>
            <w:vAlign w:val="center"/>
            <w:hideMark/>
          </w:tcPr>
          <w:p w14:paraId="3FFD605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-1.1</w:t>
            </w:r>
          </w:p>
        </w:tc>
        <w:tc>
          <w:tcPr>
            <w:tcW w:w="1170" w:type="dxa"/>
            <w:tcBorders>
              <w:top w:val="nil"/>
              <w:left w:val="nil"/>
              <w:bottom w:val="nil"/>
              <w:right w:val="nil"/>
            </w:tcBorders>
            <w:shd w:val="clear" w:color="auto" w:fill="auto"/>
            <w:noWrap/>
            <w:vAlign w:val="center"/>
            <w:hideMark/>
          </w:tcPr>
          <w:p w14:paraId="7666F1A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9.1</w:t>
            </w:r>
          </w:p>
        </w:tc>
        <w:tc>
          <w:tcPr>
            <w:tcW w:w="1350" w:type="dxa"/>
            <w:tcBorders>
              <w:top w:val="nil"/>
              <w:left w:val="nil"/>
              <w:bottom w:val="nil"/>
              <w:right w:val="nil"/>
            </w:tcBorders>
            <w:shd w:val="clear" w:color="auto" w:fill="auto"/>
            <w:noWrap/>
            <w:vAlign w:val="center"/>
            <w:hideMark/>
          </w:tcPr>
          <w:p w14:paraId="6650948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57.0</w:t>
            </w:r>
          </w:p>
        </w:tc>
        <w:tc>
          <w:tcPr>
            <w:tcW w:w="1350" w:type="dxa"/>
            <w:tcBorders>
              <w:top w:val="nil"/>
              <w:left w:val="nil"/>
              <w:bottom w:val="nil"/>
              <w:right w:val="nil"/>
            </w:tcBorders>
            <w:shd w:val="clear" w:color="auto" w:fill="auto"/>
            <w:noWrap/>
            <w:vAlign w:val="center"/>
            <w:hideMark/>
          </w:tcPr>
          <w:p w14:paraId="3C5E5C8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57.6</w:t>
            </w:r>
          </w:p>
        </w:tc>
      </w:tr>
      <w:tr w:rsidR="005B1961" w:rsidRPr="00A0334F" w14:paraId="4AA67F35" w14:textId="77777777" w:rsidTr="005B1961">
        <w:trPr>
          <w:trHeight w:val="276"/>
        </w:trPr>
        <w:tc>
          <w:tcPr>
            <w:tcW w:w="1188" w:type="dxa"/>
            <w:tcBorders>
              <w:top w:val="nil"/>
              <w:left w:val="nil"/>
              <w:bottom w:val="single" w:sz="4" w:space="0" w:color="auto"/>
              <w:right w:val="nil"/>
            </w:tcBorders>
            <w:shd w:val="clear" w:color="auto" w:fill="auto"/>
            <w:noWrap/>
            <w:vAlign w:val="bottom"/>
            <w:hideMark/>
          </w:tcPr>
          <w:p w14:paraId="6C730DD1"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single" w:sz="4" w:space="0" w:color="auto"/>
              <w:right w:val="nil"/>
            </w:tcBorders>
            <w:shd w:val="clear" w:color="auto" w:fill="auto"/>
            <w:noWrap/>
            <w:vAlign w:val="bottom"/>
            <w:hideMark/>
          </w:tcPr>
          <w:p w14:paraId="14E5F76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single" w:sz="4" w:space="0" w:color="auto"/>
              <w:right w:val="single" w:sz="4" w:space="0" w:color="auto"/>
            </w:tcBorders>
            <w:shd w:val="clear" w:color="auto" w:fill="auto"/>
            <w:noWrap/>
            <w:vAlign w:val="center"/>
            <w:hideMark/>
          </w:tcPr>
          <w:p w14:paraId="5551C4A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80</w:t>
            </w:r>
          </w:p>
        </w:tc>
        <w:tc>
          <w:tcPr>
            <w:tcW w:w="1350" w:type="dxa"/>
            <w:tcBorders>
              <w:top w:val="nil"/>
              <w:left w:val="single" w:sz="4" w:space="0" w:color="auto"/>
              <w:bottom w:val="single" w:sz="4" w:space="0" w:color="auto"/>
              <w:right w:val="nil"/>
            </w:tcBorders>
            <w:shd w:val="clear" w:color="auto" w:fill="auto"/>
            <w:noWrap/>
            <w:vAlign w:val="center"/>
            <w:hideMark/>
          </w:tcPr>
          <w:p w14:paraId="3CF2DD8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33.0</w:t>
            </w:r>
          </w:p>
        </w:tc>
        <w:tc>
          <w:tcPr>
            <w:tcW w:w="1260" w:type="dxa"/>
            <w:tcBorders>
              <w:top w:val="nil"/>
              <w:left w:val="nil"/>
              <w:bottom w:val="single" w:sz="4" w:space="0" w:color="auto"/>
              <w:right w:val="nil"/>
            </w:tcBorders>
            <w:shd w:val="clear" w:color="auto" w:fill="auto"/>
            <w:noWrap/>
            <w:vAlign w:val="center"/>
            <w:hideMark/>
          </w:tcPr>
          <w:p w14:paraId="4C29D5EB"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1.7</w:t>
            </w:r>
          </w:p>
        </w:tc>
        <w:tc>
          <w:tcPr>
            <w:tcW w:w="1170" w:type="dxa"/>
            <w:tcBorders>
              <w:top w:val="nil"/>
              <w:left w:val="nil"/>
              <w:bottom w:val="single" w:sz="4" w:space="0" w:color="auto"/>
              <w:right w:val="nil"/>
            </w:tcBorders>
            <w:shd w:val="clear" w:color="auto" w:fill="auto"/>
            <w:noWrap/>
            <w:vAlign w:val="center"/>
            <w:hideMark/>
          </w:tcPr>
          <w:p w14:paraId="7C00699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4.8</w:t>
            </w:r>
          </w:p>
        </w:tc>
        <w:tc>
          <w:tcPr>
            <w:tcW w:w="1350" w:type="dxa"/>
            <w:tcBorders>
              <w:top w:val="nil"/>
              <w:left w:val="nil"/>
              <w:bottom w:val="single" w:sz="4" w:space="0" w:color="auto"/>
              <w:right w:val="nil"/>
            </w:tcBorders>
            <w:shd w:val="clear" w:color="auto" w:fill="auto"/>
            <w:noWrap/>
            <w:vAlign w:val="center"/>
            <w:hideMark/>
          </w:tcPr>
          <w:p w14:paraId="36DFC22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53.2</w:t>
            </w:r>
          </w:p>
        </w:tc>
        <w:tc>
          <w:tcPr>
            <w:tcW w:w="1350" w:type="dxa"/>
            <w:tcBorders>
              <w:top w:val="nil"/>
              <w:left w:val="nil"/>
              <w:bottom w:val="single" w:sz="4" w:space="0" w:color="auto"/>
              <w:right w:val="nil"/>
            </w:tcBorders>
            <w:shd w:val="clear" w:color="auto" w:fill="auto"/>
            <w:noWrap/>
            <w:vAlign w:val="center"/>
            <w:hideMark/>
          </w:tcPr>
          <w:p w14:paraId="412885E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60.5</w:t>
            </w:r>
          </w:p>
        </w:tc>
      </w:tr>
      <w:tr w:rsidR="005B1961" w:rsidRPr="00A0334F" w14:paraId="0B10C53C" w14:textId="77777777" w:rsidTr="005B1961">
        <w:trPr>
          <w:trHeight w:val="276"/>
        </w:trPr>
        <w:tc>
          <w:tcPr>
            <w:tcW w:w="1188" w:type="dxa"/>
            <w:tcBorders>
              <w:top w:val="single" w:sz="4" w:space="0" w:color="auto"/>
              <w:left w:val="nil"/>
              <w:bottom w:val="nil"/>
              <w:right w:val="nil"/>
            </w:tcBorders>
            <w:shd w:val="clear" w:color="auto" w:fill="auto"/>
            <w:noWrap/>
            <w:vAlign w:val="bottom"/>
            <w:hideMark/>
          </w:tcPr>
          <w:p w14:paraId="706AF13D"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None</w:t>
            </w:r>
          </w:p>
        </w:tc>
        <w:tc>
          <w:tcPr>
            <w:tcW w:w="720" w:type="dxa"/>
            <w:tcBorders>
              <w:top w:val="single" w:sz="4" w:space="0" w:color="auto"/>
              <w:left w:val="nil"/>
              <w:bottom w:val="nil"/>
              <w:right w:val="nil"/>
            </w:tcBorders>
            <w:shd w:val="clear" w:color="auto" w:fill="auto"/>
            <w:noWrap/>
            <w:vAlign w:val="bottom"/>
            <w:hideMark/>
          </w:tcPr>
          <w:p w14:paraId="51B59AF5" w14:textId="77777777" w:rsidR="00004F71" w:rsidRPr="0092700B" w:rsidRDefault="00004F71" w:rsidP="0092700B">
            <w:pPr>
              <w:spacing w:line="240" w:lineRule="auto"/>
              <w:rPr>
                <w:rFonts w:eastAsia="Times New Roman" w:cstheme="minorHAnsi"/>
                <w:color w:val="000000"/>
                <w:sz w:val="20"/>
                <w:szCs w:val="24"/>
                <w:lang w:eastAsia="en-GB"/>
              </w:rPr>
            </w:pPr>
          </w:p>
        </w:tc>
        <w:tc>
          <w:tcPr>
            <w:tcW w:w="1080" w:type="dxa"/>
            <w:tcBorders>
              <w:top w:val="single" w:sz="4" w:space="0" w:color="auto"/>
              <w:left w:val="nil"/>
              <w:bottom w:val="nil"/>
              <w:right w:val="single" w:sz="4" w:space="0" w:color="auto"/>
            </w:tcBorders>
            <w:shd w:val="clear" w:color="auto" w:fill="auto"/>
            <w:noWrap/>
            <w:vAlign w:val="center"/>
            <w:hideMark/>
          </w:tcPr>
          <w:p w14:paraId="3F06952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100</w:t>
            </w:r>
          </w:p>
        </w:tc>
        <w:tc>
          <w:tcPr>
            <w:tcW w:w="1350" w:type="dxa"/>
            <w:tcBorders>
              <w:top w:val="single" w:sz="4" w:space="0" w:color="auto"/>
              <w:left w:val="single" w:sz="4" w:space="0" w:color="auto"/>
              <w:bottom w:val="nil"/>
              <w:right w:val="nil"/>
            </w:tcBorders>
            <w:shd w:val="clear" w:color="auto" w:fill="auto"/>
            <w:noWrap/>
            <w:vAlign w:val="center"/>
            <w:hideMark/>
          </w:tcPr>
          <w:p w14:paraId="7A93CA95"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24.8</w:t>
            </w:r>
          </w:p>
        </w:tc>
        <w:tc>
          <w:tcPr>
            <w:tcW w:w="1260" w:type="dxa"/>
            <w:tcBorders>
              <w:top w:val="single" w:sz="4" w:space="0" w:color="auto"/>
              <w:left w:val="nil"/>
              <w:bottom w:val="nil"/>
              <w:right w:val="nil"/>
            </w:tcBorders>
            <w:shd w:val="clear" w:color="auto" w:fill="auto"/>
            <w:noWrap/>
            <w:vAlign w:val="center"/>
            <w:hideMark/>
          </w:tcPr>
          <w:p w14:paraId="12CFADCB"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23.5</w:t>
            </w:r>
          </w:p>
        </w:tc>
        <w:tc>
          <w:tcPr>
            <w:tcW w:w="1170" w:type="dxa"/>
            <w:tcBorders>
              <w:top w:val="single" w:sz="4" w:space="0" w:color="auto"/>
              <w:left w:val="nil"/>
              <w:bottom w:val="nil"/>
              <w:right w:val="nil"/>
            </w:tcBorders>
            <w:shd w:val="clear" w:color="auto" w:fill="auto"/>
            <w:noWrap/>
            <w:vAlign w:val="center"/>
            <w:hideMark/>
          </w:tcPr>
          <w:p w14:paraId="444AFB5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22.7</w:t>
            </w:r>
          </w:p>
        </w:tc>
        <w:tc>
          <w:tcPr>
            <w:tcW w:w="1350" w:type="dxa"/>
            <w:tcBorders>
              <w:top w:val="single" w:sz="4" w:space="0" w:color="auto"/>
              <w:left w:val="nil"/>
              <w:bottom w:val="nil"/>
              <w:right w:val="nil"/>
            </w:tcBorders>
            <w:shd w:val="clear" w:color="auto" w:fill="auto"/>
            <w:noWrap/>
            <w:vAlign w:val="center"/>
            <w:hideMark/>
          </w:tcPr>
          <w:p w14:paraId="0B9A2EF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26.5</w:t>
            </w:r>
          </w:p>
        </w:tc>
        <w:tc>
          <w:tcPr>
            <w:tcW w:w="1350" w:type="dxa"/>
            <w:tcBorders>
              <w:top w:val="single" w:sz="4" w:space="0" w:color="auto"/>
              <w:left w:val="nil"/>
              <w:bottom w:val="nil"/>
              <w:right w:val="nil"/>
            </w:tcBorders>
            <w:shd w:val="clear" w:color="auto" w:fill="auto"/>
            <w:noWrap/>
            <w:vAlign w:val="center"/>
            <w:hideMark/>
          </w:tcPr>
          <w:p w14:paraId="3507E60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76.8</w:t>
            </w:r>
          </w:p>
        </w:tc>
      </w:tr>
      <w:tr w:rsidR="005B1961" w:rsidRPr="00A0334F" w14:paraId="19650D5E" w14:textId="77777777" w:rsidTr="005B1961">
        <w:trPr>
          <w:trHeight w:val="276"/>
        </w:trPr>
        <w:tc>
          <w:tcPr>
            <w:tcW w:w="1188" w:type="dxa"/>
            <w:tcBorders>
              <w:top w:val="nil"/>
              <w:left w:val="nil"/>
              <w:bottom w:val="nil"/>
              <w:right w:val="nil"/>
            </w:tcBorders>
            <w:shd w:val="clear" w:color="auto" w:fill="auto"/>
            <w:noWrap/>
            <w:vAlign w:val="bottom"/>
            <w:hideMark/>
          </w:tcPr>
          <w:p w14:paraId="1D6B39BC"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359297D8"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bottom w:val="nil"/>
              <w:right w:val="single" w:sz="4" w:space="0" w:color="auto"/>
            </w:tcBorders>
            <w:shd w:val="clear" w:color="auto" w:fill="auto"/>
            <w:noWrap/>
            <w:vAlign w:val="center"/>
            <w:hideMark/>
          </w:tcPr>
          <w:p w14:paraId="53D81C4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100</w:t>
            </w:r>
          </w:p>
        </w:tc>
        <w:tc>
          <w:tcPr>
            <w:tcW w:w="1350" w:type="dxa"/>
            <w:tcBorders>
              <w:top w:val="nil"/>
              <w:left w:val="single" w:sz="4" w:space="0" w:color="auto"/>
              <w:bottom w:val="nil"/>
              <w:right w:val="nil"/>
            </w:tcBorders>
            <w:shd w:val="clear" w:color="auto" w:fill="auto"/>
            <w:noWrap/>
            <w:vAlign w:val="center"/>
            <w:hideMark/>
          </w:tcPr>
          <w:p w14:paraId="24C27FDB"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55.8</w:t>
            </w:r>
          </w:p>
        </w:tc>
        <w:tc>
          <w:tcPr>
            <w:tcW w:w="1260" w:type="dxa"/>
            <w:tcBorders>
              <w:top w:val="nil"/>
              <w:left w:val="nil"/>
              <w:bottom w:val="nil"/>
              <w:right w:val="nil"/>
            </w:tcBorders>
            <w:shd w:val="clear" w:color="auto" w:fill="auto"/>
            <w:noWrap/>
            <w:vAlign w:val="center"/>
            <w:hideMark/>
          </w:tcPr>
          <w:p w14:paraId="54AFABC8"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6.1</w:t>
            </w:r>
          </w:p>
        </w:tc>
        <w:tc>
          <w:tcPr>
            <w:tcW w:w="1170" w:type="dxa"/>
            <w:tcBorders>
              <w:top w:val="nil"/>
              <w:left w:val="nil"/>
              <w:bottom w:val="nil"/>
              <w:right w:val="nil"/>
            </w:tcBorders>
            <w:shd w:val="clear" w:color="auto" w:fill="auto"/>
            <w:noWrap/>
            <w:vAlign w:val="center"/>
            <w:hideMark/>
          </w:tcPr>
          <w:p w14:paraId="725DEC79"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18.2</w:t>
            </w:r>
          </w:p>
        </w:tc>
        <w:tc>
          <w:tcPr>
            <w:tcW w:w="1350" w:type="dxa"/>
            <w:tcBorders>
              <w:top w:val="nil"/>
              <w:left w:val="nil"/>
              <w:bottom w:val="nil"/>
              <w:right w:val="nil"/>
            </w:tcBorders>
            <w:shd w:val="clear" w:color="auto" w:fill="auto"/>
            <w:noWrap/>
            <w:vAlign w:val="center"/>
            <w:hideMark/>
          </w:tcPr>
          <w:p w14:paraId="1845CF7A"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58.2</w:t>
            </w:r>
          </w:p>
        </w:tc>
        <w:tc>
          <w:tcPr>
            <w:tcW w:w="1350" w:type="dxa"/>
            <w:tcBorders>
              <w:top w:val="nil"/>
              <w:left w:val="nil"/>
              <w:bottom w:val="nil"/>
              <w:right w:val="nil"/>
            </w:tcBorders>
            <w:shd w:val="clear" w:color="auto" w:fill="auto"/>
            <w:noWrap/>
            <w:vAlign w:val="center"/>
            <w:hideMark/>
          </w:tcPr>
          <w:p w14:paraId="493535F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71.5</w:t>
            </w:r>
          </w:p>
        </w:tc>
      </w:tr>
      <w:tr w:rsidR="005B1961" w:rsidRPr="00A0334F" w14:paraId="328CD160" w14:textId="77777777" w:rsidTr="005B1961">
        <w:trPr>
          <w:trHeight w:val="276"/>
        </w:trPr>
        <w:tc>
          <w:tcPr>
            <w:tcW w:w="1188" w:type="dxa"/>
            <w:tcBorders>
              <w:top w:val="nil"/>
              <w:left w:val="nil"/>
              <w:bottom w:val="nil"/>
              <w:right w:val="nil"/>
            </w:tcBorders>
            <w:shd w:val="clear" w:color="auto" w:fill="auto"/>
            <w:noWrap/>
            <w:vAlign w:val="bottom"/>
            <w:hideMark/>
          </w:tcPr>
          <w:p w14:paraId="54BE9C8C"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Medium</w:t>
            </w:r>
          </w:p>
        </w:tc>
        <w:tc>
          <w:tcPr>
            <w:tcW w:w="720" w:type="dxa"/>
            <w:tcBorders>
              <w:top w:val="nil"/>
              <w:left w:val="nil"/>
              <w:bottom w:val="nil"/>
              <w:right w:val="nil"/>
            </w:tcBorders>
            <w:shd w:val="clear" w:color="auto" w:fill="auto"/>
            <w:noWrap/>
            <w:vAlign w:val="bottom"/>
            <w:hideMark/>
          </w:tcPr>
          <w:p w14:paraId="2F88990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nil"/>
              <w:right w:val="single" w:sz="4" w:space="0" w:color="auto"/>
            </w:tcBorders>
            <w:shd w:val="clear" w:color="auto" w:fill="auto"/>
            <w:noWrap/>
            <w:vAlign w:val="center"/>
            <w:hideMark/>
          </w:tcPr>
          <w:p w14:paraId="26645AA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100</w:t>
            </w:r>
          </w:p>
        </w:tc>
        <w:tc>
          <w:tcPr>
            <w:tcW w:w="1350" w:type="dxa"/>
            <w:tcBorders>
              <w:top w:val="nil"/>
              <w:left w:val="single" w:sz="4" w:space="0" w:color="auto"/>
              <w:bottom w:val="nil"/>
              <w:right w:val="nil"/>
            </w:tcBorders>
            <w:shd w:val="clear" w:color="auto" w:fill="auto"/>
            <w:noWrap/>
            <w:vAlign w:val="center"/>
            <w:hideMark/>
          </w:tcPr>
          <w:p w14:paraId="72F72EE1"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45.6</w:t>
            </w:r>
          </w:p>
        </w:tc>
        <w:tc>
          <w:tcPr>
            <w:tcW w:w="1260" w:type="dxa"/>
            <w:tcBorders>
              <w:top w:val="nil"/>
              <w:left w:val="nil"/>
              <w:bottom w:val="nil"/>
              <w:right w:val="nil"/>
            </w:tcBorders>
            <w:shd w:val="clear" w:color="auto" w:fill="auto"/>
            <w:noWrap/>
            <w:vAlign w:val="center"/>
            <w:hideMark/>
          </w:tcPr>
          <w:p w14:paraId="0FCE690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10.4</w:t>
            </w:r>
          </w:p>
        </w:tc>
        <w:tc>
          <w:tcPr>
            <w:tcW w:w="1170" w:type="dxa"/>
            <w:tcBorders>
              <w:top w:val="nil"/>
              <w:left w:val="nil"/>
              <w:bottom w:val="nil"/>
              <w:right w:val="nil"/>
            </w:tcBorders>
            <w:shd w:val="clear" w:color="auto" w:fill="auto"/>
            <w:noWrap/>
            <w:vAlign w:val="center"/>
            <w:hideMark/>
          </w:tcPr>
          <w:p w14:paraId="7C9ED0D4"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17.0</w:t>
            </w:r>
          </w:p>
        </w:tc>
        <w:tc>
          <w:tcPr>
            <w:tcW w:w="1350" w:type="dxa"/>
            <w:tcBorders>
              <w:top w:val="nil"/>
              <w:left w:val="nil"/>
              <w:bottom w:val="nil"/>
              <w:right w:val="nil"/>
            </w:tcBorders>
            <w:shd w:val="clear" w:color="auto" w:fill="auto"/>
            <w:noWrap/>
            <w:vAlign w:val="center"/>
            <w:hideMark/>
          </w:tcPr>
          <w:p w14:paraId="73BE5F2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47.8</w:t>
            </w:r>
          </w:p>
        </w:tc>
        <w:tc>
          <w:tcPr>
            <w:tcW w:w="1350" w:type="dxa"/>
            <w:tcBorders>
              <w:top w:val="nil"/>
              <w:left w:val="nil"/>
              <w:bottom w:val="nil"/>
              <w:right w:val="nil"/>
            </w:tcBorders>
            <w:shd w:val="clear" w:color="auto" w:fill="auto"/>
            <w:noWrap/>
            <w:vAlign w:val="center"/>
            <w:hideMark/>
          </w:tcPr>
          <w:p w14:paraId="695665D0"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76.6</w:t>
            </w:r>
          </w:p>
        </w:tc>
      </w:tr>
      <w:tr w:rsidR="005B1961" w:rsidRPr="00A0334F" w14:paraId="5DC42269" w14:textId="77777777" w:rsidTr="005B1961">
        <w:trPr>
          <w:trHeight w:val="276"/>
        </w:trPr>
        <w:tc>
          <w:tcPr>
            <w:tcW w:w="1188" w:type="dxa"/>
            <w:tcBorders>
              <w:top w:val="nil"/>
              <w:left w:val="nil"/>
              <w:right w:val="nil"/>
            </w:tcBorders>
            <w:shd w:val="clear" w:color="auto" w:fill="auto"/>
            <w:noWrap/>
            <w:vAlign w:val="bottom"/>
            <w:hideMark/>
          </w:tcPr>
          <w:p w14:paraId="5F493088"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right w:val="nil"/>
            </w:tcBorders>
            <w:shd w:val="clear" w:color="auto" w:fill="auto"/>
            <w:noWrap/>
            <w:vAlign w:val="bottom"/>
            <w:hideMark/>
          </w:tcPr>
          <w:p w14:paraId="15D7B76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one</w:t>
            </w:r>
          </w:p>
        </w:tc>
        <w:tc>
          <w:tcPr>
            <w:tcW w:w="1080" w:type="dxa"/>
            <w:tcBorders>
              <w:top w:val="nil"/>
              <w:left w:val="nil"/>
              <w:right w:val="single" w:sz="4" w:space="0" w:color="auto"/>
            </w:tcBorders>
            <w:shd w:val="clear" w:color="auto" w:fill="auto"/>
            <w:noWrap/>
            <w:vAlign w:val="center"/>
            <w:hideMark/>
          </w:tcPr>
          <w:p w14:paraId="0FA30C9C"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100</w:t>
            </w:r>
          </w:p>
        </w:tc>
        <w:tc>
          <w:tcPr>
            <w:tcW w:w="1350" w:type="dxa"/>
            <w:tcBorders>
              <w:top w:val="nil"/>
              <w:left w:val="single" w:sz="4" w:space="0" w:color="auto"/>
              <w:right w:val="nil"/>
            </w:tcBorders>
            <w:shd w:val="clear" w:color="auto" w:fill="auto"/>
            <w:noWrap/>
            <w:vAlign w:val="center"/>
            <w:hideMark/>
          </w:tcPr>
          <w:p w14:paraId="7D27869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73.2</w:t>
            </w:r>
          </w:p>
        </w:tc>
        <w:tc>
          <w:tcPr>
            <w:tcW w:w="1260" w:type="dxa"/>
            <w:tcBorders>
              <w:top w:val="nil"/>
              <w:left w:val="nil"/>
              <w:right w:val="nil"/>
            </w:tcBorders>
            <w:shd w:val="clear" w:color="auto" w:fill="auto"/>
            <w:noWrap/>
            <w:vAlign w:val="center"/>
            <w:hideMark/>
          </w:tcPr>
          <w:p w14:paraId="70648CA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0.5</w:t>
            </w:r>
          </w:p>
        </w:tc>
        <w:tc>
          <w:tcPr>
            <w:tcW w:w="1170" w:type="dxa"/>
            <w:tcBorders>
              <w:top w:val="nil"/>
              <w:left w:val="nil"/>
              <w:right w:val="nil"/>
            </w:tcBorders>
            <w:shd w:val="clear" w:color="auto" w:fill="auto"/>
            <w:noWrap/>
            <w:vAlign w:val="center"/>
            <w:hideMark/>
          </w:tcPr>
          <w:p w14:paraId="5C75C00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9.2</w:t>
            </w:r>
          </w:p>
        </w:tc>
        <w:tc>
          <w:tcPr>
            <w:tcW w:w="1350" w:type="dxa"/>
            <w:tcBorders>
              <w:top w:val="nil"/>
              <w:left w:val="nil"/>
              <w:right w:val="nil"/>
            </w:tcBorders>
            <w:shd w:val="clear" w:color="auto" w:fill="auto"/>
            <w:noWrap/>
            <w:vAlign w:val="center"/>
            <w:hideMark/>
          </w:tcPr>
          <w:p w14:paraId="2C55D8F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69.8</w:t>
            </w:r>
          </w:p>
        </w:tc>
        <w:tc>
          <w:tcPr>
            <w:tcW w:w="1350" w:type="dxa"/>
            <w:tcBorders>
              <w:top w:val="nil"/>
              <w:left w:val="nil"/>
              <w:right w:val="nil"/>
            </w:tcBorders>
            <w:shd w:val="clear" w:color="auto" w:fill="auto"/>
            <w:noWrap/>
            <w:vAlign w:val="center"/>
            <w:hideMark/>
          </w:tcPr>
          <w:p w14:paraId="74723E12"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70.4</w:t>
            </w:r>
          </w:p>
        </w:tc>
      </w:tr>
      <w:tr w:rsidR="005B1961" w:rsidRPr="00A0334F" w14:paraId="15EA7109" w14:textId="77777777" w:rsidTr="005B1961">
        <w:trPr>
          <w:trHeight w:val="276"/>
        </w:trPr>
        <w:tc>
          <w:tcPr>
            <w:tcW w:w="1188" w:type="dxa"/>
            <w:tcBorders>
              <w:top w:val="nil"/>
              <w:left w:val="nil"/>
              <w:bottom w:val="single" w:sz="4" w:space="0" w:color="auto"/>
              <w:right w:val="nil"/>
            </w:tcBorders>
            <w:shd w:val="clear" w:color="auto" w:fill="auto"/>
            <w:noWrap/>
            <w:vAlign w:val="bottom"/>
            <w:hideMark/>
          </w:tcPr>
          <w:p w14:paraId="4869094F" w14:textId="77777777" w:rsidR="00004F71" w:rsidRPr="0092700B" w:rsidRDefault="00004F71">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High</w:t>
            </w:r>
          </w:p>
        </w:tc>
        <w:tc>
          <w:tcPr>
            <w:tcW w:w="720" w:type="dxa"/>
            <w:tcBorders>
              <w:top w:val="nil"/>
              <w:left w:val="nil"/>
              <w:bottom w:val="single" w:sz="4" w:space="0" w:color="auto"/>
              <w:right w:val="nil"/>
            </w:tcBorders>
            <w:shd w:val="clear" w:color="auto" w:fill="auto"/>
            <w:noWrap/>
            <w:vAlign w:val="bottom"/>
            <w:hideMark/>
          </w:tcPr>
          <w:p w14:paraId="0096FC83"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two</w:t>
            </w:r>
          </w:p>
        </w:tc>
        <w:tc>
          <w:tcPr>
            <w:tcW w:w="1080" w:type="dxa"/>
            <w:tcBorders>
              <w:top w:val="nil"/>
              <w:left w:val="nil"/>
              <w:bottom w:val="single" w:sz="4" w:space="0" w:color="auto"/>
              <w:right w:val="single" w:sz="4" w:space="0" w:color="auto"/>
            </w:tcBorders>
            <w:shd w:val="clear" w:color="auto" w:fill="auto"/>
            <w:noWrap/>
            <w:vAlign w:val="center"/>
            <w:hideMark/>
          </w:tcPr>
          <w:p w14:paraId="3B61D4C7"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100</w:t>
            </w:r>
          </w:p>
        </w:tc>
        <w:tc>
          <w:tcPr>
            <w:tcW w:w="1350" w:type="dxa"/>
            <w:tcBorders>
              <w:top w:val="nil"/>
              <w:left w:val="single" w:sz="4" w:space="0" w:color="auto"/>
              <w:bottom w:val="single" w:sz="4" w:space="0" w:color="auto"/>
              <w:right w:val="nil"/>
            </w:tcBorders>
            <w:shd w:val="clear" w:color="auto" w:fill="auto"/>
            <w:noWrap/>
            <w:vAlign w:val="center"/>
            <w:hideMark/>
          </w:tcPr>
          <w:p w14:paraId="332CB00F"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69.4</w:t>
            </w:r>
          </w:p>
        </w:tc>
        <w:tc>
          <w:tcPr>
            <w:tcW w:w="1260" w:type="dxa"/>
            <w:tcBorders>
              <w:top w:val="nil"/>
              <w:left w:val="nil"/>
              <w:bottom w:val="single" w:sz="4" w:space="0" w:color="auto"/>
              <w:right w:val="nil"/>
            </w:tcBorders>
            <w:shd w:val="clear" w:color="auto" w:fill="auto"/>
            <w:noWrap/>
            <w:vAlign w:val="center"/>
            <w:hideMark/>
          </w:tcPr>
          <w:p w14:paraId="546B059E"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3.7</w:t>
            </w:r>
          </w:p>
        </w:tc>
        <w:tc>
          <w:tcPr>
            <w:tcW w:w="1170" w:type="dxa"/>
            <w:tcBorders>
              <w:top w:val="nil"/>
              <w:left w:val="nil"/>
              <w:bottom w:val="single" w:sz="4" w:space="0" w:color="auto"/>
              <w:right w:val="nil"/>
            </w:tcBorders>
            <w:shd w:val="clear" w:color="auto" w:fill="auto"/>
            <w:noWrap/>
            <w:vAlign w:val="center"/>
            <w:hideMark/>
          </w:tcPr>
          <w:p w14:paraId="28C353E5"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3.8</w:t>
            </w:r>
          </w:p>
        </w:tc>
        <w:tc>
          <w:tcPr>
            <w:tcW w:w="1350" w:type="dxa"/>
            <w:tcBorders>
              <w:top w:val="nil"/>
              <w:left w:val="nil"/>
              <w:bottom w:val="single" w:sz="4" w:space="0" w:color="auto"/>
              <w:right w:val="nil"/>
            </w:tcBorders>
            <w:shd w:val="clear" w:color="auto" w:fill="auto"/>
            <w:noWrap/>
            <w:vAlign w:val="center"/>
            <w:hideMark/>
          </w:tcPr>
          <w:p w14:paraId="68763555"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69.5</w:t>
            </w:r>
          </w:p>
        </w:tc>
        <w:tc>
          <w:tcPr>
            <w:tcW w:w="1350" w:type="dxa"/>
            <w:tcBorders>
              <w:top w:val="nil"/>
              <w:left w:val="nil"/>
              <w:bottom w:val="single" w:sz="4" w:space="0" w:color="auto"/>
              <w:right w:val="nil"/>
            </w:tcBorders>
            <w:shd w:val="clear" w:color="auto" w:fill="auto"/>
            <w:noWrap/>
            <w:vAlign w:val="center"/>
            <w:hideMark/>
          </w:tcPr>
          <w:p w14:paraId="19E8E01D" w14:textId="77777777" w:rsidR="00004F71" w:rsidRPr="0092700B" w:rsidRDefault="00004F71" w:rsidP="0092700B">
            <w:pPr>
              <w:spacing w:line="240" w:lineRule="auto"/>
              <w:rPr>
                <w:rFonts w:eastAsia="Times New Roman" w:cstheme="minorHAnsi"/>
                <w:color w:val="000000"/>
                <w:sz w:val="20"/>
                <w:szCs w:val="24"/>
                <w:lang w:eastAsia="en-GB"/>
              </w:rPr>
            </w:pPr>
            <w:r w:rsidRPr="0092700B">
              <w:rPr>
                <w:rFonts w:eastAsia="Times New Roman" w:cstheme="minorHAnsi"/>
                <w:color w:val="000000"/>
                <w:sz w:val="20"/>
                <w:szCs w:val="24"/>
                <w:lang w:eastAsia="en-GB"/>
              </w:rPr>
              <w:t>71.7</w:t>
            </w:r>
          </w:p>
        </w:tc>
      </w:tr>
    </w:tbl>
    <w:p w14:paraId="78B16A2E" w14:textId="2DA55DD0" w:rsidR="001C2622" w:rsidRPr="0092700B" w:rsidRDefault="001C2622" w:rsidP="00EC1D2A">
      <w:pPr>
        <w:rPr>
          <w:rFonts w:cstheme="minorHAnsi"/>
          <w:sz w:val="18"/>
        </w:rPr>
      </w:pPr>
    </w:p>
    <w:sectPr w:rsidR="001C2622" w:rsidRPr="0092700B">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1A315" w14:textId="77777777" w:rsidR="008B1EA5" w:rsidRDefault="008B1EA5" w:rsidP="00DC3831">
      <w:pPr>
        <w:spacing w:line="240" w:lineRule="auto"/>
      </w:pPr>
      <w:r>
        <w:separator/>
      </w:r>
    </w:p>
  </w:endnote>
  <w:endnote w:type="continuationSeparator" w:id="0">
    <w:p w14:paraId="0C8F048F" w14:textId="77777777" w:rsidR="008B1EA5" w:rsidRDefault="008B1EA5" w:rsidP="00DC38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555414"/>
      <w:docPartObj>
        <w:docPartGallery w:val="Page Numbers (Bottom of Page)"/>
        <w:docPartUnique/>
      </w:docPartObj>
    </w:sdtPr>
    <w:sdtEndPr>
      <w:rPr>
        <w:noProof/>
      </w:rPr>
    </w:sdtEndPr>
    <w:sdtContent>
      <w:p w14:paraId="2C67BE50" w14:textId="36452F74" w:rsidR="006B464C" w:rsidRDefault="006B464C">
        <w:pPr>
          <w:pStyle w:val="Footer"/>
          <w:jc w:val="right"/>
        </w:pPr>
        <w:r>
          <w:fldChar w:fldCharType="begin"/>
        </w:r>
        <w:r>
          <w:instrText xml:space="preserve"> PAGE   \* MERGEFORMAT </w:instrText>
        </w:r>
        <w:r>
          <w:fldChar w:fldCharType="separate"/>
        </w:r>
        <w:r w:rsidR="00CD2D15">
          <w:rPr>
            <w:noProof/>
          </w:rPr>
          <w:t>10</w:t>
        </w:r>
        <w:r>
          <w:rPr>
            <w:noProof/>
          </w:rPr>
          <w:fldChar w:fldCharType="end"/>
        </w:r>
      </w:p>
    </w:sdtContent>
  </w:sdt>
  <w:p w14:paraId="22FCCD9E" w14:textId="77777777" w:rsidR="006B464C" w:rsidRDefault="006B46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37CD8" w14:textId="77777777" w:rsidR="008B1EA5" w:rsidRDefault="008B1EA5" w:rsidP="00DC3831">
      <w:pPr>
        <w:spacing w:line="240" w:lineRule="auto"/>
      </w:pPr>
      <w:r>
        <w:separator/>
      </w:r>
    </w:p>
  </w:footnote>
  <w:footnote w:type="continuationSeparator" w:id="0">
    <w:p w14:paraId="384B3609" w14:textId="77777777" w:rsidR="008B1EA5" w:rsidRDefault="008B1EA5" w:rsidP="00DC3831">
      <w:pPr>
        <w:spacing w:line="240" w:lineRule="auto"/>
      </w:pPr>
      <w:r>
        <w:continuationSeparator/>
      </w:r>
    </w:p>
  </w:footnote>
  <w:footnote w:id="1">
    <w:p w14:paraId="79C60859" w14:textId="77777777" w:rsidR="006B464C" w:rsidRPr="00362D41" w:rsidRDefault="006B464C" w:rsidP="00E76919">
      <w:pPr>
        <w:pStyle w:val="FootnoteText"/>
        <w:rPr>
          <w:lang w:val="de-CH"/>
        </w:rPr>
      </w:pPr>
      <w:r w:rsidRPr="009F4367">
        <w:rPr>
          <w:rStyle w:val="FootnoteReference"/>
        </w:rPr>
        <w:footnoteRef/>
      </w:r>
      <w:r>
        <w:t xml:space="preserve"> </w:t>
      </w:r>
      <w:hyperlink r:id="rId1" w:history="1">
        <w:r>
          <w:rPr>
            <w:rStyle w:val="Hyperlink"/>
          </w:rPr>
          <w:t>https://github.com/SwissTPH/openmalaria/wiki/ScenarioTransmission</w:t>
        </w:r>
      </w:hyperlink>
    </w:p>
  </w:footnote>
  <w:footnote w:id="2">
    <w:p w14:paraId="15AFEA13" w14:textId="2999BFD2" w:rsidR="00535146" w:rsidRPr="00535146" w:rsidRDefault="00535146" w:rsidP="00535146">
      <w:pPr>
        <w:pStyle w:val="Bibliography"/>
        <w:rPr>
          <w:bCs/>
          <w:sz w:val="20"/>
          <w:szCs w:val="20"/>
        </w:rPr>
      </w:pPr>
      <w:r w:rsidRPr="009F4367">
        <w:rPr>
          <w:rStyle w:val="FootnoteReference"/>
        </w:rPr>
        <w:footnoteRef/>
      </w:r>
      <w:r>
        <w:t xml:space="preserve"> </w:t>
      </w:r>
      <w:r w:rsidRPr="00535146">
        <w:rPr>
          <w:rStyle w:val="FootnoteReference"/>
        </w:rPr>
        <w:fldChar w:fldCharType="begin"/>
      </w:r>
      <w:r w:rsidRPr="00535146">
        <w:rPr>
          <w:rStyle w:val="FootnoteReference"/>
        </w:rPr>
        <w:instrText xml:space="preserve"> ADDIN ZOTERO_BIBL {"uncited":[],"omitted":[],"custom":[]} CSL_BIBLIOGRAPHY </w:instrText>
      </w:r>
      <w:r w:rsidRPr="00535146">
        <w:rPr>
          <w:rStyle w:val="FootnoteReference"/>
        </w:rPr>
        <w:fldChar w:fldCharType="separate"/>
      </w:r>
      <w:r w:rsidRPr="00535146">
        <w:rPr>
          <w:rStyle w:val="FootnoteReference"/>
        </w:rPr>
        <w:t xml:space="preserve"> </w:t>
      </w:r>
      <w:r w:rsidRPr="00535146">
        <w:rPr>
          <w:bCs/>
          <w:sz w:val="20"/>
          <w:szCs w:val="20"/>
        </w:rPr>
        <w:t>Service MW. Medical entomology for students. 5th ed. Cambridge: Cambridge University Press; 2012.</w:t>
      </w:r>
    </w:p>
    <w:p w14:paraId="0B47DE0A" w14:textId="18B39ECA" w:rsidR="00535146" w:rsidRPr="00535146" w:rsidRDefault="00535146" w:rsidP="00535146">
      <w:pPr>
        <w:pStyle w:val="FootnoteText"/>
        <w:rPr>
          <w:lang w:val="en-US"/>
        </w:rPr>
      </w:pPr>
      <w:r w:rsidRPr="00535146">
        <w:rPr>
          <w:rStyle w:val="FootnoteReference"/>
          <w:sz w:val="22"/>
          <w:szCs w:val="22"/>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YzNzMwNDO2NDU0NrBQ0lEKTi0uzszPAykwMq0FAJmvLz8tAAAA"/>
  </w:docVars>
  <w:rsids>
    <w:rsidRoot w:val="00367BE7"/>
    <w:rsid w:val="000020F4"/>
    <w:rsid w:val="00004F71"/>
    <w:rsid w:val="000116B0"/>
    <w:rsid w:val="00013A9E"/>
    <w:rsid w:val="000205CB"/>
    <w:rsid w:val="000209FD"/>
    <w:rsid w:val="0002175C"/>
    <w:rsid w:val="00023625"/>
    <w:rsid w:val="000336C5"/>
    <w:rsid w:val="00035064"/>
    <w:rsid w:val="000454D6"/>
    <w:rsid w:val="0004705E"/>
    <w:rsid w:val="00056919"/>
    <w:rsid w:val="00062794"/>
    <w:rsid w:val="0006345A"/>
    <w:rsid w:val="00075CBA"/>
    <w:rsid w:val="00082119"/>
    <w:rsid w:val="00082D56"/>
    <w:rsid w:val="0008781C"/>
    <w:rsid w:val="00091B60"/>
    <w:rsid w:val="00094A31"/>
    <w:rsid w:val="00095A0E"/>
    <w:rsid w:val="00096815"/>
    <w:rsid w:val="000A7A58"/>
    <w:rsid w:val="000C3DAC"/>
    <w:rsid w:val="000C7306"/>
    <w:rsid w:val="000D2D54"/>
    <w:rsid w:val="000D7092"/>
    <w:rsid w:val="000E36B8"/>
    <w:rsid w:val="000E4544"/>
    <w:rsid w:val="000F39E2"/>
    <w:rsid w:val="000F4AF9"/>
    <w:rsid w:val="000F4D79"/>
    <w:rsid w:val="000F5A3B"/>
    <w:rsid w:val="001071F7"/>
    <w:rsid w:val="00107772"/>
    <w:rsid w:val="00111ACF"/>
    <w:rsid w:val="00113188"/>
    <w:rsid w:val="00117F1A"/>
    <w:rsid w:val="0012378B"/>
    <w:rsid w:val="00125B23"/>
    <w:rsid w:val="00131CEC"/>
    <w:rsid w:val="00134D17"/>
    <w:rsid w:val="001405DE"/>
    <w:rsid w:val="00140C8D"/>
    <w:rsid w:val="00142580"/>
    <w:rsid w:val="0014728D"/>
    <w:rsid w:val="00154D03"/>
    <w:rsid w:val="00163F51"/>
    <w:rsid w:val="00164921"/>
    <w:rsid w:val="001714BD"/>
    <w:rsid w:val="001727AD"/>
    <w:rsid w:val="001B6E57"/>
    <w:rsid w:val="001B7542"/>
    <w:rsid w:val="001C162B"/>
    <w:rsid w:val="001C2622"/>
    <w:rsid w:val="001D2405"/>
    <w:rsid w:val="001D24D6"/>
    <w:rsid w:val="001E0044"/>
    <w:rsid w:val="00203E5C"/>
    <w:rsid w:val="00205A7B"/>
    <w:rsid w:val="00205E13"/>
    <w:rsid w:val="002060C2"/>
    <w:rsid w:val="00211D0C"/>
    <w:rsid w:val="00211FB8"/>
    <w:rsid w:val="002141E9"/>
    <w:rsid w:val="002171CA"/>
    <w:rsid w:val="002210FD"/>
    <w:rsid w:val="00222CD2"/>
    <w:rsid w:val="00223D7A"/>
    <w:rsid w:val="002352DE"/>
    <w:rsid w:val="0023584D"/>
    <w:rsid w:val="002452EB"/>
    <w:rsid w:val="00246285"/>
    <w:rsid w:val="00254866"/>
    <w:rsid w:val="00254CA9"/>
    <w:rsid w:val="00264733"/>
    <w:rsid w:val="00265D7F"/>
    <w:rsid w:val="002674D5"/>
    <w:rsid w:val="00270CD7"/>
    <w:rsid w:val="002821B2"/>
    <w:rsid w:val="00284650"/>
    <w:rsid w:val="0029659A"/>
    <w:rsid w:val="002A04B3"/>
    <w:rsid w:val="002A7C91"/>
    <w:rsid w:val="002B1D9D"/>
    <w:rsid w:val="002B5CF3"/>
    <w:rsid w:val="002C290B"/>
    <w:rsid w:val="002C70FE"/>
    <w:rsid w:val="002D051C"/>
    <w:rsid w:val="002E0C04"/>
    <w:rsid w:val="002E0C6D"/>
    <w:rsid w:val="002E1B59"/>
    <w:rsid w:val="002E477D"/>
    <w:rsid w:val="002F009D"/>
    <w:rsid w:val="002F09FB"/>
    <w:rsid w:val="002F40D3"/>
    <w:rsid w:val="00301301"/>
    <w:rsid w:val="00306B78"/>
    <w:rsid w:val="00311224"/>
    <w:rsid w:val="00312A33"/>
    <w:rsid w:val="003133F8"/>
    <w:rsid w:val="00313EAB"/>
    <w:rsid w:val="0033050D"/>
    <w:rsid w:val="00331FBB"/>
    <w:rsid w:val="003345F3"/>
    <w:rsid w:val="00362210"/>
    <w:rsid w:val="00362D41"/>
    <w:rsid w:val="00364876"/>
    <w:rsid w:val="00364E4F"/>
    <w:rsid w:val="00367269"/>
    <w:rsid w:val="00367BE7"/>
    <w:rsid w:val="00370222"/>
    <w:rsid w:val="0037537B"/>
    <w:rsid w:val="0038174B"/>
    <w:rsid w:val="0039491E"/>
    <w:rsid w:val="003959A1"/>
    <w:rsid w:val="003A0A96"/>
    <w:rsid w:val="003A3CC1"/>
    <w:rsid w:val="003A45F3"/>
    <w:rsid w:val="003B093B"/>
    <w:rsid w:val="003B57D1"/>
    <w:rsid w:val="003B5AD4"/>
    <w:rsid w:val="003B754D"/>
    <w:rsid w:val="003C1C73"/>
    <w:rsid w:val="003C25C4"/>
    <w:rsid w:val="003E5CB7"/>
    <w:rsid w:val="003E719E"/>
    <w:rsid w:val="003F6D0D"/>
    <w:rsid w:val="004033DF"/>
    <w:rsid w:val="00423BDA"/>
    <w:rsid w:val="00424E19"/>
    <w:rsid w:val="00424FC0"/>
    <w:rsid w:val="00425065"/>
    <w:rsid w:val="00432B5D"/>
    <w:rsid w:val="00433D12"/>
    <w:rsid w:val="00437C62"/>
    <w:rsid w:val="00443990"/>
    <w:rsid w:val="00454834"/>
    <w:rsid w:val="00457020"/>
    <w:rsid w:val="00466C6F"/>
    <w:rsid w:val="00472104"/>
    <w:rsid w:val="004764CA"/>
    <w:rsid w:val="0047768E"/>
    <w:rsid w:val="004812E8"/>
    <w:rsid w:val="00481B85"/>
    <w:rsid w:val="00484017"/>
    <w:rsid w:val="00491434"/>
    <w:rsid w:val="004A23D0"/>
    <w:rsid w:val="004A5CF9"/>
    <w:rsid w:val="004A7349"/>
    <w:rsid w:val="004B1E5C"/>
    <w:rsid w:val="004C0E60"/>
    <w:rsid w:val="004D341C"/>
    <w:rsid w:val="004D4185"/>
    <w:rsid w:val="004E477E"/>
    <w:rsid w:val="004F23EB"/>
    <w:rsid w:val="0050352A"/>
    <w:rsid w:val="00505B8C"/>
    <w:rsid w:val="00507230"/>
    <w:rsid w:val="00514ACE"/>
    <w:rsid w:val="00516C57"/>
    <w:rsid w:val="00516E14"/>
    <w:rsid w:val="00527D3D"/>
    <w:rsid w:val="00527E95"/>
    <w:rsid w:val="00533FDB"/>
    <w:rsid w:val="00535146"/>
    <w:rsid w:val="0054625D"/>
    <w:rsid w:val="00560E8B"/>
    <w:rsid w:val="005612C4"/>
    <w:rsid w:val="00561894"/>
    <w:rsid w:val="00576E23"/>
    <w:rsid w:val="005900F5"/>
    <w:rsid w:val="00592213"/>
    <w:rsid w:val="005967FA"/>
    <w:rsid w:val="005977E9"/>
    <w:rsid w:val="005A0B19"/>
    <w:rsid w:val="005B1961"/>
    <w:rsid w:val="005C162D"/>
    <w:rsid w:val="005C4497"/>
    <w:rsid w:val="005D27FE"/>
    <w:rsid w:val="005D4B0A"/>
    <w:rsid w:val="005F251C"/>
    <w:rsid w:val="005F5537"/>
    <w:rsid w:val="00612653"/>
    <w:rsid w:val="00616528"/>
    <w:rsid w:val="00632B06"/>
    <w:rsid w:val="00636E68"/>
    <w:rsid w:val="00640AE3"/>
    <w:rsid w:val="0064341A"/>
    <w:rsid w:val="00644A4D"/>
    <w:rsid w:val="00645BAC"/>
    <w:rsid w:val="0065461B"/>
    <w:rsid w:val="006632AA"/>
    <w:rsid w:val="00666990"/>
    <w:rsid w:val="00667770"/>
    <w:rsid w:val="00670316"/>
    <w:rsid w:val="00674F68"/>
    <w:rsid w:val="00675146"/>
    <w:rsid w:val="006752E5"/>
    <w:rsid w:val="006817DB"/>
    <w:rsid w:val="00681B89"/>
    <w:rsid w:val="00686AD0"/>
    <w:rsid w:val="006A20B1"/>
    <w:rsid w:val="006A6E8D"/>
    <w:rsid w:val="006B1D04"/>
    <w:rsid w:val="006B464C"/>
    <w:rsid w:val="006B4F97"/>
    <w:rsid w:val="006C0224"/>
    <w:rsid w:val="006C6879"/>
    <w:rsid w:val="006C6DC4"/>
    <w:rsid w:val="006C7AE8"/>
    <w:rsid w:val="006D01CC"/>
    <w:rsid w:val="006D30D1"/>
    <w:rsid w:val="006D6BA9"/>
    <w:rsid w:val="006D6C39"/>
    <w:rsid w:val="006F1C22"/>
    <w:rsid w:val="00702D70"/>
    <w:rsid w:val="00704CEE"/>
    <w:rsid w:val="00706543"/>
    <w:rsid w:val="0071219F"/>
    <w:rsid w:val="00721962"/>
    <w:rsid w:val="00723093"/>
    <w:rsid w:val="0073012B"/>
    <w:rsid w:val="00730B58"/>
    <w:rsid w:val="00732F8B"/>
    <w:rsid w:val="0073302F"/>
    <w:rsid w:val="00733A92"/>
    <w:rsid w:val="00746DC9"/>
    <w:rsid w:val="00755249"/>
    <w:rsid w:val="00755677"/>
    <w:rsid w:val="007561EF"/>
    <w:rsid w:val="0076373F"/>
    <w:rsid w:val="00784812"/>
    <w:rsid w:val="00786283"/>
    <w:rsid w:val="00795F4E"/>
    <w:rsid w:val="007A2B9B"/>
    <w:rsid w:val="007B5BD9"/>
    <w:rsid w:val="007C3515"/>
    <w:rsid w:val="007C72B2"/>
    <w:rsid w:val="007D7CFB"/>
    <w:rsid w:val="007E63BB"/>
    <w:rsid w:val="007E6DA7"/>
    <w:rsid w:val="007F046C"/>
    <w:rsid w:val="007F7C9E"/>
    <w:rsid w:val="00800B7C"/>
    <w:rsid w:val="00810B64"/>
    <w:rsid w:val="008160FC"/>
    <w:rsid w:val="00820ACF"/>
    <w:rsid w:val="008266C5"/>
    <w:rsid w:val="008355F0"/>
    <w:rsid w:val="0084070A"/>
    <w:rsid w:val="00841C5C"/>
    <w:rsid w:val="00843CA7"/>
    <w:rsid w:val="008505E4"/>
    <w:rsid w:val="00854B82"/>
    <w:rsid w:val="00863B4F"/>
    <w:rsid w:val="008709E2"/>
    <w:rsid w:val="00871D52"/>
    <w:rsid w:val="00873FC4"/>
    <w:rsid w:val="00876DB0"/>
    <w:rsid w:val="0088609A"/>
    <w:rsid w:val="008A01B2"/>
    <w:rsid w:val="008A2AE4"/>
    <w:rsid w:val="008A4DA0"/>
    <w:rsid w:val="008A5237"/>
    <w:rsid w:val="008A7103"/>
    <w:rsid w:val="008B1EA5"/>
    <w:rsid w:val="008C025E"/>
    <w:rsid w:val="008C1479"/>
    <w:rsid w:val="008D5308"/>
    <w:rsid w:val="008E3B50"/>
    <w:rsid w:val="00901AA0"/>
    <w:rsid w:val="009127C3"/>
    <w:rsid w:val="00921932"/>
    <w:rsid w:val="00924D8B"/>
    <w:rsid w:val="00924F04"/>
    <w:rsid w:val="009257C9"/>
    <w:rsid w:val="0092700B"/>
    <w:rsid w:val="00931D99"/>
    <w:rsid w:val="00934B93"/>
    <w:rsid w:val="0093707B"/>
    <w:rsid w:val="00937CA2"/>
    <w:rsid w:val="0095388A"/>
    <w:rsid w:val="009602C1"/>
    <w:rsid w:val="009626D5"/>
    <w:rsid w:val="00964845"/>
    <w:rsid w:val="00966251"/>
    <w:rsid w:val="00987CC6"/>
    <w:rsid w:val="00991E04"/>
    <w:rsid w:val="00992077"/>
    <w:rsid w:val="00994ADF"/>
    <w:rsid w:val="00995D4E"/>
    <w:rsid w:val="00997E85"/>
    <w:rsid w:val="009A08FC"/>
    <w:rsid w:val="009A6A4A"/>
    <w:rsid w:val="009B0D0A"/>
    <w:rsid w:val="009B798A"/>
    <w:rsid w:val="009C026E"/>
    <w:rsid w:val="009C24AA"/>
    <w:rsid w:val="009C32AA"/>
    <w:rsid w:val="009E475E"/>
    <w:rsid w:val="009F0503"/>
    <w:rsid w:val="009F4367"/>
    <w:rsid w:val="009F4D73"/>
    <w:rsid w:val="00A0334F"/>
    <w:rsid w:val="00A066E6"/>
    <w:rsid w:val="00A131AB"/>
    <w:rsid w:val="00A16860"/>
    <w:rsid w:val="00A20111"/>
    <w:rsid w:val="00A22AD5"/>
    <w:rsid w:val="00A2446B"/>
    <w:rsid w:val="00A26989"/>
    <w:rsid w:val="00A30480"/>
    <w:rsid w:val="00A309FD"/>
    <w:rsid w:val="00A31656"/>
    <w:rsid w:val="00A33301"/>
    <w:rsid w:val="00A34B0A"/>
    <w:rsid w:val="00A54064"/>
    <w:rsid w:val="00A64E17"/>
    <w:rsid w:val="00A658F0"/>
    <w:rsid w:val="00A71CBE"/>
    <w:rsid w:val="00A72539"/>
    <w:rsid w:val="00A73768"/>
    <w:rsid w:val="00A75F86"/>
    <w:rsid w:val="00A7745D"/>
    <w:rsid w:val="00A90FBE"/>
    <w:rsid w:val="00A93CFE"/>
    <w:rsid w:val="00AA2D2F"/>
    <w:rsid w:val="00AA42F3"/>
    <w:rsid w:val="00AB5D97"/>
    <w:rsid w:val="00AC0A7D"/>
    <w:rsid w:val="00AC7829"/>
    <w:rsid w:val="00AC7880"/>
    <w:rsid w:val="00AD0F11"/>
    <w:rsid w:val="00AD6C91"/>
    <w:rsid w:val="00AF0A44"/>
    <w:rsid w:val="00AF5A39"/>
    <w:rsid w:val="00B03EBC"/>
    <w:rsid w:val="00B21C64"/>
    <w:rsid w:val="00B25670"/>
    <w:rsid w:val="00B40962"/>
    <w:rsid w:val="00B518B0"/>
    <w:rsid w:val="00B52F22"/>
    <w:rsid w:val="00B57374"/>
    <w:rsid w:val="00B637C7"/>
    <w:rsid w:val="00B66E6F"/>
    <w:rsid w:val="00B75E7E"/>
    <w:rsid w:val="00B77AA3"/>
    <w:rsid w:val="00B83E48"/>
    <w:rsid w:val="00B8612A"/>
    <w:rsid w:val="00B92AAA"/>
    <w:rsid w:val="00BA7040"/>
    <w:rsid w:val="00BB1B66"/>
    <w:rsid w:val="00BB4643"/>
    <w:rsid w:val="00BB6714"/>
    <w:rsid w:val="00BC497F"/>
    <w:rsid w:val="00BD0B47"/>
    <w:rsid w:val="00BD76DA"/>
    <w:rsid w:val="00BE50E3"/>
    <w:rsid w:val="00BF2054"/>
    <w:rsid w:val="00BF4164"/>
    <w:rsid w:val="00C04CAF"/>
    <w:rsid w:val="00C27136"/>
    <w:rsid w:val="00C41187"/>
    <w:rsid w:val="00C50015"/>
    <w:rsid w:val="00C52CB3"/>
    <w:rsid w:val="00C613DE"/>
    <w:rsid w:val="00C6446F"/>
    <w:rsid w:val="00C66091"/>
    <w:rsid w:val="00C718F5"/>
    <w:rsid w:val="00C77B3F"/>
    <w:rsid w:val="00C816EB"/>
    <w:rsid w:val="00C8358F"/>
    <w:rsid w:val="00C83A81"/>
    <w:rsid w:val="00C83EBE"/>
    <w:rsid w:val="00C86062"/>
    <w:rsid w:val="00C94A14"/>
    <w:rsid w:val="00CA67A6"/>
    <w:rsid w:val="00CA7A10"/>
    <w:rsid w:val="00CB2638"/>
    <w:rsid w:val="00CB63DC"/>
    <w:rsid w:val="00CC233C"/>
    <w:rsid w:val="00CC493A"/>
    <w:rsid w:val="00CD2D15"/>
    <w:rsid w:val="00CE130B"/>
    <w:rsid w:val="00CE4F20"/>
    <w:rsid w:val="00CF3B88"/>
    <w:rsid w:val="00D01057"/>
    <w:rsid w:val="00D124B4"/>
    <w:rsid w:val="00D13694"/>
    <w:rsid w:val="00D165C3"/>
    <w:rsid w:val="00D25E2D"/>
    <w:rsid w:val="00D31E85"/>
    <w:rsid w:val="00D3309E"/>
    <w:rsid w:val="00D41B50"/>
    <w:rsid w:val="00D50AFE"/>
    <w:rsid w:val="00D513E7"/>
    <w:rsid w:val="00D54859"/>
    <w:rsid w:val="00D57505"/>
    <w:rsid w:val="00D60CC8"/>
    <w:rsid w:val="00D83EF7"/>
    <w:rsid w:val="00D85C51"/>
    <w:rsid w:val="00D97637"/>
    <w:rsid w:val="00DA5B5D"/>
    <w:rsid w:val="00DB19A8"/>
    <w:rsid w:val="00DB4576"/>
    <w:rsid w:val="00DC3831"/>
    <w:rsid w:val="00DC6127"/>
    <w:rsid w:val="00DD050B"/>
    <w:rsid w:val="00DD6721"/>
    <w:rsid w:val="00DE091D"/>
    <w:rsid w:val="00DE26DC"/>
    <w:rsid w:val="00DE5003"/>
    <w:rsid w:val="00DF6D32"/>
    <w:rsid w:val="00E05B1C"/>
    <w:rsid w:val="00E12C14"/>
    <w:rsid w:val="00E140A6"/>
    <w:rsid w:val="00E1741C"/>
    <w:rsid w:val="00E222E1"/>
    <w:rsid w:val="00E41223"/>
    <w:rsid w:val="00E44848"/>
    <w:rsid w:val="00E451A5"/>
    <w:rsid w:val="00E52B5A"/>
    <w:rsid w:val="00E54F4F"/>
    <w:rsid w:val="00E6017F"/>
    <w:rsid w:val="00E65465"/>
    <w:rsid w:val="00E70EAA"/>
    <w:rsid w:val="00E754C7"/>
    <w:rsid w:val="00E76919"/>
    <w:rsid w:val="00E77046"/>
    <w:rsid w:val="00E831B1"/>
    <w:rsid w:val="00EA2695"/>
    <w:rsid w:val="00EA4CEA"/>
    <w:rsid w:val="00EB2A51"/>
    <w:rsid w:val="00EB3272"/>
    <w:rsid w:val="00EC1D2A"/>
    <w:rsid w:val="00ED301B"/>
    <w:rsid w:val="00ED5FBC"/>
    <w:rsid w:val="00EE4F81"/>
    <w:rsid w:val="00EE6ACF"/>
    <w:rsid w:val="00EE6DAE"/>
    <w:rsid w:val="00EF462E"/>
    <w:rsid w:val="00EF4DD0"/>
    <w:rsid w:val="00EF6B5E"/>
    <w:rsid w:val="00F02573"/>
    <w:rsid w:val="00F02F11"/>
    <w:rsid w:val="00F3268D"/>
    <w:rsid w:val="00F36FFC"/>
    <w:rsid w:val="00F514CE"/>
    <w:rsid w:val="00F530BA"/>
    <w:rsid w:val="00F61A1A"/>
    <w:rsid w:val="00F71322"/>
    <w:rsid w:val="00F72B66"/>
    <w:rsid w:val="00F75BB9"/>
    <w:rsid w:val="00F830A1"/>
    <w:rsid w:val="00F90ED6"/>
    <w:rsid w:val="00F9308D"/>
    <w:rsid w:val="00F956BB"/>
    <w:rsid w:val="00F97B5E"/>
    <w:rsid w:val="00F97DF3"/>
    <w:rsid w:val="00FA4077"/>
    <w:rsid w:val="00FA721E"/>
    <w:rsid w:val="00FB3BC3"/>
    <w:rsid w:val="00FB4231"/>
    <w:rsid w:val="00FC7BF0"/>
    <w:rsid w:val="00FD4403"/>
    <w:rsid w:val="00FE3132"/>
    <w:rsid w:val="00FE6ECD"/>
    <w:rsid w:val="00FF1773"/>
    <w:rsid w:val="00FF5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2B4B"/>
  <w15:docId w15:val="{68362A19-41D7-4F81-81C9-5457D83B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322"/>
    <w:pPr>
      <w:spacing w:after="0"/>
    </w:pPr>
  </w:style>
  <w:style w:type="paragraph" w:styleId="Heading1">
    <w:name w:val="heading 1"/>
    <w:basedOn w:val="Normal"/>
    <w:next w:val="Normal"/>
    <w:link w:val="Heading1Char"/>
    <w:uiPriority w:val="9"/>
    <w:qFormat/>
    <w:rsid w:val="008A5237"/>
    <w:pPr>
      <w:keepNext/>
      <w:keepLines/>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82D56"/>
    <w:pPr>
      <w:keepNext/>
      <w:keepLines/>
      <w:outlineLvl w:val="1"/>
    </w:pPr>
    <w:rPr>
      <w:rFonts w:eastAsiaTheme="majorEastAsia" w:cstheme="majorBidi"/>
      <w:b/>
      <w:bCs/>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71322"/>
    <w:pPr>
      <w:keepNext/>
      <w:spacing w:line="360" w:lineRule="auto"/>
    </w:pPr>
    <w:rPr>
      <w:b/>
      <w:bCs/>
      <w:sz w:val="18"/>
      <w:szCs w:val="18"/>
    </w:rPr>
  </w:style>
  <w:style w:type="character" w:styleId="CommentReference">
    <w:name w:val="annotation reference"/>
    <w:basedOn w:val="DefaultParagraphFont"/>
    <w:uiPriority w:val="99"/>
    <w:semiHidden/>
    <w:unhideWhenUsed/>
    <w:rsid w:val="00F71322"/>
    <w:rPr>
      <w:sz w:val="16"/>
      <w:szCs w:val="16"/>
    </w:rPr>
  </w:style>
  <w:style w:type="paragraph" w:styleId="CommentText">
    <w:name w:val="annotation text"/>
    <w:basedOn w:val="Normal"/>
    <w:link w:val="CommentTextChar"/>
    <w:uiPriority w:val="99"/>
    <w:unhideWhenUsed/>
    <w:rsid w:val="00F71322"/>
    <w:pPr>
      <w:spacing w:line="240" w:lineRule="auto"/>
    </w:pPr>
    <w:rPr>
      <w:sz w:val="20"/>
      <w:szCs w:val="20"/>
    </w:rPr>
  </w:style>
  <w:style w:type="character" w:customStyle="1" w:styleId="CommentTextChar">
    <w:name w:val="Comment Text Char"/>
    <w:basedOn w:val="DefaultParagraphFont"/>
    <w:link w:val="CommentText"/>
    <w:uiPriority w:val="99"/>
    <w:rsid w:val="00F71322"/>
    <w:rPr>
      <w:sz w:val="20"/>
      <w:szCs w:val="20"/>
    </w:rPr>
  </w:style>
  <w:style w:type="paragraph" w:styleId="BalloonText">
    <w:name w:val="Balloon Text"/>
    <w:basedOn w:val="Normal"/>
    <w:link w:val="BalloonTextChar"/>
    <w:uiPriority w:val="99"/>
    <w:semiHidden/>
    <w:unhideWhenUsed/>
    <w:rsid w:val="00F713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322"/>
    <w:rPr>
      <w:rFonts w:ascii="Tahoma" w:hAnsi="Tahoma" w:cs="Tahoma"/>
      <w:sz w:val="16"/>
      <w:szCs w:val="16"/>
    </w:rPr>
  </w:style>
  <w:style w:type="paragraph" w:styleId="Bibliography">
    <w:name w:val="Bibliography"/>
    <w:basedOn w:val="Normal"/>
    <w:next w:val="Normal"/>
    <w:uiPriority w:val="37"/>
    <w:unhideWhenUsed/>
    <w:rsid w:val="00704CEE"/>
    <w:pPr>
      <w:spacing w:after="240" w:line="240" w:lineRule="auto"/>
    </w:pPr>
  </w:style>
  <w:style w:type="character" w:customStyle="1" w:styleId="Heading1Char">
    <w:name w:val="Heading 1 Char"/>
    <w:basedOn w:val="DefaultParagraphFont"/>
    <w:link w:val="Heading1"/>
    <w:uiPriority w:val="9"/>
    <w:rsid w:val="008A5237"/>
    <w:rPr>
      <w:rFonts w:eastAsiaTheme="majorEastAsia" w:cstheme="majorBidi"/>
      <w:b/>
      <w:bCs/>
      <w:sz w:val="28"/>
      <w:szCs w:val="28"/>
    </w:rPr>
  </w:style>
  <w:style w:type="paragraph" w:styleId="Header">
    <w:name w:val="header"/>
    <w:basedOn w:val="Normal"/>
    <w:link w:val="HeaderChar"/>
    <w:uiPriority w:val="99"/>
    <w:unhideWhenUsed/>
    <w:rsid w:val="00DC3831"/>
    <w:pPr>
      <w:tabs>
        <w:tab w:val="center" w:pos="4513"/>
        <w:tab w:val="right" w:pos="9026"/>
      </w:tabs>
      <w:spacing w:line="240" w:lineRule="auto"/>
    </w:pPr>
  </w:style>
  <w:style w:type="character" w:customStyle="1" w:styleId="HeaderChar">
    <w:name w:val="Header Char"/>
    <w:basedOn w:val="DefaultParagraphFont"/>
    <w:link w:val="Header"/>
    <w:uiPriority w:val="99"/>
    <w:rsid w:val="00DC3831"/>
  </w:style>
  <w:style w:type="paragraph" w:styleId="Footer">
    <w:name w:val="footer"/>
    <w:basedOn w:val="Normal"/>
    <w:link w:val="FooterChar"/>
    <w:uiPriority w:val="99"/>
    <w:unhideWhenUsed/>
    <w:rsid w:val="00DC3831"/>
    <w:pPr>
      <w:tabs>
        <w:tab w:val="center" w:pos="4513"/>
        <w:tab w:val="right" w:pos="9026"/>
      </w:tabs>
      <w:spacing w:line="240" w:lineRule="auto"/>
    </w:pPr>
  </w:style>
  <w:style w:type="character" w:customStyle="1" w:styleId="FooterChar">
    <w:name w:val="Footer Char"/>
    <w:basedOn w:val="DefaultParagraphFont"/>
    <w:link w:val="Footer"/>
    <w:uiPriority w:val="99"/>
    <w:rsid w:val="00DC3831"/>
  </w:style>
  <w:style w:type="character" w:customStyle="1" w:styleId="Heading2Char">
    <w:name w:val="Heading 2 Char"/>
    <w:basedOn w:val="DefaultParagraphFont"/>
    <w:link w:val="Heading2"/>
    <w:uiPriority w:val="9"/>
    <w:rsid w:val="00082D56"/>
    <w:rPr>
      <w:rFonts w:eastAsiaTheme="majorEastAsia" w:cstheme="majorBidi"/>
      <w:b/>
      <w:bCs/>
      <w:sz w:val="18"/>
      <w:szCs w:val="26"/>
    </w:rPr>
  </w:style>
  <w:style w:type="paragraph" w:styleId="CommentSubject">
    <w:name w:val="annotation subject"/>
    <w:basedOn w:val="CommentText"/>
    <w:next w:val="CommentText"/>
    <w:link w:val="CommentSubjectChar"/>
    <w:uiPriority w:val="99"/>
    <w:semiHidden/>
    <w:unhideWhenUsed/>
    <w:rsid w:val="00111ACF"/>
    <w:rPr>
      <w:b/>
      <w:bCs/>
    </w:rPr>
  </w:style>
  <w:style w:type="character" w:customStyle="1" w:styleId="CommentSubjectChar">
    <w:name w:val="Comment Subject Char"/>
    <w:basedOn w:val="CommentTextChar"/>
    <w:link w:val="CommentSubject"/>
    <w:uiPriority w:val="99"/>
    <w:semiHidden/>
    <w:rsid w:val="00111ACF"/>
    <w:rPr>
      <w:b/>
      <w:bCs/>
      <w:sz w:val="20"/>
      <w:szCs w:val="20"/>
    </w:rPr>
  </w:style>
  <w:style w:type="paragraph" w:styleId="TableofFigures">
    <w:name w:val="table of figures"/>
    <w:basedOn w:val="Normal"/>
    <w:next w:val="Normal"/>
    <w:uiPriority w:val="99"/>
    <w:unhideWhenUsed/>
    <w:rsid w:val="00DC6127"/>
  </w:style>
  <w:style w:type="character" w:styleId="Hyperlink">
    <w:name w:val="Hyperlink"/>
    <w:basedOn w:val="DefaultParagraphFont"/>
    <w:uiPriority w:val="99"/>
    <w:unhideWhenUsed/>
    <w:rsid w:val="00DC6127"/>
    <w:rPr>
      <w:color w:val="0000FF" w:themeColor="hyperlink"/>
      <w:u w:val="single"/>
    </w:rPr>
  </w:style>
  <w:style w:type="paragraph" w:styleId="TOCHeading">
    <w:name w:val="TOC Heading"/>
    <w:basedOn w:val="Heading1"/>
    <w:next w:val="Normal"/>
    <w:uiPriority w:val="39"/>
    <w:semiHidden/>
    <w:unhideWhenUsed/>
    <w:qFormat/>
    <w:rsid w:val="0071219F"/>
    <w:pPr>
      <w:spacing w:before="480"/>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92700B"/>
    <w:pPr>
      <w:tabs>
        <w:tab w:val="right" w:leader="dot" w:pos="9062"/>
      </w:tabs>
      <w:spacing w:after="100"/>
    </w:pPr>
    <w:rPr>
      <w:b/>
      <w:noProof/>
    </w:rPr>
  </w:style>
  <w:style w:type="paragraph" w:styleId="TOC2">
    <w:name w:val="toc 2"/>
    <w:basedOn w:val="Normal"/>
    <w:next w:val="Normal"/>
    <w:autoRedefine/>
    <w:uiPriority w:val="39"/>
    <w:unhideWhenUsed/>
    <w:rsid w:val="00C04CAF"/>
    <w:pPr>
      <w:tabs>
        <w:tab w:val="right" w:leader="dot" w:pos="9062"/>
      </w:tabs>
      <w:spacing w:after="100"/>
      <w:ind w:left="220"/>
    </w:pPr>
  </w:style>
  <w:style w:type="table" w:styleId="TableGrid">
    <w:name w:val="Table Grid"/>
    <w:basedOn w:val="TableNormal"/>
    <w:uiPriority w:val="59"/>
    <w:rsid w:val="00267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845"/>
    <w:pPr>
      <w:ind w:left="720"/>
      <w:contextualSpacing/>
    </w:pPr>
  </w:style>
  <w:style w:type="paragraph" w:styleId="NormalWeb">
    <w:name w:val="Normal (Web)"/>
    <w:basedOn w:val="Normal"/>
    <w:uiPriority w:val="99"/>
    <w:semiHidden/>
    <w:unhideWhenUsed/>
    <w:rsid w:val="004F23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F23EB"/>
    <w:rPr>
      <w:b/>
      <w:bCs/>
    </w:rPr>
  </w:style>
  <w:style w:type="character" w:styleId="Emphasis">
    <w:name w:val="Emphasis"/>
    <w:basedOn w:val="DefaultParagraphFont"/>
    <w:uiPriority w:val="20"/>
    <w:qFormat/>
    <w:rsid w:val="004F23EB"/>
    <w:rPr>
      <w:i/>
      <w:iCs/>
    </w:rPr>
  </w:style>
  <w:style w:type="paragraph" w:styleId="FootnoteText">
    <w:name w:val="footnote text"/>
    <w:basedOn w:val="Normal"/>
    <w:link w:val="FootnoteTextChar"/>
    <w:uiPriority w:val="99"/>
    <w:semiHidden/>
    <w:unhideWhenUsed/>
    <w:rsid w:val="00362D41"/>
    <w:pPr>
      <w:spacing w:line="240" w:lineRule="auto"/>
    </w:pPr>
    <w:rPr>
      <w:sz w:val="20"/>
      <w:szCs w:val="20"/>
    </w:rPr>
  </w:style>
  <w:style w:type="character" w:customStyle="1" w:styleId="FootnoteTextChar">
    <w:name w:val="Footnote Text Char"/>
    <w:basedOn w:val="DefaultParagraphFont"/>
    <w:link w:val="FootnoteText"/>
    <w:uiPriority w:val="99"/>
    <w:semiHidden/>
    <w:rsid w:val="00362D41"/>
    <w:rPr>
      <w:sz w:val="20"/>
      <w:szCs w:val="20"/>
    </w:rPr>
  </w:style>
  <w:style w:type="character" w:styleId="FootnoteReference">
    <w:name w:val="footnote reference"/>
    <w:basedOn w:val="DefaultParagraphFont"/>
    <w:uiPriority w:val="99"/>
    <w:semiHidden/>
    <w:unhideWhenUsed/>
    <w:rsid w:val="00362D41"/>
    <w:rPr>
      <w:vertAlign w:val="superscript"/>
    </w:rPr>
  </w:style>
  <w:style w:type="character" w:styleId="EndnoteReference">
    <w:name w:val="endnote reference"/>
    <w:basedOn w:val="DefaultParagraphFont"/>
    <w:uiPriority w:val="99"/>
    <w:semiHidden/>
    <w:unhideWhenUsed/>
    <w:rsid w:val="009F4367"/>
    <w:rPr>
      <w:vertAlign w:val="superscript"/>
    </w:rPr>
  </w:style>
  <w:style w:type="paragraph" w:styleId="Revision">
    <w:name w:val="Revision"/>
    <w:hidden/>
    <w:uiPriority w:val="99"/>
    <w:semiHidden/>
    <w:rsid w:val="009270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60543">
      <w:bodyDiv w:val="1"/>
      <w:marLeft w:val="0"/>
      <w:marRight w:val="0"/>
      <w:marTop w:val="0"/>
      <w:marBottom w:val="0"/>
      <w:divBdr>
        <w:top w:val="none" w:sz="0" w:space="0" w:color="auto"/>
        <w:left w:val="none" w:sz="0" w:space="0" w:color="auto"/>
        <w:bottom w:val="none" w:sz="0" w:space="0" w:color="auto"/>
        <w:right w:val="none" w:sz="0" w:space="0" w:color="auto"/>
      </w:divBdr>
    </w:div>
    <w:div w:id="1638221543">
      <w:bodyDiv w:val="1"/>
      <w:marLeft w:val="0"/>
      <w:marRight w:val="0"/>
      <w:marTop w:val="0"/>
      <w:marBottom w:val="0"/>
      <w:divBdr>
        <w:top w:val="none" w:sz="0" w:space="0" w:color="auto"/>
        <w:left w:val="none" w:sz="0" w:space="0" w:color="auto"/>
        <w:bottom w:val="none" w:sz="0" w:space="0" w:color="auto"/>
        <w:right w:val="none" w:sz="0" w:space="0" w:color="auto"/>
      </w:divBdr>
    </w:div>
    <w:div w:id="200358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github.com/SwissTPH/openmalaria/wiki/ScenarioTrans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39201-B345-4B1A-B9B5-4A08390A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2082</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13929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Runge</dc:creator>
  <cp:lastModifiedBy>Aarthi K.</cp:lastModifiedBy>
  <cp:revision>4</cp:revision>
  <cp:lastPrinted>2019-09-17T13:31:00Z</cp:lastPrinted>
  <dcterms:created xsi:type="dcterms:W3CDTF">2021-05-18T06:53:00Z</dcterms:created>
  <dcterms:modified xsi:type="dcterms:W3CDTF">2021-07-19T16:10:00Z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id="eRKNWhre"/&gt;&lt;style id="http://www.zotero.org/styles/malaria-journal"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