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EBB28D" w14:textId="22B67561" w:rsidR="003A6C24" w:rsidRPr="0033496F" w:rsidRDefault="00A33D7C" w:rsidP="003A6C24">
      <w:pPr>
        <w:pStyle w:val="Heading1"/>
        <w:rPr>
          <w:lang w:val="en-GB"/>
        </w:rPr>
      </w:pPr>
      <w:r>
        <w:rPr>
          <w:lang w:val="en-GB"/>
        </w:rPr>
        <w:t>Additional file 2. Country-specific context.</w:t>
      </w:r>
    </w:p>
    <w:p w14:paraId="1B2D7FC0" w14:textId="77777777" w:rsidR="003A6C24" w:rsidRPr="0033496F" w:rsidRDefault="003A6C24" w:rsidP="003A6C24">
      <w:pPr>
        <w:pStyle w:val="Heading2"/>
      </w:pPr>
      <w:r w:rsidRPr="0033496F">
        <w:t>Burkina Faso</w:t>
      </w:r>
    </w:p>
    <w:p w14:paraId="3B8AA8E4" w14:textId="77777777" w:rsidR="003A6C24" w:rsidRPr="0033496F" w:rsidRDefault="003A6C24" w:rsidP="003A6C24">
      <w:pPr>
        <w:pStyle w:val="Heading3"/>
      </w:pPr>
      <w:r w:rsidRPr="00C75530">
        <w:t xml:space="preserve">General </w:t>
      </w:r>
      <w:r w:rsidRPr="00CB112D">
        <w:t>b</w:t>
      </w:r>
      <w:r w:rsidRPr="00C75530">
        <w:t>ackground</w:t>
      </w:r>
    </w:p>
    <w:p w14:paraId="517DF8E3" w14:textId="60D28484" w:rsidR="003A6C24" w:rsidRDefault="003A6C24" w:rsidP="003A6C24">
      <w:pPr>
        <w:rPr>
          <w:rFonts w:cs="Times New Roman"/>
          <w:lang w:val="en-GB"/>
        </w:rPr>
      </w:pPr>
      <w:r w:rsidRPr="008E2D62">
        <w:rPr>
          <w:rFonts w:cs="Times New Roman"/>
          <w:lang w:val="en-GB"/>
        </w:rPr>
        <w:t>Burkina Faso is a 274,200 km</w:t>
      </w:r>
      <w:r w:rsidRPr="008E2D62">
        <w:rPr>
          <w:rFonts w:cs="Times New Roman"/>
          <w:vertAlign w:val="superscript"/>
          <w:lang w:val="en-GB"/>
        </w:rPr>
        <w:t>2</w:t>
      </w:r>
      <w:r w:rsidRPr="008E2D62">
        <w:rPr>
          <w:rFonts w:cs="Times New Roman"/>
          <w:lang w:val="en-GB"/>
        </w:rPr>
        <w:t xml:space="preserve"> West African Sahelian landlocked country located at a transitional zone between the arid Sahara in the north and the </w:t>
      </w:r>
      <w:proofErr w:type="spellStart"/>
      <w:r w:rsidRPr="008E2D62">
        <w:rPr>
          <w:rFonts w:cs="Times New Roman"/>
          <w:lang w:val="en-GB"/>
        </w:rPr>
        <w:t>Sudanian</w:t>
      </w:r>
      <w:proofErr w:type="spellEnd"/>
      <w:r w:rsidRPr="008E2D62">
        <w:rPr>
          <w:rFonts w:cs="Times New Roman"/>
          <w:lang w:val="en-GB"/>
        </w:rPr>
        <w:t xml:space="preserve"> zone in the south</w:t>
      </w:r>
      <w:r>
        <w:rPr>
          <w:rFonts w:cs="Times New Roman"/>
          <w:lang w:val="en-GB"/>
        </w:rPr>
        <w:t xml:space="preserve"> [6</w:t>
      </w:r>
      <w:r w:rsidR="00D50158">
        <w:rPr>
          <w:rFonts w:cs="Times New Roman"/>
          <w:lang w:val="en-GB"/>
        </w:rPr>
        <w:t>2</w:t>
      </w:r>
      <w:r>
        <w:rPr>
          <w:rFonts w:cs="Times New Roman"/>
          <w:lang w:val="en-GB"/>
        </w:rPr>
        <w:t>]</w:t>
      </w:r>
      <w:r w:rsidRPr="008E2D62">
        <w:rPr>
          <w:rFonts w:cs="Times New Roman"/>
          <w:lang w:val="en-GB"/>
        </w:rPr>
        <w:t xml:space="preserve">. The start, duration, and total number of rainy days is therefore highly variable in space and time and defines three ecoclimatic zones: Sahelian zone in the north, </w:t>
      </w:r>
      <w:proofErr w:type="spellStart"/>
      <w:r w:rsidRPr="008E2D62">
        <w:rPr>
          <w:rFonts w:cs="Times New Roman"/>
          <w:lang w:val="en-GB"/>
        </w:rPr>
        <w:t>Sudanian</w:t>
      </w:r>
      <w:proofErr w:type="spellEnd"/>
      <w:r w:rsidRPr="008E2D62">
        <w:rPr>
          <w:rFonts w:cs="Times New Roman"/>
          <w:lang w:val="en-GB"/>
        </w:rPr>
        <w:t xml:space="preserve"> zone in the south, and Sudano-Sahelian zone in between, with a total annual rainfall and average annual temperature of less than 600 mm/29°C, 900–1,200 mm/28°C, and 600–900 mm/27°C, respectively</w:t>
      </w:r>
      <w:r>
        <w:rPr>
          <w:rFonts w:cs="Times New Roman"/>
          <w:lang w:val="en-GB"/>
        </w:rPr>
        <w:t xml:space="preserve"> [6</w:t>
      </w:r>
      <w:r w:rsidR="00D50158">
        <w:rPr>
          <w:rFonts w:cs="Times New Roman"/>
          <w:lang w:val="en-GB"/>
        </w:rPr>
        <w:t>3</w:t>
      </w:r>
      <w:r>
        <w:rPr>
          <w:rFonts w:cs="Times New Roman"/>
          <w:lang w:val="en-GB"/>
        </w:rPr>
        <w:t>]</w:t>
      </w:r>
      <w:r w:rsidRPr="008E2D62">
        <w:rPr>
          <w:rFonts w:cs="Times New Roman"/>
          <w:lang w:val="en-GB"/>
        </w:rPr>
        <w:t>. Nearly 80% of the country’s population work in the agriculture sector and around 70% reside in rural areas</w:t>
      </w:r>
      <w:r>
        <w:rPr>
          <w:rFonts w:cs="Times New Roman"/>
          <w:lang w:val="en-GB"/>
        </w:rPr>
        <w:t xml:space="preserve"> [6</w:t>
      </w:r>
      <w:r w:rsidR="00D50158">
        <w:rPr>
          <w:rFonts w:cs="Times New Roman"/>
          <w:lang w:val="en-GB"/>
        </w:rPr>
        <w:t>2</w:t>
      </w:r>
      <w:r>
        <w:rPr>
          <w:rFonts w:cs="Times New Roman"/>
          <w:lang w:val="en-GB"/>
        </w:rPr>
        <w:t>]</w:t>
      </w:r>
      <w:r w:rsidRPr="008E2D62">
        <w:rPr>
          <w:rFonts w:cs="Times New Roman"/>
          <w:lang w:val="en-GB"/>
        </w:rPr>
        <w:t>.</w:t>
      </w:r>
    </w:p>
    <w:p w14:paraId="68C1EFEF" w14:textId="77777777" w:rsidR="003A6C24" w:rsidRPr="00B91FB6" w:rsidRDefault="003A6C24" w:rsidP="003A6C24">
      <w:pPr>
        <w:rPr>
          <w:rFonts w:cs="Times New Roman"/>
          <w:lang w:val="en-GB"/>
        </w:rPr>
      </w:pPr>
    </w:p>
    <w:p w14:paraId="731E8AFF" w14:textId="77777777" w:rsidR="003A6C24" w:rsidRPr="0033496F" w:rsidRDefault="003A6C24" w:rsidP="003A6C24">
      <w:pPr>
        <w:pStyle w:val="Heading3"/>
      </w:pPr>
      <w:r w:rsidRPr="0033496F">
        <w:t>Local malaria control context</w:t>
      </w:r>
    </w:p>
    <w:p w14:paraId="75C75D68" w14:textId="4C18E308" w:rsidR="003A6C24" w:rsidRDefault="003A6C24" w:rsidP="003A6C24">
      <w:pPr>
        <w:rPr>
          <w:rFonts w:cs="Times New Roman"/>
          <w:lang w:val="en-GB"/>
        </w:rPr>
      </w:pPr>
      <w:r w:rsidRPr="00611627">
        <w:rPr>
          <w:rFonts w:cs="Times New Roman"/>
        </w:rPr>
        <w:t>Malaria occurs throughout the year in Burkina Faso,</w:t>
      </w:r>
      <w:r w:rsidRPr="00B91FB6">
        <w:rPr>
          <w:rFonts w:cs="Times New Roman"/>
          <w:lang w:val="en-GB"/>
        </w:rPr>
        <w:t xml:space="preserve"> with a peak </w:t>
      </w:r>
      <w:r w:rsidRPr="00CB112D">
        <w:rPr>
          <w:rFonts w:cs="Times New Roman"/>
          <w:lang w:val="en-GB"/>
        </w:rPr>
        <w:t xml:space="preserve">during the rains between </w:t>
      </w:r>
      <w:r w:rsidRPr="006D6A86">
        <w:rPr>
          <w:rFonts w:cs="Times New Roman"/>
          <w:lang w:val="en-GB"/>
        </w:rPr>
        <w:t xml:space="preserve">June and October. The 2014 Malaria Indicator Survey estimated malaria prevalence at 45.7% </w:t>
      </w:r>
      <w:r w:rsidRPr="006D6A86">
        <w:rPr>
          <w:rFonts w:eastAsia="Times New Roman" w:cs="Times New Roman"/>
          <w:color w:val="000000"/>
        </w:rPr>
        <w:t>[6</w:t>
      </w:r>
      <w:r w:rsidR="00D96C24">
        <w:rPr>
          <w:rFonts w:eastAsia="Times New Roman" w:cs="Times New Roman"/>
          <w:color w:val="000000"/>
        </w:rPr>
        <w:t>4</w:t>
      </w:r>
      <w:r w:rsidRPr="006D6A86">
        <w:rPr>
          <w:rFonts w:eastAsia="Times New Roman" w:cs="Times New Roman"/>
          <w:color w:val="000000"/>
        </w:rPr>
        <w:t>]</w:t>
      </w:r>
      <w:r w:rsidRPr="006D6A86">
        <w:rPr>
          <w:rFonts w:cs="Times New Roman"/>
          <w:lang w:val="en-GB"/>
        </w:rPr>
        <w:t xml:space="preserve">. Several control interventions have been scaled up in a relatively short time in Burkina Faso. The use of artemisinin-based combination therapies, namely artesunate-amodiaquine and artemether-lumefantrine, for uncomplicated malaria was adopted in 2005, and these therapies became available at health facilities in 2007 </w:t>
      </w:r>
      <w:r w:rsidRPr="006D6A86">
        <w:rPr>
          <w:rFonts w:eastAsia="Times New Roman" w:cs="Times New Roman"/>
          <w:color w:val="000000"/>
        </w:rPr>
        <w:t>[6</w:t>
      </w:r>
      <w:r w:rsidR="00D96C24">
        <w:rPr>
          <w:rFonts w:eastAsia="Times New Roman" w:cs="Times New Roman"/>
          <w:color w:val="000000"/>
        </w:rPr>
        <w:t>5</w:t>
      </w:r>
      <w:r w:rsidRPr="006D6A86">
        <w:rPr>
          <w:rFonts w:eastAsia="Times New Roman" w:cs="Times New Roman"/>
          <w:color w:val="000000"/>
        </w:rPr>
        <w:t>]</w:t>
      </w:r>
      <w:r w:rsidRPr="006D6A86">
        <w:rPr>
          <w:rFonts w:cs="Times New Roman"/>
          <w:lang w:val="en-GB"/>
        </w:rPr>
        <w:t xml:space="preserve">. Artesunate for severe malaria was adopted in 2012 and made available in 2014 in severe malaria treatment kits at health facilities </w:t>
      </w:r>
      <w:r w:rsidRPr="006D6A86">
        <w:rPr>
          <w:rFonts w:eastAsia="Times New Roman" w:cs="Times New Roman"/>
          <w:color w:val="000000"/>
        </w:rPr>
        <w:t>[21, 6</w:t>
      </w:r>
      <w:r w:rsidR="003D5A9E">
        <w:rPr>
          <w:rFonts w:eastAsia="Times New Roman" w:cs="Times New Roman"/>
          <w:color w:val="000000"/>
        </w:rPr>
        <w:t>6</w:t>
      </w:r>
      <w:r w:rsidRPr="006D6A86">
        <w:rPr>
          <w:rFonts w:eastAsia="Times New Roman" w:cs="Times New Roman"/>
          <w:color w:val="000000"/>
        </w:rPr>
        <w:t>]</w:t>
      </w:r>
      <w:r w:rsidRPr="006D6A86">
        <w:rPr>
          <w:rFonts w:cs="Times New Roman"/>
          <w:lang w:val="en-GB"/>
        </w:rPr>
        <w:t xml:space="preserve">. Malaria home management by community health workers was pilot tested in 2008 and rolled out countrywide in 2010 </w:t>
      </w:r>
      <w:r w:rsidRPr="006D6A86">
        <w:rPr>
          <w:rFonts w:eastAsia="Times New Roman" w:cs="Times New Roman"/>
          <w:color w:val="000000"/>
        </w:rPr>
        <w:t>[6</w:t>
      </w:r>
      <w:r w:rsidR="003D5A9E">
        <w:rPr>
          <w:rFonts w:eastAsia="Times New Roman" w:cs="Times New Roman"/>
          <w:color w:val="000000"/>
        </w:rPr>
        <w:t>7</w:t>
      </w:r>
      <w:r w:rsidRPr="006D6A86">
        <w:rPr>
          <w:rFonts w:eastAsia="Times New Roman" w:cs="Times New Roman"/>
          <w:color w:val="000000"/>
        </w:rPr>
        <w:t>]</w:t>
      </w:r>
      <w:r w:rsidRPr="006D6A86">
        <w:rPr>
          <w:rFonts w:cs="Times New Roman"/>
          <w:lang w:val="en-GB"/>
        </w:rPr>
        <w:t xml:space="preserve">. From 2010 to 2013, indoor residual spraying (IRS) was implemented in one health district, Diébougou, and the intervention was halted in 2013. IRS implementation resumed in </w:t>
      </w:r>
      <w:r w:rsidRPr="006D6A86">
        <w:rPr>
          <w:rFonts w:cs="Times New Roman"/>
          <w:lang w:val="en-GB"/>
        </w:rPr>
        <w:lastRenderedPageBreak/>
        <w:t xml:space="preserve">2017 in three districts: </w:t>
      </w:r>
      <w:proofErr w:type="spellStart"/>
      <w:r w:rsidRPr="006D6A86">
        <w:rPr>
          <w:rFonts w:cs="Times New Roman"/>
          <w:lang w:val="en-GB"/>
        </w:rPr>
        <w:t>Kampti</w:t>
      </w:r>
      <w:proofErr w:type="spellEnd"/>
      <w:r w:rsidRPr="006D6A86">
        <w:rPr>
          <w:rFonts w:cs="Times New Roman"/>
          <w:lang w:val="en-GB"/>
        </w:rPr>
        <w:t xml:space="preserve">, </w:t>
      </w:r>
      <w:proofErr w:type="spellStart"/>
      <w:r w:rsidRPr="006D6A86">
        <w:rPr>
          <w:rFonts w:cs="Times New Roman"/>
          <w:lang w:val="en-GB"/>
        </w:rPr>
        <w:t>Koungoussi</w:t>
      </w:r>
      <w:proofErr w:type="spellEnd"/>
      <w:r w:rsidRPr="006D6A86">
        <w:rPr>
          <w:rFonts w:cs="Times New Roman"/>
          <w:lang w:val="en-GB"/>
        </w:rPr>
        <w:t xml:space="preserve">, and </w:t>
      </w:r>
      <w:proofErr w:type="spellStart"/>
      <w:r w:rsidRPr="006D6A86">
        <w:rPr>
          <w:rFonts w:cs="Times New Roman"/>
          <w:lang w:val="en-GB"/>
        </w:rPr>
        <w:t>Solenzo</w:t>
      </w:r>
      <w:proofErr w:type="spellEnd"/>
      <w:r w:rsidRPr="006D6A86">
        <w:rPr>
          <w:rFonts w:cs="Times New Roman"/>
          <w:lang w:val="en-GB"/>
        </w:rPr>
        <w:t xml:space="preserve"> </w:t>
      </w:r>
      <w:r w:rsidRPr="006D6A86">
        <w:rPr>
          <w:rFonts w:eastAsia="Times New Roman" w:cs="Times New Roman"/>
          <w:color w:val="000000"/>
        </w:rPr>
        <w:t>[</w:t>
      </w:r>
      <w:r w:rsidR="002B118A">
        <w:rPr>
          <w:rFonts w:eastAsia="Times New Roman" w:cs="Times New Roman"/>
          <w:color w:val="000000"/>
        </w:rPr>
        <w:t>68</w:t>
      </w:r>
      <w:r w:rsidRPr="006D6A86">
        <w:rPr>
          <w:rFonts w:eastAsia="Times New Roman" w:cs="Times New Roman"/>
          <w:color w:val="000000"/>
        </w:rPr>
        <w:t>]</w:t>
      </w:r>
      <w:r w:rsidRPr="006D6A86">
        <w:rPr>
          <w:rFonts w:cs="Times New Roman"/>
          <w:lang w:val="en-GB"/>
        </w:rPr>
        <w:t xml:space="preserve">. Countrywide, insecticide-treated </w:t>
      </w:r>
      <w:proofErr w:type="spellStart"/>
      <w:r w:rsidRPr="006D6A86">
        <w:rPr>
          <w:rFonts w:cs="Times New Roman"/>
          <w:lang w:val="en-GB"/>
        </w:rPr>
        <w:t>bednet</w:t>
      </w:r>
      <w:proofErr w:type="spellEnd"/>
      <w:r w:rsidRPr="006D6A86">
        <w:rPr>
          <w:rFonts w:cs="Times New Roman"/>
          <w:lang w:val="en-GB"/>
        </w:rPr>
        <w:t xml:space="preserve"> (ITN) mass distribution campaigns were conducted in 2010, 2013, and 2016, with administrative coverage rates of 95.6%, 96%, and 97.41%, respectively </w:t>
      </w:r>
      <w:r w:rsidRPr="006D6A86">
        <w:rPr>
          <w:rFonts w:eastAsia="Times New Roman" w:cs="Times New Roman"/>
          <w:color w:val="000000"/>
        </w:rPr>
        <w:t>[</w:t>
      </w:r>
      <w:r w:rsidR="002B118A">
        <w:rPr>
          <w:rFonts w:eastAsia="Times New Roman" w:cs="Times New Roman"/>
          <w:color w:val="000000"/>
        </w:rPr>
        <w:t>69</w:t>
      </w:r>
      <w:r w:rsidRPr="006D6A86">
        <w:rPr>
          <w:rFonts w:eastAsia="Times New Roman" w:cs="Times New Roman"/>
          <w:color w:val="000000"/>
        </w:rPr>
        <w:t xml:space="preserve">, </w:t>
      </w:r>
      <w:r w:rsidR="00C2513C">
        <w:rPr>
          <w:rFonts w:eastAsia="Times New Roman" w:cs="Times New Roman"/>
          <w:color w:val="000000"/>
        </w:rPr>
        <w:t>70</w:t>
      </w:r>
      <w:r w:rsidRPr="006D6A86">
        <w:rPr>
          <w:rFonts w:eastAsia="Times New Roman" w:cs="Times New Roman"/>
          <w:color w:val="000000"/>
        </w:rPr>
        <w:t>]</w:t>
      </w:r>
      <w:r w:rsidRPr="006D6A86">
        <w:rPr>
          <w:rFonts w:cs="Times New Roman"/>
          <w:lang w:val="en-GB"/>
        </w:rPr>
        <w:t xml:space="preserve">. Additionally, population coverage achieved through the mass distribution campaigns has been supplemented by regular distribution of ITNs at all public health facilities through routine antenatal and expanded immunization programs. Malaria Indicator Surveys, however, showed ITN ownership rates of 90% and 75% in 2014 and 2018, respectively. In 2018, only 33% of households had at least one ITN for two members and only 44% were using their </w:t>
      </w:r>
      <w:proofErr w:type="spellStart"/>
      <w:r w:rsidRPr="006D6A86">
        <w:rPr>
          <w:rFonts w:cs="Times New Roman"/>
          <w:lang w:val="en-GB"/>
        </w:rPr>
        <w:t>bednets</w:t>
      </w:r>
      <w:proofErr w:type="spellEnd"/>
      <w:r w:rsidRPr="006D6A86">
        <w:rPr>
          <w:rFonts w:cs="Times New Roman"/>
          <w:lang w:val="en-GB"/>
        </w:rPr>
        <w:t xml:space="preserve"> </w:t>
      </w:r>
      <w:r w:rsidRPr="006D6A86">
        <w:rPr>
          <w:rFonts w:eastAsia="Times New Roman" w:cs="Times New Roman"/>
          <w:color w:val="000000"/>
        </w:rPr>
        <w:t>[7</w:t>
      </w:r>
      <w:r w:rsidR="00C2513C">
        <w:rPr>
          <w:rFonts w:eastAsia="Times New Roman" w:cs="Times New Roman"/>
          <w:color w:val="000000"/>
        </w:rPr>
        <w:t>1</w:t>
      </w:r>
      <w:r w:rsidRPr="006D6A86">
        <w:rPr>
          <w:rFonts w:eastAsia="Times New Roman" w:cs="Times New Roman"/>
          <w:color w:val="000000"/>
        </w:rPr>
        <w:t>]</w:t>
      </w:r>
      <w:r w:rsidRPr="006D6A86">
        <w:rPr>
          <w:rFonts w:cs="Times New Roman"/>
          <w:lang w:val="en-GB"/>
        </w:rPr>
        <w:t>. Seasonal</w:t>
      </w:r>
      <w:r w:rsidRPr="00B91FB6">
        <w:rPr>
          <w:rFonts w:cs="Times New Roman"/>
          <w:lang w:val="en-GB"/>
        </w:rPr>
        <w:t xml:space="preserve"> malaria chemoprevention with </w:t>
      </w:r>
      <w:proofErr w:type="spellStart"/>
      <w:r w:rsidRPr="00B91FB6">
        <w:rPr>
          <w:rFonts w:cs="Times New Roman"/>
          <w:lang w:val="en-GB"/>
        </w:rPr>
        <w:t>sulfadoxine</w:t>
      </w:r>
      <w:proofErr w:type="spellEnd"/>
      <w:r w:rsidRPr="00B91FB6">
        <w:rPr>
          <w:rFonts w:cs="Times New Roman"/>
          <w:lang w:val="en-GB"/>
        </w:rPr>
        <w:t xml:space="preserve">-pyrimethamine plus amodiaquine in the high malaria transmission season has superseded intermittent preventive treatment in children in which the same drug was administered to children on a schedule matching that of </w:t>
      </w:r>
      <w:r w:rsidRPr="00135975">
        <w:rPr>
          <w:rFonts w:cs="Times New Roman"/>
          <w:lang w:val="en-GB"/>
        </w:rPr>
        <w:t xml:space="preserve">the </w:t>
      </w:r>
      <w:r w:rsidRPr="00E07A91">
        <w:rPr>
          <w:rFonts w:cs="Times New Roman"/>
          <w:lang w:val="en-GB"/>
        </w:rPr>
        <w:t>expanded program on immunization</w:t>
      </w:r>
      <w:r w:rsidRPr="00135975">
        <w:rPr>
          <w:rFonts w:cs="Times New Roman"/>
          <w:lang w:val="en-GB"/>
        </w:rPr>
        <w:t>. Lastly, to</w:t>
      </w:r>
      <w:r w:rsidRPr="00B91FB6">
        <w:rPr>
          <w:rFonts w:cs="Times New Roman"/>
          <w:lang w:val="en-GB"/>
        </w:rPr>
        <w:t xml:space="preserve"> increase health</w:t>
      </w:r>
      <w:r>
        <w:rPr>
          <w:rFonts w:cs="Times New Roman"/>
          <w:lang w:val="en-GB"/>
        </w:rPr>
        <w:t xml:space="preserve"> </w:t>
      </w:r>
      <w:r w:rsidRPr="00B91FB6">
        <w:rPr>
          <w:rFonts w:cs="Times New Roman"/>
          <w:lang w:val="en-GB"/>
        </w:rPr>
        <w:t>care seeking at public health facilities, a free of charge health</w:t>
      </w:r>
      <w:r>
        <w:rPr>
          <w:rFonts w:cs="Times New Roman"/>
          <w:lang w:val="en-GB"/>
        </w:rPr>
        <w:t xml:space="preserve"> </w:t>
      </w:r>
      <w:r w:rsidRPr="00B91FB6">
        <w:rPr>
          <w:rFonts w:cs="Times New Roman"/>
          <w:lang w:val="en-GB"/>
        </w:rPr>
        <w:t xml:space="preserve">care policy for children under </w:t>
      </w:r>
      <w:r>
        <w:rPr>
          <w:rFonts w:cs="Times New Roman"/>
          <w:lang w:val="en-GB"/>
        </w:rPr>
        <w:t>5 years</w:t>
      </w:r>
      <w:r w:rsidRPr="00B91FB6">
        <w:rPr>
          <w:rFonts w:cs="Times New Roman"/>
          <w:lang w:val="en-GB"/>
        </w:rPr>
        <w:t xml:space="preserve"> was implemented in 2016.</w:t>
      </w:r>
    </w:p>
    <w:p w14:paraId="7C5759E3" w14:textId="77777777" w:rsidR="003A6C24" w:rsidRPr="00B91FB6" w:rsidRDefault="003A6C24" w:rsidP="003A6C24">
      <w:pPr>
        <w:rPr>
          <w:rFonts w:cs="Times New Roman"/>
          <w:lang w:val="en-GB"/>
        </w:rPr>
      </w:pPr>
    </w:p>
    <w:p w14:paraId="3E204417" w14:textId="77777777" w:rsidR="003A6C24" w:rsidRPr="0033496F" w:rsidRDefault="003A6C24" w:rsidP="003A6C24">
      <w:pPr>
        <w:pStyle w:val="Heading3"/>
      </w:pPr>
      <w:r w:rsidRPr="0033496F">
        <w:t>Study sites</w:t>
      </w:r>
    </w:p>
    <w:p w14:paraId="76E0EC1C" w14:textId="49EA7A47" w:rsidR="003A6C24" w:rsidRDefault="003A6C24" w:rsidP="003A6C24">
      <w:pPr>
        <w:rPr>
          <w:rFonts w:cs="Times New Roman"/>
          <w:lang w:val="en-GB"/>
        </w:rPr>
      </w:pPr>
      <w:r w:rsidRPr="00B91FB6">
        <w:rPr>
          <w:rFonts w:cs="Times New Roman"/>
          <w:lang w:val="en-GB"/>
        </w:rPr>
        <w:t>Cascades and Boucle du Mouhoun</w:t>
      </w:r>
      <w:r>
        <w:rPr>
          <w:rFonts w:cs="Times New Roman"/>
          <w:lang w:val="en-GB"/>
        </w:rPr>
        <w:t xml:space="preserve"> Regions</w:t>
      </w:r>
      <w:r w:rsidRPr="00B91FB6">
        <w:rPr>
          <w:rFonts w:cs="Times New Roman"/>
          <w:lang w:val="en-GB"/>
        </w:rPr>
        <w:t xml:space="preserve"> have been prioritized for </w:t>
      </w:r>
      <w:r w:rsidRPr="006D6A86">
        <w:rPr>
          <w:rFonts w:cs="Times New Roman"/>
          <w:lang w:val="en-GB"/>
        </w:rPr>
        <w:t>the introduction of Interceptor</w:t>
      </w:r>
      <w:r w:rsidRPr="006D6A86">
        <w:rPr>
          <w:rFonts w:cs="Times New Roman"/>
          <w:vertAlign w:val="superscript"/>
          <w:lang w:val="en-GB"/>
        </w:rPr>
        <w:t>®</w:t>
      </w:r>
      <w:r w:rsidRPr="006D6A86">
        <w:rPr>
          <w:rFonts w:cs="Times New Roman"/>
          <w:lang w:val="en-GB"/>
        </w:rPr>
        <w:t xml:space="preserve"> G2 (IG2; BASF SE) based on the high prevalence of malaria </w:t>
      </w:r>
      <w:r w:rsidRPr="006D6A86">
        <w:rPr>
          <w:rFonts w:eastAsia="Times New Roman" w:cs="Times New Roman"/>
          <w:color w:val="000000"/>
        </w:rPr>
        <w:t>[7</w:t>
      </w:r>
      <w:r w:rsidR="00650DF9">
        <w:rPr>
          <w:rFonts w:eastAsia="Times New Roman" w:cs="Times New Roman"/>
          <w:color w:val="000000"/>
        </w:rPr>
        <w:t>2</w:t>
      </w:r>
      <w:r w:rsidRPr="006D6A86">
        <w:rPr>
          <w:rFonts w:eastAsia="Times New Roman" w:cs="Times New Roman"/>
          <w:color w:val="000000"/>
        </w:rPr>
        <w:t>]</w:t>
      </w:r>
      <w:r w:rsidRPr="006D6A86">
        <w:rPr>
          <w:rFonts w:cs="Times New Roman"/>
          <w:lang w:val="en-GB"/>
        </w:rPr>
        <w:t xml:space="preserve"> and a well-documented and characterized history of resistance to multiple pyrethroids (including permethrin and deltamethrin) by multiple mechanisms in local </w:t>
      </w:r>
      <w:r w:rsidRPr="006D6A86">
        <w:rPr>
          <w:rFonts w:cs="Times New Roman"/>
          <w:i/>
          <w:iCs/>
          <w:lang w:val="en-GB"/>
        </w:rPr>
        <w:t>Anopheles gambiae</w:t>
      </w:r>
      <w:r w:rsidRPr="006D6A86">
        <w:rPr>
          <w:rFonts w:cs="Times New Roman"/>
          <w:lang w:val="en-GB"/>
        </w:rPr>
        <w:t xml:space="preserve"> </w:t>
      </w:r>
      <w:proofErr w:type="spellStart"/>
      <w:r w:rsidRPr="006D6A86">
        <w:rPr>
          <w:rFonts w:cs="Times New Roman"/>
          <w:lang w:val="en-GB"/>
        </w:rPr>
        <w:t>s.l.</w:t>
      </w:r>
      <w:proofErr w:type="spellEnd"/>
      <w:r w:rsidRPr="006D6A86">
        <w:rPr>
          <w:rFonts w:cs="Times New Roman"/>
          <w:lang w:val="en-GB"/>
        </w:rPr>
        <w:t xml:space="preserve"> populations (</w:t>
      </w:r>
      <w:proofErr w:type="spellStart"/>
      <w:r w:rsidRPr="006D6A86">
        <w:rPr>
          <w:rFonts w:cs="Times New Roman"/>
          <w:i/>
          <w:iCs/>
          <w:lang w:val="en-GB"/>
        </w:rPr>
        <w:t>kdr</w:t>
      </w:r>
      <w:proofErr w:type="spellEnd"/>
      <w:r w:rsidRPr="006D6A86">
        <w:rPr>
          <w:rFonts w:cs="Times New Roman"/>
          <w:i/>
          <w:iCs/>
          <w:lang w:val="en-GB"/>
        </w:rPr>
        <w:t xml:space="preserve"> </w:t>
      </w:r>
      <w:r w:rsidRPr="006D6A86">
        <w:rPr>
          <w:rFonts w:cs="Times New Roman"/>
          <w:lang w:val="en-GB"/>
        </w:rPr>
        <w:t xml:space="preserve">target-site mutations as well as metabolic resistance involving oxidase enzymes) </w:t>
      </w:r>
      <w:r w:rsidRPr="006D6A86">
        <w:rPr>
          <w:rFonts w:eastAsia="Times New Roman" w:cs="Times New Roman"/>
          <w:color w:val="000000"/>
        </w:rPr>
        <w:t>[9, 30, 7</w:t>
      </w:r>
      <w:r w:rsidR="00650DF9">
        <w:rPr>
          <w:rFonts w:eastAsia="Times New Roman" w:cs="Times New Roman"/>
          <w:color w:val="000000"/>
        </w:rPr>
        <w:t>3</w:t>
      </w:r>
      <w:r w:rsidRPr="006D6A86">
        <w:rPr>
          <w:rFonts w:eastAsia="Times New Roman" w:cs="Times New Roman"/>
          <w:color w:val="000000"/>
        </w:rPr>
        <w:t>]</w:t>
      </w:r>
      <w:r w:rsidRPr="006D6A86">
        <w:rPr>
          <w:rFonts w:cs="Times New Roman"/>
          <w:lang w:val="en-GB"/>
        </w:rPr>
        <w:t>. However, due to a limited number of IG2 ITNs, the</w:t>
      </w:r>
      <w:r w:rsidRPr="00B91FB6">
        <w:rPr>
          <w:rFonts w:cs="Times New Roman"/>
          <w:lang w:val="en-GB"/>
        </w:rPr>
        <w:t xml:space="preserve"> totality of health districts in the southwestern region could not be covered. </w:t>
      </w:r>
    </w:p>
    <w:p w14:paraId="2DCEF27F" w14:textId="77777777" w:rsidR="003A6C24" w:rsidRPr="00B91FB6" w:rsidRDefault="003A6C24" w:rsidP="003A6C24">
      <w:pPr>
        <w:rPr>
          <w:rFonts w:cs="Times New Roman"/>
          <w:lang w:val="en-GB"/>
        </w:rPr>
      </w:pPr>
    </w:p>
    <w:p w14:paraId="7739C395" w14:textId="77777777" w:rsidR="003A6C24" w:rsidRDefault="003A6C24" w:rsidP="003A6C24">
      <w:pPr>
        <w:rPr>
          <w:rFonts w:cs="Times New Roman"/>
        </w:rPr>
      </w:pPr>
      <w:r w:rsidRPr="00E07A91">
        <w:rPr>
          <w:rFonts w:cs="Times New Roman"/>
          <w:lang w:val="en-GB"/>
        </w:rPr>
        <w:lastRenderedPageBreak/>
        <w:t>A subset of five health districts, Tougan, Nouna, Banfora, Gaoua, and Orodara, will be included in the study</w:t>
      </w:r>
      <w:r>
        <w:rPr>
          <w:rFonts w:cs="Times New Roman"/>
          <w:lang w:val="en-GB"/>
        </w:rPr>
        <w:t xml:space="preserve"> (shown on the map in Figure 1)</w:t>
      </w:r>
      <w:r w:rsidRPr="00E07A91">
        <w:rPr>
          <w:rFonts w:cs="Times New Roman"/>
          <w:lang w:val="en-GB"/>
        </w:rPr>
        <w:t xml:space="preserve">. </w:t>
      </w:r>
      <w:r w:rsidRPr="006D6A86">
        <w:rPr>
          <w:rFonts w:cs="Times New Roman"/>
          <w:lang w:val="en-GB"/>
        </w:rPr>
        <w:t>These districts had a combined population size of nearly 1.6 million people and 231 health facilities as of 2017. The overall malaria incidence per 1,000 people in 2017 was 535 in Nouna, 722 in Gaoua, 370 in Tougan, 729 in Banfora, and 631 in Orodara. The Nouna, Gaoua, Tougan, Banfora, and Orodara health districts are served by 51, 9, 41, 46, and 39 primary health facilities, respectively.</w:t>
      </w:r>
      <w:r w:rsidRPr="00B91FB6">
        <w:rPr>
          <w:rFonts w:cs="Times New Roman"/>
          <w:lang w:val="en-GB"/>
        </w:rPr>
        <w:t xml:space="preserve"> They </w:t>
      </w:r>
      <w:r w:rsidRPr="00B91FB6">
        <w:rPr>
          <w:rFonts w:cs="Times New Roman"/>
        </w:rPr>
        <w:t xml:space="preserve">have similar malaria transmission dynamics and consistencies in other malaria control interventions. In addition, their baseline characteristics, determined through routine data provided by in-country stakeholders, were comparable across the districts in underlying malaria prevalence, incidence, vector species composition, and insecticide resistance status, </w:t>
      </w:r>
      <w:r>
        <w:rPr>
          <w:rFonts w:cs="Times New Roman"/>
        </w:rPr>
        <w:t xml:space="preserve">and their </w:t>
      </w:r>
      <w:r w:rsidRPr="00B91FB6">
        <w:rPr>
          <w:rFonts w:cs="Times New Roman"/>
        </w:rPr>
        <w:t>climate and geographi</w:t>
      </w:r>
      <w:r>
        <w:rPr>
          <w:rFonts w:cs="Times New Roman"/>
        </w:rPr>
        <w:t>es are</w:t>
      </w:r>
      <w:r w:rsidRPr="00B91FB6">
        <w:rPr>
          <w:rFonts w:cs="Times New Roman"/>
        </w:rPr>
        <w:t xml:space="preserve"> similar.</w:t>
      </w:r>
    </w:p>
    <w:p w14:paraId="7E1115F9" w14:textId="77777777" w:rsidR="003A6C24" w:rsidRPr="00B91FB6" w:rsidRDefault="003A6C24" w:rsidP="003A6C24">
      <w:pPr>
        <w:rPr>
          <w:rFonts w:cs="Times New Roman"/>
        </w:rPr>
      </w:pPr>
    </w:p>
    <w:p w14:paraId="7084F28E" w14:textId="77777777" w:rsidR="003A6C24" w:rsidRDefault="003A6C24" w:rsidP="003A6C24">
      <w:pPr>
        <w:rPr>
          <w:rFonts w:cs="Times New Roman"/>
        </w:rPr>
      </w:pPr>
      <w:r>
        <w:rPr>
          <w:rFonts w:cs="Times New Roman"/>
        </w:rPr>
        <w:t>IG2 ITNs will be distributed i</w:t>
      </w:r>
      <w:r w:rsidRPr="00B91FB6">
        <w:rPr>
          <w:rFonts w:cs="Times New Roman"/>
        </w:rPr>
        <w:t>n Tougan and Banfora</w:t>
      </w:r>
      <w:r>
        <w:rPr>
          <w:rFonts w:cs="Times New Roman"/>
        </w:rPr>
        <w:t>;</w:t>
      </w:r>
      <w:r w:rsidRPr="00B91FB6">
        <w:rPr>
          <w:rFonts w:cs="Times New Roman"/>
        </w:rPr>
        <w:t xml:space="preserve"> in </w:t>
      </w:r>
      <w:r>
        <w:rPr>
          <w:rFonts w:cs="Times New Roman"/>
        </w:rPr>
        <w:t xml:space="preserve">the </w:t>
      </w:r>
      <w:r w:rsidRPr="00B91FB6">
        <w:rPr>
          <w:rFonts w:cs="Times New Roman"/>
        </w:rPr>
        <w:t xml:space="preserve">two comparator districts, Nouna and Gaoua, standard pyrethroid-only ITNs will be distributed. Orodara will receive </w:t>
      </w:r>
      <w:r>
        <w:rPr>
          <w:rFonts w:cs="Times New Roman"/>
        </w:rPr>
        <w:t xml:space="preserve">piperonyl </w:t>
      </w:r>
      <w:r w:rsidRPr="001E4C16">
        <w:rPr>
          <w:rFonts w:cs="Times New Roman"/>
        </w:rPr>
        <w:t>buto</w:t>
      </w:r>
      <w:r w:rsidRPr="001337A6">
        <w:rPr>
          <w:rFonts w:cs="Times New Roman"/>
        </w:rPr>
        <w:t>xi</w:t>
      </w:r>
      <w:r w:rsidRPr="00F15C6A">
        <w:rPr>
          <w:rFonts w:cs="Times New Roman"/>
        </w:rPr>
        <w:t>de</w:t>
      </w:r>
      <w:r w:rsidRPr="00E64D5A">
        <w:rPr>
          <w:rFonts w:cs="Times New Roman"/>
        </w:rPr>
        <w:t xml:space="preserve"> (</w:t>
      </w:r>
      <w:r w:rsidRPr="00E07A91">
        <w:rPr>
          <w:rFonts w:cs="Times New Roman"/>
        </w:rPr>
        <w:t>PBO</w:t>
      </w:r>
      <w:r w:rsidRPr="001E4C16">
        <w:rPr>
          <w:rFonts w:cs="Times New Roman"/>
        </w:rPr>
        <w:t>) IT</w:t>
      </w:r>
      <w:r w:rsidRPr="001337A6">
        <w:rPr>
          <w:rFonts w:cs="Times New Roman"/>
        </w:rPr>
        <w:t>Ns</w:t>
      </w:r>
      <w:r>
        <w:rPr>
          <w:rFonts w:cs="Times New Roman"/>
        </w:rPr>
        <w:t>,</w:t>
      </w:r>
      <w:r w:rsidRPr="00B91FB6">
        <w:rPr>
          <w:rFonts w:cs="Times New Roman"/>
        </w:rPr>
        <w:t xml:space="preserve"> providing additional important context to support the decision-making process in Burkina Faso. Within each district, ITNs routinely distributed at health facilities will be of the same type as those distributed during mass campaign</w:t>
      </w:r>
      <w:r>
        <w:rPr>
          <w:rFonts w:cs="Times New Roman"/>
        </w:rPr>
        <w:t>s</w:t>
      </w:r>
      <w:r w:rsidRPr="00B91FB6">
        <w:rPr>
          <w:rFonts w:cs="Times New Roman"/>
        </w:rPr>
        <w:t>.</w:t>
      </w:r>
    </w:p>
    <w:p w14:paraId="427E14E9" w14:textId="77777777" w:rsidR="003A6C24" w:rsidRPr="00B91FB6" w:rsidRDefault="003A6C24" w:rsidP="003A6C24">
      <w:pPr>
        <w:rPr>
          <w:rFonts w:cs="Times New Roman"/>
          <w:lang w:val="en-GB"/>
        </w:rPr>
      </w:pPr>
    </w:p>
    <w:p w14:paraId="79F50DE0" w14:textId="77777777" w:rsidR="003A6C24" w:rsidRPr="0033496F" w:rsidRDefault="003A6C24" w:rsidP="003A6C24">
      <w:pPr>
        <w:pStyle w:val="Heading2"/>
      </w:pPr>
      <w:r w:rsidRPr="0033496F">
        <w:t>Mozambique</w:t>
      </w:r>
    </w:p>
    <w:p w14:paraId="49224568" w14:textId="77777777" w:rsidR="003A6C24" w:rsidRPr="0033496F" w:rsidRDefault="003A6C24" w:rsidP="003A6C24">
      <w:pPr>
        <w:pStyle w:val="Heading3"/>
      </w:pPr>
      <w:r w:rsidRPr="0033496F">
        <w:t>General background</w:t>
      </w:r>
    </w:p>
    <w:p w14:paraId="42CD8A83" w14:textId="68E40C07" w:rsidR="003A6C24" w:rsidRDefault="003A6C24" w:rsidP="003A6C24">
      <w:pPr>
        <w:rPr>
          <w:rFonts w:cs="Times New Roman"/>
          <w:lang w:val="en-GB"/>
        </w:rPr>
      </w:pPr>
      <w:r w:rsidRPr="00B91FB6">
        <w:rPr>
          <w:rFonts w:cs="Times New Roman"/>
          <w:lang w:val="en-GB"/>
        </w:rPr>
        <w:t xml:space="preserve">Mozambique is located on the coast of </w:t>
      </w:r>
      <w:proofErr w:type="spellStart"/>
      <w:r w:rsidRPr="00B91FB6">
        <w:rPr>
          <w:rFonts w:cs="Times New Roman"/>
          <w:lang w:val="en-GB"/>
        </w:rPr>
        <w:t>southeastern</w:t>
      </w:r>
      <w:proofErr w:type="spellEnd"/>
      <w:r w:rsidRPr="00B91FB6">
        <w:rPr>
          <w:rFonts w:cs="Times New Roman"/>
          <w:lang w:val="en-GB"/>
        </w:rPr>
        <w:t xml:space="preserve"> Africa between South Africa and Tanzania. </w:t>
      </w:r>
      <w:r>
        <w:rPr>
          <w:rFonts w:cs="Times New Roman"/>
          <w:lang w:val="en-GB"/>
        </w:rPr>
        <w:t>T</w:t>
      </w:r>
      <w:r w:rsidRPr="00B91FB6">
        <w:rPr>
          <w:rFonts w:cs="Times New Roman"/>
          <w:lang w:val="en-GB"/>
        </w:rPr>
        <w:t xml:space="preserve">he country is sparsely </w:t>
      </w:r>
      <w:r w:rsidRPr="006D6A86">
        <w:rPr>
          <w:rFonts w:cs="Times New Roman"/>
          <w:lang w:val="en-GB"/>
        </w:rPr>
        <w:t xml:space="preserve">populated by 28 million people, and only 36% live in urban areas, including 1 million in the capital, Maputo </w:t>
      </w:r>
      <w:r w:rsidRPr="006D6A86">
        <w:rPr>
          <w:rFonts w:eastAsia="Times New Roman" w:cs="Times New Roman"/>
          <w:color w:val="000000"/>
        </w:rPr>
        <w:t>[7</w:t>
      </w:r>
      <w:r w:rsidR="00A405C4">
        <w:rPr>
          <w:rFonts w:eastAsia="Times New Roman" w:cs="Times New Roman"/>
          <w:color w:val="000000"/>
        </w:rPr>
        <w:t>4</w:t>
      </w:r>
      <w:r w:rsidRPr="006D6A86">
        <w:rPr>
          <w:rFonts w:eastAsia="Times New Roman" w:cs="Times New Roman"/>
          <w:color w:val="000000"/>
        </w:rPr>
        <w:t>, 7</w:t>
      </w:r>
      <w:r w:rsidR="00A405C4">
        <w:rPr>
          <w:rFonts w:eastAsia="Times New Roman" w:cs="Times New Roman"/>
          <w:color w:val="000000"/>
        </w:rPr>
        <w:t>5</w:t>
      </w:r>
      <w:r w:rsidRPr="006D6A86">
        <w:rPr>
          <w:rFonts w:eastAsia="Times New Roman" w:cs="Times New Roman"/>
          <w:color w:val="000000"/>
        </w:rPr>
        <w:t>]</w:t>
      </w:r>
      <w:r w:rsidRPr="006D6A86">
        <w:rPr>
          <w:rFonts w:cs="Times New Roman"/>
          <w:lang w:val="en-GB"/>
        </w:rPr>
        <w:t xml:space="preserve">. There is considerable linguistic diversity in Mozambique: Portuguese is the official language and 26.1% of Mozambicans speak </w:t>
      </w:r>
      <w:proofErr w:type="spellStart"/>
      <w:r w:rsidRPr="006D6A86">
        <w:rPr>
          <w:rFonts w:cs="Times New Roman"/>
          <w:lang w:val="en-GB"/>
        </w:rPr>
        <w:t>Macua</w:t>
      </w:r>
      <w:proofErr w:type="spellEnd"/>
      <w:r w:rsidRPr="006D6A86">
        <w:rPr>
          <w:rFonts w:cs="Times New Roman"/>
          <w:lang w:val="en-GB"/>
        </w:rPr>
        <w:t xml:space="preserve">; </w:t>
      </w:r>
      <w:r w:rsidRPr="006D6A86">
        <w:rPr>
          <w:rFonts w:cs="Times New Roman"/>
          <w:lang w:val="en-GB"/>
        </w:rPr>
        <w:lastRenderedPageBreak/>
        <w:t xml:space="preserve">8.6% speak </w:t>
      </w:r>
      <w:proofErr w:type="spellStart"/>
      <w:r w:rsidRPr="006D6A86">
        <w:rPr>
          <w:rFonts w:cs="Times New Roman"/>
          <w:lang w:val="en-GB"/>
        </w:rPr>
        <w:t>Changana</w:t>
      </w:r>
      <w:proofErr w:type="spellEnd"/>
      <w:r w:rsidRPr="006D6A86">
        <w:rPr>
          <w:rFonts w:cs="Times New Roman"/>
          <w:lang w:val="en-GB"/>
        </w:rPr>
        <w:t xml:space="preserve">; and the rest speak other local languages, of which </w:t>
      </w:r>
      <w:proofErr w:type="spellStart"/>
      <w:r w:rsidRPr="006D6A86">
        <w:rPr>
          <w:rFonts w:cs="Times New Roman"/>
          <w:lang w:val="en-GB"/>
        </w:rPr>
        <w:t>Lomwe</w:t>
      </w:r>
      <w:proofErr w:type="spellEnd"/>
      <w:r w:rsidRPr="006D6A86">
        <w:rPr>
          <w:rFonts w:cs="Times New Roman"/>
          <w:lang w:val="en-GB"/>
        </w:rPr>
        <w:t xml:space="preserve">, </w:t>
      </w:r>
      <w:proofErr w:type="spellStart"/>
      <w:r w:rsidRPr="006D6A86">
        <w:rPr>
          <w:rFonts w:cs="Times New Roman"/>
          <w:lang w:val="en-GB"/>
        </w:rPr>
        <w:t>Sena</w:t>
      </w:r>
      <w:proofErr w:type="spellEnd"/>
      <w:r w:rsidRPr="006D6A86">
        <w:rPr>
          <w:rFonts w:cs="Times New Roman"/>
          <w:lang w:val="en-GB"/>
        </w:rPr>
        <w:t xml:space="preserve">, and </w:t>
      </w:r>
      <w:proofErr w:type="spellStart"/>
      <w:r w:rsidRPr="006D6A86">
        <w:rPr>
          <w:rFonts w:cs="Times New Roman"/>
          <w:lang w:val="en-GB"/>
        </w:rPr>
        <w:t>Makhuwa</w:t>
      </w:r>
      <w:proofErr w:type="spellEnd"/>
      <w:r w:rsidRPr="006D6A86">
        <w:rPr>
          <w:rFonts w:cs="Times New Roman"/>
          <w:lang w:val="en-GB"/>
        </w:rPr>
        <w:t xml:space="preserve"> are common in the study districts. The religious makeup of the country is 59.8% Christian, 18.9% Muslim, 4.8% other, and the remaining 16.5% reported either having no religion or did not specify </w:t>
      </w:r>
      <w:r w:rsidRPr="006D6A86">
        <w:rPr>
          <w:rFonts w:eastAsia="Times New Roman" w:cs="Times New Roman"/>
          <w:color w:val="000000"/>
        </w:rPr>
        <w:t>[7</w:t>
      </w:r>
      <w:r w:rsidR="00A405C4">
        <w:rPr>
          <w:rFonts w:eastAsia="Times New Roman" w:cs="Times New Roman"/>
          <w:color w:val="000000"/>
        </w:rPr>
        <w:t>6</w:t>
      </w:r>
      <w:r w:rsidRPr="006D6A86">
        <w:rPr>
          <w:rFonts w:eastAsia="Times New Roman" w:cs="Times New Roman"/>
          <w:color w:val="000000"/>
        </w:rPr>
        <w:t>]</w:t>
      </w:r>
      <w:r w:rsidRPr="006D6A86">
        <w:rPr>
          <w:rFonts w:cs="Times New Roman"/>
          <w:lang w:val="en-GB"/>
        </w:rPr>
        <w:t>. The communities that make up the study districts are mostly rural, and the chief economic activity is smallholder agriculture, primarily the cultivation of rice, maize, and cassava [7</w:t>
      </w:r>
      <w:r w:rsidR="00A405C4">
        <w:rPr>
          <w:rFonts w:cs="Times New Roman"/>
          <w:lang w:val="en-GB"/>
        </w:rPr>
        <w:t>6</w:t>
      </w:r>
      <w:r w:rsidRPr="006D6A86">
        <w:rPr>
          <w:rFonts w:cs="Times New Roman"/>
          <w:lang w:val="en-GB"/>
        </w:rPr>
        <w:t>]. In 2017 the literacy rate was estimated to be 60.1% nationally (72.6% for males and 50.3% for females) [7</w:t>
      </w:r>
      <w:r w:rsidR="00A405C4">
        <w:rPr>
          <w:rFonts w:cs="Times New Roman"/>
          <w:lang w:val="en-GB"/>
        </w:rPr>
        <w:t>7</w:t>
      </w:r>
      <w:r w:rsidRPr="006D6A86">
        <w:rPr>
          <w:rFonts w:cs="Times New Roman"/>
          <w:lang w:val="en-GB"/>
        </w:rPr>
        <w:t>].</w:t>
      </w:r>
      <w:r w:rsidRPr="00B91FB6">
        <w:rPr>
          <w:rFonts w:cs="Times New Roman"/>
          <w:lang w:val="en-GB"/>
        </w:rPr>
        <w:t xml:space="preserve"> </w:t>
      </w:r>
    </w:p>
    <w:p w14:paraId="6247945C" w14:textId="77777777" w:rsidR="003A6C24" w:rsidRPr="00B91FB6" w:rsidRDefault="003A6C24" w:rsidP="003A6C24">
      <w:pPr>
        <w:rPr>
          <w:rFonts w:cs="Times New Roman"/>
          <w:lang w:val="en-GB"/>
        </w:rPr>
      </w:pPr>
    </w:p>
    <w:p w14:paraId="6F138647" w14:textId="77777777" w:rsidR="003A6C24" w:rsidRPr="0033496F" w:rsidRDefault="003A6C24" w:rsidP="003A6C24">
      <w:pPr>
        <w:pStyle w:val="Heading3"/>
      </w:pPr>
      <w:r w:rsidRPr="0033496F">
        <w:t>Local malaria control context</w:t>
      </w:r>
    </w:p>
    <w:p w14:paraId="5B135178" w14:textId="2C2F9006" w:rsidR="003A6C24" w:rsidRDefault="003A6C24" w:rsidP="003A6C24">
      <w:pPr>
        <w:rPr>
          <w:rFonts w:eastAsia="Times New Roman" w:cs="Times New Roman"/>
          <w:color w:val="000000"/>
        </w:rPr>
      </w:pPr>
      <w:r w:rsidRPr="00B91FB6">
        <w:rPr>
          <w:rFonts w:cs="Times New Roman"/>
          <w:lang w:val="en-GB"/>
        </w:rPr>
        <w:t>Malaria is endemic throughout Mozambique. The country experiences year-round transmission</w:t>
      </w:r>
      <w:r>
        <w:rPr>
          <w:rFonts w:cs="Times New Roman"/>
          <w:lang w:val="en-GB"/>
        </w:rPr>
        <w:t>, and</w:t>
      </w:r>
      <w:r w:rsidRPr="00B91FB6">
        <w:rPr>
          <w:rFonts w:cs="Times New Roman"/>
          <w:lang w:val="en-GB"/>
        </w:rPr>
        <w:t xml:space="preserve"> risk </w:t>
      </w:r>
      <w:r>
        <w:rPr>
          <w:rFonts w:cs="Times New Roman"/>
          <w:lang w:val="en-GB"/>
        </w:rPr>
        <w:t xml:space="preserve">is heightened </w:t>
      </w:r>
      <w:r w:rsidRPr="00B91FB6">
        <w:rPr>
          <w:rFonts w:cs="Times New Roman"/>
          <w:lang w:val="en-GB"/>
        </w:rPr>
        <w:t xml:space="preserve">during the rainy season, typically from December to April. Malaria cases account for 42% of deaths in children under 5 years and 29% of all deaths overall, yet there are large differences in malaria prevalence and transmission by </w:t>
      </w:r>
      <w:r w:rsidRPr="00B95B1D">
        <w:rPr>
          <w:rFonts w:cs="Times New Roman"/>
          <w:lang w:val="en-GB"/>
        </w:rPr>
        <w:t xml:space="preserve">region. The 2018 combined </w:t>
      </w:r>
      <w:r>
        <w:rPr>
          <w:rFonts w:cs="Times New Roman"/>
          <w:lang w:val="en-GB"/>
        </w:rPr>
        <w:t xml:space="preserve">Survey of Indicators on </w:t>
      </w:r>
      <w:r w:rsidRPr="00B95B1D">
        <w:rPr>
          <w:rFonts w:cs="Times New Roman"/>
          <w:lang w:val="en-GB"/>
        </w:rPr>
        <w:t>Immunization, Malaria</w:t>
      </w:r>
      <w:r>
        <w:rPr>
          <w:rFonts w:cs="Times New Roman"/>
          <w:lang w:val="en-GB"/>
        </w:rPr>
        <w:t>,</w:t>
      </w:r>
      <w:r w:rsidRPr="00B95B1D">
        <w:rPr>
          <w:rFonts w:cs="Times New Roman"/>
          <w:lang w:val="en-GB"/>
        </w:rPr>
        <w:t xml:space="preserve"> and </w:t>
      </w:r>
      <w:r w:rsidRPr="00CB112D">
        <w:rPr>
          <w:rFonts w:cs="Times New Roman"/>
          <w:lang w:val="en-GB"/>
        </w:rPr>
        <w:t>HIV/AIDS</w:t>
      </w:r>
      <w:r w:rsidRPr="00B95B1D">
        <w:rPr>
          <w:rFonts w:cs="Times New Roman"/>
          <w:lang w:val="en-GB"/>
        </w:rPr>
        <w:t xml:space="preserve"> showed</w:t>
      </w:r>
      <w:r w:rsidRPr="00B91FB6">
        <w:rPr>
          <w:rFonts w:cs="Times New Roman"/>
          <w:lang w:val="en-GB"/>
        </w:rPr>
        <w:t xml:space="preserve"> that prevalence in children under 5 varied throughout the country, ranging from 1% in Maputo Province in the </w:t>
      </w:r>
      <w:r>
        <w:rPr>
          <w:rFonts w:cs="Times New Roman"/>
          <w:lang w:val="en-GB"/>
        </w:rPr>
        <w:t>s</w:t>
      </w:r>
      <w:r w:rsidRPr="00B91FB6">
        <w:rPr>
          <w:rFonts w:cs="Times New Roman"/>
          <w:lang w:val="en-GB"/>
        </w:rPr>
        <w:t xml:space="preserve">outh to 57% in Cabo Delgado Province in the </w:t>
      </w:r>
      <w:r>
        <w:rPr>
          <w:rFonts w:cs="Times New Roman"/>
          <w:lang w:val="en-GB"/>
        </w:rPr>
        <w:t>n</w:t>
      </w:r>
      <w:r w:rsidRPr="00B91FB6">
        <w:rPr>
          <w:rFonts w:cs="Times New Roman"/>
          <w:lang w:val="en-GB"/>
        </w:rPr>
        <w:t>orth. Prevalence was generally higher in the northern region (44% to 57%) than in the southern region (1% to 35%), and prevalence in rural areas was more than double that of urban areas (47% compared to 18%). Two provinces, Zambezia and Nampula, represent</w:t>
      </w:r>
      <w:r>
        <w:rPr>
          <w:rFonts w:cs="Times New Roman"/>
          <w:lang w:val="en-GB"/>
        </w:rPr>
        <w:t>ed</w:t>
      </w:r>
      <w:r w:rsidRPr="00B91FB6">
        <w:rPr>
          <w:rFonts w:cs="Times New Roman"/>
          <w:lang w:val="en-GB"/>
        </w:rPr>
        <w:t xml:space="preserve"> almost 40% of the national malaria burden. The 2018 </w:t>
      </w:r>
      <w:r>
        <w:rPr>
          <w:rFonts w:cs="Times New Roman"/>
          <w:lang w:val="en-GB"/>
        </w:rPr>
        <w:t>i</w:t>
      </w:r>
      <w:r w:rsidRPr="00B91FB6">
        <w:rPr>
          <w:rFonts w:cs="Times New Roman"/>
          <w:lang w:val="en-GB"/>
        </w:rPr>
        <w:t xml:space="preserve">ndicator </w:t>
      </w:r>
      <w:r>
        <w:rPr>
          <w:rFonts w:cs="Times New Roman"/>
          <w:lang w:val="en-GB"/>
        </w:rPr>
        <w:t>s</w:t>
      </w:r>
      <w:r w:rsidRPr="00B91FB6">
        <w:rPr>
          <w:rFonts w:cs="Times New Roman"/>
          <w:lang w:val="en-GB"/>
        </w:rPr>
        <w:t xml:space="preserve">urvey also showed improvement in ITN coverage compared to the 2011 Demographic and Health Survey: the number of households with at least one ITN increased </w:t>
      </w:r>
      <w:r>
        <w:rPr>
          <w:rFonts w:cs="Times New Roman"/>
          <w:lang w:val="en-GB"/>
        </w:rPr>
        <w:t xml:space="preserve">from </w:t>
      </w:r>
      <w:r w:rsidRPr="00B91FB6">
        <w:rPr>
          <w:rFonts w:cs="Times New Roman"/>
          <w:lang w:val="en-GB"/>
        </w:rPr>
        <w:t>51% to 82%</w:t>
      </w:r>
      <w:r>
        <w:rPr>
          <w:rFonts w:cs="Times New Roman"/>
          <w:lang w:val="en-GB"/>
        </w:rPr>
        <w:t>,</w:t>
      </w:r>
      <w:r w:rsidRPr="00B91FB6">
        <w:rPr>
          <w:rFonts w:cs="Times New Roman"/>
          <w:lang w:val="en-GB"/>
        </w:rPr>
        <w:t xml:space="preserve"> as did the proportion of children under 5 years and pregnant women reporting having slept under an ITN the night before the survey (36% to 73% and 34% to 77%). However, the number of malaria </w:t>
      </w:r>
      <w:r w:rsidRPr="00B91FB6">
        <w:rPr>
          <w:rFonts w:cs="Times New Roman"/>
          <w:lang w:val="en-GB"/>
        </w:rPr>
        <w:lastRenderedPageBreak/>
        <w:t xml:space="preserve">cases reported increased dramatically from 2012 to 2017, from 3.1 million to </w:t>
      </w:r>
      <w:r>
        <w:rPr>
          <w:rFonts w:cs="Times New Roman"/>
          <w:lang w:val="en-GB"/>
        </w:rPr>
        <w:t xml:space="preserve">more than </w:t>
      </w:r>
      <w:r w:rsidRPr="00B91FB6">
        <w:rPr>
          <w:rFonts w:cs="Times New Roman"/>
          <w:lang w:val="en-GB"/>
        </w:rPr>
        <w:t xml:space="preserve">8.9 million cases each year, which may be due in </w:t>
      </w:r>
      <w:r w:rsidRPr="006D6A86">
        <w:rPr>
          <w:rFonts w:cs="Times New Roman"/>
          <w:lang w:val="en-GB"/>
        </w:rPr>
        <w:t xml:space="preserve">part to improved reporting through the routine health management information system </w:t>
      </w:r>
      <w:r w:rsidRPr="006D6A86">
        <w:rPr>
          <w:rFonts w:eastAsia="Times New Roman" w:cs="Times New Roman"/>
          <w:color w:val="000000"/>
        </w:rPr>
        <w:t>[7</w:t>
      </w:r>
      <w:r w:rsidR="00A405C4">
        <w:rPr>
          <w:rFonts w:eastAsia="Times New Roman" w:cs="Times New Roman"/>
          <w:color w:val="000000"/>
        </w:rPr>
        <w:t>4</w:t>
      </w:r>
      <w:r w:rsidRPr="006D6A86">
        <w:rPr>
          <w:rFonts w:eastAsia="Times New Roman" w:cs="Times New Roman"/>
          <w:color w:val="000000"/>
        </w:rPr>
        <w:t>].</w:t>
      </w:r>
    </w:p>
    <w:p w14:paraId="0F295638" w14:textId="77777777" w:rsidR="003A6C24" w:rsidRPr="00B91FB6" w:rsidRDefault="003A6C24" w:rsidP="003A6C24">
      <w:pPr>
        <w:rPr>
          <w:rFonts w:cs="Times New Roman"/>
          <w:lang w:val="en-GB"/>
        </w:rPr>
      </w:pPr>
    </w:p>
    <w:p w14:paraId="3FDD4BDB" w14:textId="77777777" w:rsidR="003A6C24" w:rsidRPr="0033496F" w:rsidRDefault="003A6C24" w:rsidP="003A6C24">
      <w:pPr>
        <w:pStyle w:val="Heading3"/>
      </w:pPr>
      <w:r w:rsidRPr="0033496F">
        <w:t>Study sites</w:t>
      </w:r>
    </w:p>
    <w:p w14:paraId="27B3DC2A" w14:textId="77777777" w:rsidR="003A6C24" w:rsidRDefault="003A6C24" w:rsidP="003A6C24">
      <w:pPr>
        <w:rPr>
          <w:rFonts w:cs="Times New Roman"/>
        </w:rPr>
      </w:pPr>
      <w:r w:rsidRPr="00B91FB6">
        <w:rPr>
          <w:rFonts w:cs="Times New Roman"/>
        </w:rPr>
        <w:t xml:space="preserve">The </w:t>
      </w:r>
      <w:r>
        <w:rPr>
          <w:rFonts w:cs="Times New Roman"/>
        </w:rPr>
        <w:t>national malaria control program</w:t>
      </w:r>
      <w:r w:rsidRPr="00B91FB6">
        <w:rPr>
          <w:rFonts w:cs="Times New Roman"/>
        </w:rPr>
        <w:t xml:space="preserve"> prioritized the targeting of </w:t>
      </w:r>
      <w:r>
        <w:rPr>
          <w:rFonts w:cs="Times New Roman"/>
        </w:rPr>
        <w:t>dual active ingredient</w:t>
      </w:r>
      <w:r w:rsidRPr="00B91FB6">
        <w:rPr>
          <w:rFonts w:cs="Times New Roman"/>
        </w:rPr>
        <w:t xml:space="preserve"> ITNs to two provinces, Manica and Niassa, based on moderate to high malaria infection prevalence rates observed </w:t>
      </w:r>
      <w:r>
        <w:rPr>
          <w:rFonts w:cs="Times New Roman"/>
        </w:rPr>
        <w:t xml:space="preserve">reported in </w:t>
      </w:r>
      <w:r w:rsidRPr="00B91FB6">
        <w:rPr>
          <w:rFonts w:cs="Times New Roman"/>
        </w:rPr>
        <w:t xml:space="preserve">the 2018 </w:t>
      </w:r>
      <w:r>
        <w:rPr>
          <w:rFonts w:cs="Times New Roman"/>
        </w:rPr>
        <w:t>combined i</w:t>
      </w:r>
      <w:r w:rsidRPr="00B91FB6">
        <w:rPr>
          <w:rFonts w:cs="Times New Roman"/>
        </w:rPr>
        <w:t>ndicator</w:t>
      </w:r>
      <w:r>
        <w:rPr>
          <w:rFonts w:cs="Times New Roman"/>
        </w:rPr>
        <w:t>s</w:t>
      </w:r>
      <w:r w:rsidRPr="00B91FB6">
        <w:rPr>
          <w:rFonts w:cs="Times New Roman"/>
        </w:rPr>
        <w:t xml:space="preserve"> </w:t>
      </w:r>
      <w:r>
        <w:rPr>
          <w:rFonts w:cs="Times New Roman"/>
        </w:rPr>
        <w:t>s</w:t>
      </w:r>
      <w:r w:rsidRPr="00B91FB6">
        <w:rPr>
          <w:rFonts w:cs="Times New Roman"/>
        </w:rPr>
        <w:t>urvey, documented pyrethroid resistance in local vector populations, pre-planned IRS operations targeting the highest</w:t>
      </w:r>
      <w:r>
        <w:rPr>
          <w:rFonts w:cs="Times New Roman"/>
        </w:rPr>
        <w:t>-</w:t>
      </w:r>
      <w:r w:rsidRPr="00B91FB6">
        <w:rPr>
          <w:rFonts w:cs="Times New Roman"/>
        </w:rPr>
        <w:t xml:space="preserve">burden districts of Zambezia </w:t>
      </w:r>
      <w:r>
        <w:rPr>
          <w:rFonts w:cs="Times New Roman"/>
        </w:rPr>
        <w:t>P</w:t>
      </w:r>
      <w:r w:rsidRPr="00B91FB6">
        <w:rPr>
          <w:rFonts w:cs="Times New Roman"/>
        </w:rPr>
        <w:t xml:space="preserve">rovince, and the time between net availability and campaign plans. In addition, PBO ITNs were targeted to Cabo Delgado and Tete </w:t>
      </w:r>
      <w:r>
        <w:rPr>
          <w:rFonts w:cs="Times New Roman"/>
        </w:rPr>
        <w:t>P</w:t>
      </w:r>
      <w:r w:rsidRPr="00B91FB6">
        <w:rPr>
          <w:rFonts w:cs="Times New Roman"/>
        </w:rPr>
        <w:t xml:space="preserve">rovinces based on insecticide resistance patterns. The timing of the planned PBO campaign </w:t>
      </w:r>
      <w:r>
        <w:rPr>
          <w:rFonts w:cs="Times New Roman"/>
        </w:rPr>
        <w:t xml:space="preserve">in </w:t>
      </w:r>
      <w:r w:rsidRPr="00B91FB6">
        <w:rPr>
          <w:rFonts w:cs="Times New Roman"/>
        </w:rPr>
        <w:t>Cabo Delgado (July 2019) excluded this province from this study.</w:t>
      </w:r>
      <w:r w:rsidRPr="00B91FB6" w:rsidDel="00E12DB3">
        <w:rPr>
          <w:rFonts w:cs="Times New Roman"/>
        </w:rPr>
        <w:t xml:space="preserve"> </w:t>
      </w:r>
    </w:p>
    <w:p w14:paraId="3A11F54D" w14:textId="77777777" w:rsidR="003A6C24" w:rsidRPr="00B91FB6" w:rsidRDefault="003A6C24" w:rsidP="003A6C24">
      <w:pPr>
        <w:rPr>
          <w:rFonts w:cs="Times New Roman"/>
        </w:rPr>
      </w:pPr>
    </w:p>
    <w:p w14:paraId="5DFC4DBB" w14:textId="77777777" w:rsidR="003A6C24" w:rsidRDefault="003A6C24" w:rsidP="003A6C24">
      <w:pPr>
        <w:rPr>
          <w:rFonts w:cs="Times New Roman"/>
        </w:rPr>
      </w:pPr>
      <w:r w:rsidRPr="00B91FB6">
        <w:rPr>
          <w:rFonts w:cs="Times New Roman"/>
        </w:rPr>
        <w:t xml:space="preserve">Six districts, covering two separate study areas (referred to here as the West and North evaluations) in Niassa and Zambezia </w:t>
      </w:r>
      <w:r>
        <w:rPr>
          <w:rFonts w:cs="Times New Roman"/>
        </w:rPr>
        <w:t>P</w:t>
      </w:r>
      <w:r w:rsidRPr="00B91FB6">
        <w:rPr>
          <w:rFonts w:cs="Times New Roman"/>
        </w:rPr>
        <w:t xml:space="preserve">rovinces in the north and </w:t>
      </w:r>
      <w:proofErr w:type="spellStart"/>
      <w:r w:rsidRPr="00B91FB6">
        <w:rPr>
          <w:rFonts w:cs="Times New Roman"/>
        </w:rPr>
        <w:t>Manica</w:t>
      </w:r>
      <w:proofErr w:type="spellEnd"/>
      <w:r w:rsidRPr="00B91FB6">
        <w:rPr>
          <w:rFonts w:cs="Times New Roman"/>
        </w:rPr>
        <w:t>, Sofala</w:t>
      </w:r>
      <w:r>
        <w:rPr>
          <w:rFonts w:cs="Times New Roman"/>
        </w:rPr>
        <w:t>,</w:t>
      </w:r>
      <w:r w:rsidRPr="00B91FB6">
        <w:rPr>
          <w:rFonts w:cs="Times New Roman"/>
        </w:rPr>
        <w:t xml:space="preserve"> and Tete </w:t>
      </w:r>
      <w:r>
        <w:rPr>
          <w:rFonts w:cs="Times New Roman"/>
        </w:rPr>
        <w:t>P</w:t>
      </w:r>
      <w:r w:rsidRPr="00B91FB6">
        <w:rPr>
          <w:rFonts w:cs="Times New Roman"/>
        </w:rPr>
        <w:t xml:space="preserve">rovinces in the west </w:t>
      </w:r>
      <w:r>
        <w:rPr>
          <w:rFonts w:cs="Times New Roman"/>
        </w:rPr>
        <w:t xml:space="preserve">were </w:t>
      </w:r>
      <w:r w:rsidRPr="00B91FB6">
        <w:rPr>
          <w:rFonts w:cs="Times New Roman"/>
        </w:rPr>
        <w:t xml:space="preserve">selected for enhanced study activities to help measure the impact of IG2, </w:t>
      </w:r>
      <w:r>
        <w:rPr>
          <w:rFonts w:cs="Times New Roman"/>
        </w:rPr>
        <w:t>Royal Guard</w:t>
      </w:r>
      <w:r w:rsidRPr="00E07A91">
        <w:rPr>
          <w:rFonts w:cs="Times New Roman"/>
          <w:vertAlign w:val="superscript"/>
        </w:rPr>
        <w:t>®</w:t>
      </w:r>
      <w:r>
        <w:rPr>
          <w:rFonts w:cs="Times New Roman"/>
        </w:rPr>
        <w:t xml:space="preserve"> (</w:t>
      </w:r>
      <w:r w:rsidRPr="00B91FB6">
        <w:rPr>
          <w:rFonts w:cs="Times New Roman"/>
        </w:rPr>
        <w:t>RG</w:t>
      </w:r>
      <w:r>
        <w:rPr>
          <w:rFonts w:cs="Times New Roman"/>
        </w:rPr>
        <w:t>; Disease Control Technologies, LLC)</w:t>
      </w:r>
      <w:r w:rsidRPr="00B91FB6">
        <w:rPr>
          <w:rFonts w:cs="Times New Roman"/>
        </w:rPr>
        <w:t>, and PBO nets on malaria transmission</w:t>
      </w:r>
      <w:r>
        <w:rPr>
          <w:rFonts w:cs="Times New Roman"/>
        </w:rPr>
        <w:t xml:space="preserve"> (see the map in Figure 2)</w:t>
      </w:r>
      <w:r w:rsidRPr="00B91FB6">
        <w:rPr>
          <w:rFonts w:cs="Times New Roman"/>
        </w:rPr>
        <w:t xml:space="preserve">. In general, Mozambique makes ITN distribution decisions at the provincial level. An exception was made for Niassa due to the inability to secure enough RG nets to cover the whole province. This provides an opportunity to conduct an observational comparison of RG and IG2 ITNs in Niassa with standard ITNs that are being distributed in Zambezia in the North evaluation. In addition, </w:t>
      </w:r>
      <w:r>
        <w:rPr>
          <w:rFonts w:cs="Times New Roman"/>
        </w:rPr>
        <w:t xml:space="preserve">IG2 nets will be distributed </w:t>
      </w:r>
      <w:r>
        <w:rPr>
          <w:rFonts w:cs="Times New Roman"/>
        </w:rPr>
        <w:lastRenderedPageBreak/>
        <w:t xml:space="preserve">throughout </w:t>
      </w:r>
      <w:proofErr w:type="spellStart"/>
      <w:r w:rsidRPr="00B91FB6">
        <w:rPr>
          <w:rFonts w:cs="Times New Roman"/>
        </w:rPr>
        <w:t>Manica</w:t>
      </w:r>
      <w:proofErr w:type="spellEnd"/>
      <w:r w:rsidRPr="00B91FB6">
        <w:rPr>
          <w:rFonts w:cs="Times New Roman"/>
        </w:rPr>
        <w:t xml:space="preserve"> </w:t>
      </w:r>
      <w:r>
        <w:rPr>
          <w:rFonts w:cs="Times New Roman"/>
        </w:rPr>
        <w:t>Province</w:t>
      </w:r>
      <w:r w:rsidRPr="00B91FB6">
        <w:rPr>
          <w:rFonts w:cs="Times New Roman"/>
        </w:rPr>
        <w:t xml:space="preserve">, Sofala </w:t>
      </w:r>
      <w:r>
        <w:rPr>
          <w:rFonts w:cs="Times New Roman"/>
        </w:rPr>
        <w:t xml:space="preserve">Province </w:t>
      </w:r>
      <w:r w:rsidRPr="00B91FB6">
        <w:rPr>
          <w:rFonts w:cs="Times New Roman"/>
        </w:rPr>
        <w:t xml:space="preserve">will receive standard ITNs, and Tete </w:t>
      </w:r>
      <w:r>
        <w:rPr>
          <w:rFonts w:cs="Times New Roman"/>
        </w:rPr>
        <w:t xml:space="preserve">Province </w:t>
      </w:r>
      <w:r w:rsidRPr="00B91FB6">
        <w:rPr>
          <w:rFonts w:cs="Times New Roman"/>
        </w:rPr>
        <w:t xml:space="preserve">will receive PBO ITNs. This </w:t>
      </w:r>
      <w:r>
        <w:rPr>
          <w:rFonts w:cs="Times New Roman"/>
        </w:rPr>
        <w:t xml:space="preserve">will </w:t>
      </w:r>
      <w:r w:rsidRPr="00B91FB6">
        <w:rPr>
          <w:rFonts w:cs="Times New Roman"/>
        </w:rPr>
        <w:t xml:space="preserve">allow for an observational comparison between </w:t>
      </w:r>
      <w:r>
        <w:rPr>
          <w:rFonts w:cs="Times New Roman"/>
        </w:rPr>
        <w:t>the three ITN types</w:t>
      </w:r>
      <w:r w:rsidRPr="00B91FB6">
        <w:rPr>
          <w:rFonts w:cs="Times New Roman"/>
        </w:rPr>
        <w:t xml:space="preserve"> and standard ITNs in the West evaluation. While choices for comparison are limited to districts within a province receiving a single net type, we have made every effort to choose neighboring study districts sharing a common ecology and socioeconomic status. Comparator districts are similar with respect to vector species composition and known insecticide resistance profiles, and general malaria burden (prevalence and estimated case incidence). </w:t>
      </w:r>
    </w:p>
    <w:p w14:paraId="0053C79A" w14:textId="77777777" w:rsidR="00A33D7C" w:rsidRDefault="00A33D7C" w:rsidP="003A6C24">
      <w:pPr>
        <w:pStyle w:val="Heading2"/>
      </w:pPr>
    </w:p>
    <w:p w14:paraId="767AB122" w14:textId="44D37C49" w:rsidR="003A6C24" w:rsidRPr="0033496F" w:rsidRDefault="003A6C24" w:rsidP="003A6C24">
      <w:pPr>
        <w:pStyle w:val="Heading2"/>
      </w:pPr>
      <w:r w:rsidRPr="0033496F">
        <w:t>Nigeria</w:t>
      </w:r>
    </w:p>
    <w:p w14:paraId="5BEA55F8" w14:textId="0C85276F" w:rsidR="003A6C24" w:rsidRPr="0033496F" w:rsidRDefault="006221E7" w:rsidP="003A6C24">
      <w:pPr>
        <w:pStyle w:val="Heading3"/>
      </w:pPr>
      <w:r>
        <w:t>General background</w:t>
      </w:r>
    </w:p>
    <w:p w14:paraId="47F0E53B" w14:textId="4F0E81B3" w:rsidR="003A6C24" w:rsidRDefault="003A6C24" w:rsidP="003A6C24">
      <w:pPr>
        <w:rPr>
          <w:rFonts w:cs="Times New Roman"/>
        </w:rPr>
      </w:pPr>
      <w:r w:rsidRPr="006D6A86">
        <w:rPr>
          <w:rFonts w:cs="Times New Roman"/>
        </w:rPr>
        <w:t>Nigeria is in West Africa, bordered by Niger to the north and Benin and Cameroon to the west and east, respectively. Nigeria is the most populous country in Africa: an estimated 211 million people [7</w:t>
      </w:r>
      <w:r w:rsidR="003675CB">
        <w:rPr>
          <w:rFonts w:cs="Times New Roman"/>
        </w:rPr>
        <w:t>8</w:t>
      </w:r>
      <w:r w:rsidRPr="006D6A86">
        <w:rPr>
          <w:rFonts w:cs="Times New Roman"/>
        </w:rPr>
        <w:t xml:space="preserve">]. The country is divided into 36 states, which are further subdivided into 774 local government areas (LGAs). </w:t>
      </w:r>
    </w:p>
    <w:p w14:paraId="0A4C6FB6" w14:textId="77777777" w:rsidR="006221E7" w:rsidRPr="006D6A86" w:rsidRDefault="006221E7" w:rsidP="003A6C24">
      <w:pPr>
        <w:rPr>
          <w:rFonts w:cs="Times New Roman"/>
        </w:rPr>
      </w:pPr>
    </w:p>
    <w:p w14:paraId="5D676716" w14:textId="77777777" w:rsidR="003A6C24" w:rsidRPr="006D6A86" w:rsidRDefault="003A6C24" w:rsidP="003A6C24">
      <w:pPr>
        <w:pStyle w:val="Heading3"/>
      </w:pPr>
      <w:r w:rsidRPr="006D6A86">
        <w:t>Local malaria control context</w:t>
      </w:r>
    </w:p>
    <w:p w14:paraId="62EAAD27" w14:textId="324BED71" w:rsidR="003A6C24" w:rsidRPr="006D6A86" w:rsidRDefault="003A6C24" w:rsidP="003A6C24">
      <w:pPr>
        <w:rPr>
          <w:rFonts w:cs="Times New Roman"/>
          <w:iCs/>
          <w:lang w:val="en-GB"/>
        </w:rPr>
      </w:pPr>
      <w:r w:rsidRPr="006D6A86">
        <w:rPr>
          <w:rFonts w:cs="Times New Roman"/>
          <w:iCs/>
          <w:lang w:val="en-GB"/>
        </w:rPr>
        <w:t xml:space="preserve">Malaria is endemic in Nigeria and a major public health concern, especially for children under 5 and pregnant women. In 2017, there were an estimated 53.7 million malaria cases in the country, representing almost 25% of the entire global burden </w:t>
      </w:r>
      <w:r w:rsidRPr="006D6A86">
        <w:rPr>
          <w:rFonts w:eastAsia="Times New Roman" w:cs="Times New Roman"/>
          <w:color w:val="000000"/>
        </w:rPr>
        <w:t>[</w:t>
      </w:r>
      <w:r w:rsidR="003675CB">
        <w:rPr>
          <w:rFonts w:eastAsia="Times New Roman" w:cs="Times New Roman"/>
          <w:color w:val="000000"/>
        </w:rPr>
        <w:t>79</w:t>
      </w:r>
      <w:r w:rsidRPr="006D6A86">
        <w:rPr>
          <w:rFonts w:eastAsia="Times New Roman" w:cs="Times New Roman"/>
          <w:color w:val="000000"/>
        </w:rPr>
        <w:t>]</w:t>
      </w:r>
      <w:r w:rsidRPr="006D6A86">
        <w:rPr>
          <w:rFonts w:cs="Times New Roman"/>
          <w:iCs/>
          <w:lang w:val="en-GB"/>
        </w:rPr>
        <w:t xml:space="preserve">. Seventy-six percent of the population lives in areas defined by the World Health Organization as at high risk of malaria transmission, while the remaining 24% lives in areas of moderate to low transmission </w:t>
      </w:r>
      <w:r w:rsidRPr="006D6A86">
        <w:rPr>
          <w:rFonts w:eastAsia="Times New Roman" w:cs="Times New Roman"/>
          <w:color w:val="000000"/>
        </w:rPr>
        <w:t>[8</w:t>
      </w:r>
      <w:r w:rsidR="007D4701">
        <w:rPr>
          <w:rFonts w:eastAsia="Times New Roman" w:cs="Times New Roman"/>
          <w:color w:val="000000"/>
        </w:rPr>
        <w:t>0</w:t>
      </w:r>
      <w:r w:rsidRPr="006D6A86">
        <w:rPr>
          <w:rFonts w:eastAsia="Times New Roman" w:cs="Times New Roman"/>
          <w:color w:val="000000"/>
        </w:rPr>
        <w:t>]</w:t>
      </w:r>
      <w:r w:rsidRPr="006D6A86">
        <w:rPr>
          <w:rFonts w:cs="Times New Roman"/>
          <w:lang w:val="en-GB"/>
        </w:rPr>
        <w:t>.</w:t>
      </w:r>
      <w:r w:rsidRPr="006D6A86">
        <w:rPr>
          <w:rFonts w:cs="Times New Roman"/>
          <w:iCs/>
          <w:lang w:val="en-GB"/>
        </w:rPr>
        <w:t xml:space="preserve"> </w:t>
      </w:r>
    </w:p>
    <w:p w14:paraId="60019C2A" w14:textId="77777777" w:rsidR="003A6C24" w:rsidRPr="006D6A86" w:rsidRDefault="003A6C24" w:rsidP="003A6C24">
      <w:pPr>
        <w:rPr>
          <w:rFonts w:cs="Times New Roman"/>
          <w:iCs/>
          <w:lang w:val="en-GB"/>
        </w:rPr>
      </w:pPr>
    </w:p>
    <w:p w14:paraId="38D0DFC9" w14:textId="36512EA5" w:rsidR="003A6C24" w:rsidRDefault="003A6C24" w:rsidP="003A6C24">
      <w:pPr>
        <w:rPr>
          <w:rFonts w:cs="Times New Roman"/>
          <w:iCs/>
          <w:lang w:val="en-GB"/>
        </w:rPr>
      </w:pPr>
      <w:r w:rsidRPr="006D6A86">
        <w:rPr>
          <w:rFonts w:cs="Times New Roman"/>
          <w:lang w:val="en-GB"/>
        </w:rPr>
        <w:t xml:space="preserve">The primary malaria prevention strategy in Nigeria is the universal distribution of ITNs. The </w:t>
      </w:r>
      <w:r w:rsidRPr="006D6A86">
        <w:rPr>
          <w:rFonts w:cs="Times New Roman"/>
          <w:lang w:val="en-GB"/>
        </w:rPr>
        <w:lastRenderedPageBreak/>
        <w:t xml:space="preserve">2018 Demographic and Health Survey indicated that 62% of households owned at least one ITN, and 43% of those surveyed reported having slept under an ITN the night before </w:t>
      </w:r>
      <w:r w:rsidRPr="006D6A86">
        <w:rPr>
          <w:rFonts w:eastAsia="Times New Roman" w:cs="Times New Roman"/>
          <w:color w:val="000000"/>
        </w:rPr>
        <w:t>[8</w:t>
      </w:r>
      <w:r w:rsidR="007D4701">
        <w:rPr>
          <w:rFonts w:eastAsia="Times New Roman" w:cs="Times New Roman"/>
          <w:color w:val="000000"/>
        </w:rPr>
        <w:t>1</w:t>
      </w:r>
      <w:r w:rsidRPr="006D6A86">
        <w:rPr>
          <w:rFonts w:eastAsia="Times New Roman" w:cs="Times New Roman"/>
          <w:color w:val="000000"/>
        </w:rPr>
        <w:t>]</w:t>
      </w:r>
      <w:r w:rsidRPr="006D6A86">
        <w:rPr>
          <w:rFonts w:cs="Times New Roman"/>
          <w:lang w:val="en-GB"/>
        </w:rPr>
        <w:t xml:space="preserve">. In addition, the National Malaria Strategic Plan 2014–2020 includes targeted scale-up of IRS and expanded larval source management as part of an integrated vector management strategy, though IRS is not yet widely implemented </w:t>
      </w:r>
      <w:r w:rsidRPr="006D6A86">
        <w:rPr>
          <w:rFonts w:eastAsia="Times New Roman" w:cs="Times New Roman"/>
          <w:color w:val="000000"/>
        </w:rPr>
        <w:t>[8</w:t>
      </w:r>
      <w:r w:rsidR="001A0382">
        <w:rPr>
          <w:rFonts w:eastAsia="Times New Roman" w:cs="Times New Roman"/>
          <w:color w:val="000000"/>
        </w:rPr>
        <w:t>0</w:t>
      </w:r>
      <w:r w:rsidRPr="006D6A86">
        <w:rPr>
          <w:rFonts w:eastAsia="Times New Roman" w:cs="Times New Roman"/>
          <w:color w:val="000000"/>
        </w:rPr>
        <w:t>]</w:t>
      </w:r>
      <w:r w:rsidRPr="006D6A86">
        <w:rPr>
          <w:rFonts w:cs="Times New Roman"/>
          <w:lang w:val="en-GB"/>
        </w:rPr>
        <w:t>. The dominant malaria vector</w:t>
      </w:r>
      <w:r w:rsidRPr="00B91FB6">
        <w:rPr>
          <w:rFonts w:cs="Times New Roman"/>
          <w:lang w:val="en-GB"/>
        </w:rPr>
        <w:t xml:space="preserve"> species group in Nigeria (</w:t>
      </w:r>
      <w:r w:rsidRPr="00E07A91">
        <w:rPr>
          <w:rFonts w:cs="Times New Roman"/>
          <w:i/>
          <w:iCs/>
          <w:lang w:val="en-GB"/>
        </w:rPr>
        <w:t>Anopheles gambiae</w:t>
      </w:r>
      <w:r w:rsidRPr="00B91FB6">
        <w:rPr>
          <w:rFonts w:cs="Times New Roman"/>
          <w:lang w:val="en-GB"/>
        </w:rPr>
        <w:t xml:space="preserve"> </w:t>
      </w:r>
      <w:proofErr w:type="spellStart"/>
      <w:r w:rsidRPr="00B91FB6">
        <w:rPr>
          <w:rFonts w:cs="Times New Roman"/>
          <w:lang w:val="en-GB"/>
        </w:rPr>
        <w:t>s.l.</w:t>
      </w:r>
      <w:proofErr w:type="spellEnd"/>
      <w:r w:rsidRPr="00B91FB6">
        <w:rPr>
          <w:rFonts w:cs="Times New Roman"/>
          <w:lang w:val="en-GB"/>
        </w:rPr>
        <w:t>) has been shown to bite readily both indoors and outdoors and has demonstrated moderate to high levels of resistance to pyrethroids, the class of insecticide used on ITNs c</w:t>
      </w:r>
      <w:r w:rsidRPr="00B91FB6">
        <w:rPr>
          <w:rFonts w:cs="Times New Roman"/>
          <w:iCs/>
          <w:lang w:val="en-GB"/>
        </w:rPr>
        <w:t>urrently distributed throughout the country.</w:t>
      </w:r>
    </w:p>
    <w:p w14:paraId="3A564EC2" w14:textId="77777777" w:rsidR="006221E7" w:rsidRDefault="006221E7" w:rsidP="003A6C24">
      <w:pPr>
        <w:rPr>
          <w:rFonts w:cs="Times New Roman"/>
          <w:iCs/>
          <w:lang w:val="en-GB"/>
        </w:rPr>
      </w:pPr>
    </w:p>
    <w:p w14:paraId="08B84114" w14:textId="77777777" w:rsidR="003A6C24" w:rsidRPr="00B91FB6" w:rsidRDefault="003A6C24" w:rsidP="003A6C24">
      <w:pPr>
        <w:pStyle w:val="Heading3"/>
      </w:pPr>
      <w:r w:rsidRPr="00B91FB6">
        <w:t>Study sites</w:t>
      </w:r>
    </w:p>
    <w:p w14:paraId="1FA540D5" w14:textId="77777777" w:rsidR="003A6C24" w:rsidRDefault="003A6C24" w:rsidP="003A6C24">
      <w:pPr>
        <w:rPr>
          <w:rFonts w:cs="Times New Roman"/>
          <w:i/>
          <w:iCs/>
          <w:lang w:val="en-GB"/>
        </w:rPr>
      </w:pPr>
      <w:r w:rsidRPr="00B91FB6">
        <w:rPr>
          <w:rFonts w:cs="Times New Roman"/>
        </w:rPr>
        <w:t>The four study LGAs are Asa and Moro in Kwara State and Ife North and Ejigbo in Osun State</w:t>
      </w:r>
      <w:r>
        <w:rPr>
          <w:rFonts w:cs="Times New Roman"/>
        </w:rPr>
        <w:t xml:space="preserve"> (shown on the map in Figure 3)</w:t>
      </w:r>
      <w:r w:rsidRPr="00B91FB6">
        <w:rPr>
          <w:rFonts w:cs="Times New Roman"/>
        </w:rPr>
        <w:t>. The population in the</w:t>
      </w:r>
      <w:r>
        <w:rPr>
          <w:rFonts w:cs="Times New Roman"/>
        </w:rPr>
        <w:t>se</w:t>
      </w:r>
      <w:r w:rsidRPr="00B91FB6">
        <w:rPr>
          <w:rFonts w:cs="Times New Roman"/>
        </w:rPr>
        <w:t xml:space="preserve"> </w:t>
      </w:r>
      <w:r>
        <w:rPr>
          <w:rFonts w:cs="Times New Roman"/>
        </w:rPr>
        <w:t xml:space="preserve">areas </w:t>
      </w:r>
      <w:r w:rsidRPr="00B91FB6">
        <w:rPr>
          <w:rFonts w:cs="Times New Roman"/>
        </w:rPr>
        <w:t xml:space="preserve">ranges from 100,000 to 150,000 people. Study LGAs are in the rain forest or savannah ecological zones and are peri-urban and agricultural. The dominant languages are Yoruba and English, and the most common religions practiced are Islam, Christianity, and traditional religions. Though malaria transmission occurs year-round in Kwara and Osun </w:t>
      </w:r>
      <w:r>
        <w:rPr>
          <w:rFonts w:cs="Times New Roman"/>
        </w:rPr>
        <w:t>S</w:t>
      </w:r>
      <w:r w:rsidRPr="00B91FB6">
        <w:rPr>
          <w:rFonts w:cs="Times New Roman"/>
        </w:rPr>
        <w:t>tates, there are seasonal peaks in case incidence and mosquito abundance, typically highest between September and November</w:t>
      </w:r>
      <w:r>
        <w:rPr>
          <w:rFonts w:cs="Times New Roman"/>
        </w:rPr>
        <w:t>,</w:t>
      </w:r>
      <w:r w:rsidRPr="00B91FB6">
        <w:rPr>
          <w:rFonts w:cs="Times New Roman"/>
        </w:rPr>
        <w:t xml:space="preserve"> during the rainy season. </w:t>
      </w:r>
      <w:r w:rsidRPr="00B91FB6">
        <w:rPr>
          <w:rFonts w:cs="Times New Roman"/>
          <w:lang w:val="en-GB"/>
        </w:rPr>
        <w:t xml:space="preserve">Study activities will be conducted in parallel in </w:t>
      </w:r>
      <w:r>
        <w:rPr>
          <w:rFonts w:cs="Times New Roman"/>
          <w:lang w:val="en-GB"/>
        </w:rPr>
        <w:t xml:space="preserve">the </w:t>
      </w:r>
      <w:r w:rsidRPr="00B91FB6">
        <w:rPr>
          <w:rFonts w:cs="Times New Roman"/>
          <w:lang w:val="en-GB"/>
        </w:rPr>
        <w:t>pilot study LGA</w:t>
      </w:r>
      <w:r>
        <w:rPr>
          <w:rFonts w:cs="Times New Roman"/>
          <w:lang w:val="en-GB"/>
        </w:rPr>
        <w:t>s,</w:t>
      </w:r>
      <w:r w:rsidRPr="00B91FB6">
        <w:rPr>
          <w:rFonts w:cs="Times New Roman"/>
          <w:lang w:val="en-GB"/>
        </w:rPr>
        <w:t xml:space="preserve"> and the impacts of the distribution campaign will be compared across net types. Especially appealing about the proposed study site</w:t>
      </w:r>
      <w:r>
        <w:rPr>
          <w:rFonts w:cs="Times New Roman"/>
          <w:lang w:val="en-GB"/>
        </w:rPr>
        <w:t>s</w:t>
      </w:r>
      <w:r w:rsidRPr="00B91FB6">
        <w:rPr>
          <w:rFonts w:cs="Times New Roman"/>
          <w:lang w:val="en-GB"/>
        </w:rPr>
        <w:t xml:space="preserve"> is that </w:t>
      </w:r>
      <w:r>
        <w:rPr>
          <w:rFonts w:cs="Times New Roman"/>
          <w:lang w:val="en-GB"/>
        </w:rPr>
        <w:t>the US President’s Malaria Initiative</w:t>
      </w:r>
      <w:r w:rsidRPr="00B91FB6">
        <w:rPr>
          <w:rFonts w:cs="Times New Roman"/>
          <w:lang w:val="en-GB"/>
        </w:rPr>
        <w:t xml:space="preserve"> and </w:t>
      </w:r>
      <w:r>
        <w:rPr>
          <w:rFonts w:cs="Times New Roman"/>
        </w:rPr>
        <w:t>national malaria control program</w:t>
      </w:r>
      <w:r w:rsidRPr="00B91FB6">
        <w:rPr>
          <w:rFonts w:cs="Times New Roman"/>
          <w:lang w:val="en-GB"/>
        </w:rPr>
        <w:t xml:space="preserve"> recently documented and characterized widespread, high</w:t>
      </w:r>
      <w:r>
        <w:rPr>
          <w:rFonts w:cs="Times New Roman"/>
          <w:lang w:val="en-GB"/>
        </w:rPr>
        <w:t>-</w:t>
      </w:r>
      <w:r w:rsidRPr="00B91FB6">
        <w:rPr>
          <w:rFonts w:cs="Times New Roman"/>
          <w:lang w:val="en-GB"/>
        </w:rPr>
        <w:t>intensity resistance to multiple pyrethroids (including permethrin, deltamethrin, alpha</w:t>
      </w:r>
      <w:r>
        <w:rPr>
          <w:rFonts w:cs="Times New Roman"/>
          <w:lang w:val="en-GB"/>
        </w:rPr>
        <w:t>-</w:t>
      </w:r>
      <w:r w:rsidRPr="00B91FB6">
        <w:rPr>
          <w:rFonts w:cs="Times New Roman"/>
          <w:lang w:val="en-GB"/>
        </w:rPr>
        <w:t xml:space="preserve">cypermethrin, and </w:t>
      </w:r>
      <w:proofErr w:type="spellStart"/>
      <w:r w:rsidRPr="00B91FB6">
        <w:rPr>
          <w:rFonts w:cs="Times New Roman"/>
          <w:lang w:val="en-GB"/>
        </w:rPr>
        <w:t>lamdacyhalothrin</w:t>
      </w:r>
      <w:proofErr w:type="spellEnd"/>
      <w:r w:rsidRPr="00B91FB6">
        <w:rPr>
          <w:rFonts w:cs="Times New Roman"/>
          <w:lang w:val="en-GB"/>
        </w:rPr>
        <w:t xml:space="preserve">) by multiple mechanisms (including metabolic resistance partially mitigated by PBO), highlighting </w:t>
      </w:r>
      <w:r w:rsidRPr="00B91FB6">
        <w:rPr>
          <w:rFonts w:cs="Times New Roman"/>
          <w:lang w:val="en-GB"/>
        </w:rPr>
        <w:lastRenderedPageBreak/>
        <w:t>the opportunity to evaluate this dual</w:t>
      </w:r>
      <w:r>
        <w:rPr>
          <w:rFonts w:cs="Times New Roman"/>
          <w:lang w:val="en-GB"/>
        </w:rPr>
        <w:t xml:space="preserve"> active ingredient</w:t>
      </w:r>
      <w:r w:rsidRPr="00B91FB6">
        <w:rPr>
          <w:rFonts w:cs="Times New Roman"/>
          <w:lang w:val="en-GB"/>
        </w:rPr>
        <w:t xml:space="preserve"> ITN product in the type of environment where it is most needed</w:t>
      </w:r>
      <w:r w:rsidRPr="00B91FB6">
        <w:rPr>
          <w:rFonts w:cs="Times New Roman"/>
          <w:i/>
          <w:iCs/>
          <w:lang w:val="en-GB"/>
        </w:rPr>
        <w:t>.</w:t>
      </w:r>
    </w:p>
    <w:p w14:paraId="66ACD203" w14:textId="77777777" w:rsidR="006221E7" w:rsidRDefault="006221E7" w:rsidP="003A6C24">
      <w:pPr>
        <w:rPr>
          <w:rFonts w:cs="Times New Roman"/>
          <w:i/>
          <w:iCs/>
          <w:lang w:val="en-GB"/>
        </w:rPr>
      </w:pPr>
    </w:p>
    <w:p w14:paraId="399C4D86" w14:textId="77777777" w:rsidR="003A6C24" w:rsidRPr="0033496F" w:rsidRDefault="003A6C24" w:rsidP="003A6C24">
      <w:pPr>
        <w:pStyle w:val="Heading2"/>
      </w:pPr>
      <w:r w:rsidRPr="0033496F">
        <w:t>Rwanda</w:t>
      </w:r>
    </w:p>
    <w:p w14:paraId="3C56D324" w14:textId="4F06EFC3" w:rsidR="003A6C24" w:rsidRPr="0033496F" w:rsidRDefault="006221E7" w:rsidP="003A6C24">
      <w:pPr>
        <w:pStyle w:val="Heading3"/>
      </w:pPr>
      <w:r>
        <w:t>General b</w:t>
      </w:r>
      <w:r w:rsidR="003A6C24" w:rsidRPr="0033496F">
        <w:t>ackground</w:t>
      </w:r>
    </w:p>
    <w:p w14:paraId="69EECE2A" w14:textId="487CA4D0" w:rsidR="003A6C24" w:rsidRDefault="003A6C24" w:rsidP="003A6C24">
      <w:pPr>
        <w:rPr>
          <w:rFonts w:cs="Times New Roman"/>
        </w:rPr>
      </w:pPr>
      <w:r w:rsidRPr="00B91FB6">
        <w:rPr>
          <w:rFonts w:cs="Times New Roman"/>
        </w:rPr>
        <w:t xml:space="preserve">Rwanda is a landlocked country in </w:t>
      </w:r>
      <w:r>
        <w:rPr>
          <w:rFonts w:cs="Times New Roman"/>
        </w:rPr>
        <w:t>C</w:t>
      </w:r>
      <w:r w:rsidRPr="00B91FB6">
        <w:rPr>
          <w:rFonts w:cs="Times New Roman"/>
        </w:rPr>
        <w:t>entral Africa</w:t>
      </w:r>
      <w:r>
        <w:rPr>
          <w:rFonts w:cs="Times New Roman"/>
        </w:rPr>
        <w:t xml:space="preserve"> bordered by Burundi, Democratic Republic of the Congo, Tanzania, and Uganda</w:t>
      </w:r>
      <w:r w:rsidRPr="00B91FB6">
        <w:rPr>
          <w:rFonts w:cs="Times New Roman"/>
        </w:rPr>
        <w:t xml:space="preserve">. </w:t>
      </w:r>
      <w:r>
        <w:rPr>
          <w:rFonts w:cs="Times New Roman"/>
        </w:rPr>
        <w:t>With</w:t>
      </w:r>
      <w:r w:rsidRPr="00B91FB6">
        <w:rPr>
          <w:rFonts w:cs="Times New Roman"/>
        </w:rPr>
        <w:t xml:space="preserve"> 12 million people</w:t>
      </w:r>
      <w:r>
        <w:rPr>
          <w:rFonts w:cs="Times New Roman"/>
        </w:rPr>
        <w:t xml:space="preserve"> living within its 26,000 square kilometers,</w:t>
      </w:r>
      <w:r w:rsidRPr="00B91FB6">
        <w:rPr>
          <w:rFonts w:cs="Times New Roman"/>
        </w:rPr>
        <w:t xml:space="preserve"> </w:t>
      </w:r>
      <w:r>
        <w:rPr>
          <w:rFonts w:cs="Times New Roman"/>
        </w:rPr>
        <w:t xml:space="preserve">the country is </w:t>
      </w:r>
      <w:r w:rsidRPr="006D6A86">
        <w:rPr>
          <w:rFonts w:cs="Times New Roman"/>
        </w:rPr>
        <w:t>one of the most densely populated in Africa [</w:t>
      </w:r>
      <w:r w:rsidR="00D00ABA" w:rsidRPr="00D00ABA">
        <w:rPr>
          <w:rFonts w:cs="Times New Roman"/>
        </w:rPr>
        <w:t>82</w:t>
      </w:r>
      <w:r w:rsidRPr="006D6A86">
        <w:rPr>
          <w:rFonts w:cs="Times New Roman"/>
        </w:rPr>
        <w:t xml:space="preserve">]. Over 80% of the population resides in rural areas </w:t>
      </w:r>
      <w:r w:rsidRPr="006D6A86">
        <w:rPr>
          <w:rFonts w:eastAsia="Times New Roman" w:cs="Times New Roman"/>
          <w:color w:val="000000"/>
        </w:rPr>
        <w:t>[8</w:t>
      </w:r>
      <w:r w:rsidR="00D00ABA">
        <w:rPr>
          <w:rFonts w:eastAsia="Times New Roman" w:cs="Times New Roman"/>
          <w:color w:val="000000"/>
        </w:rPr>
        <w:t>3</w:t>
      </w:r>
      <w:r w:rsidRPr="006D6A86">
        <w:rPr>
          <w:rFonts w:eastAsia="Times New Roman" w:cs="Times New Roman"/>
          <w:color w:val="000000"/>
        </w:rPr>
        <w:t>]</w:t>
      </w:r>
      <w:r w:rsidRPr="006D6A86">
        <w:rPr>
          <w:rFonts w:cs="Times New Roman"/>
        </w:rPr>
        <w:t>. The country’s growing service sector provides over 50% of GDP, while the agricultural sector contributes roughly 30%. [8</w:t>
      </w:r>
      <w:r w:rsidR="00D00ABA">
        <w:rPr>
          <w:rFonts w:cs="Times New Roman"/>
        </w:rPr>
        <w:t>2</w:t>
      </w:r>
      <w:r w:rsidRPr="006D6A86">
        <w:rPr>
          <w:rFonts w:cs="Times New Roman"/>
        </w:rPr>
        <w:t>, 8</w:t>
      </w:r>
      <w:r w:rsidR="00D00ABA">
        <w:rPr>
          <w:rFonts w:cs="Times New Roman"/>
        </w:rPr>
        <w:t>4</w:t>
      </w:r>
      <w:r w:rsidRPr="006D6A86">
        <w:rPr>
          <w:rFonts w:cs="Times New Roman"/>
        </w:rPr>
        <w:t>]. Despite a slow annual population growth rate of 1.2% experienced in the 90s, between 2002 and 2012, the population grew by an average of 2.6% per year [8</w:t>
      </w:r>
      <w:r w:rsidR="00D00ABA">
        <w:rPr>
          <w:rFonts w:cs="Times New Roman"/>
        </w:rPr>
        <w:t>3</w:t>
      </w:r>
      <w:r w:rsidRPr="006D6A86">
        <w:rPr>
          <w:rFonts w:cs="Times New Roman"/>
        </w:rPr>
        <w:t>]. Recently the fertility rate has declined, going from 6.1 in 2005 to 4.2 in 2014 [8</w:t>
      </w:r>
      <w:r w:rsidR="00D00ABA">
        <w:rPr>
          <w:rFonts w:cs="Times New Roman"/>
        </w:rPr>
        <w:t>5</w:t>
      </w:r>
      <w:r w:rsidRPr="006D6A86">
        <w:rPr>
          <w:rFonts w:cs="Times New Roman"/>
        </w:rPr>
        <w:t xml:space="preserve">]. Kinyarwanda is the primary language, followed by English and French. Kiswahili is also spoken in select areas bordering countries where it is widely spoken. The religious background of the country is 93% Christian, 2% Muslim, and less than .5% reporting no religious affiliation </w:t>
      </w:r>
      <w:r w:rsidRPr="006D6A86">
        <w:rPr>
          <w:rFonts w:eastAsia="Times New Roman" w:cs="Times New Roman"/>
          <w:color w:val="000000"/>
        </w:rPr>
        <w:t>[8</w:t>
      </w:r>
      <w:r w:rsidR="00D00ABA">
        <w:rPr>
          <w:rFonts w:eastAsia="Times New Roman" w:cs="Times New Roman"/>
          <w:color w:val="000000"/>
        </w:rPr>
        <w:t>4</w:t>
      </w:r>
      <w:r w:rsidRPr="006D6A86">
        <w:rPr>
          <w:rFonts w:eastAsia="Times New Roman" w:cs="Times New Roman"/>
          <w:color w:val="000000"/>
        </w:rPr>
        <w:t>]</w:t>
      </w:r>
      <w:r w:rsidRPr="006D6A86">
        <w:rPr>
          <w:rFonts w:cs="Times New Roman"/>
        </w:rPr>
        <w:t xml:space="preserve">. To foster a unified identity and to continue reconciliation efforts after the 1994 genocide, the government introduced a new flag and national anthem in 2001 </w:t>
      </w:r>
      <w:r w:rsidRPr="006D6A86">
        <w:rPr>
          <w:rFonts w:eastAsia="Times New Roman" w:cs="Times New Roman"/>
          <w:color w:val="000000"/>
        </w:rPr>
        <w:t>[8</w:t>
      </w:r>
      <w:r w:rsidR="00D00ABA">
        <w:rPr>
          <w:rFonts w:eastAsia="Times New Roman" w:cs="Times New Roman"/>
          <w:color w:val="000000"/>
        </w:rPr>
        <w:t>6</w:t>
      </w:r>
      <w:r w:rsidRPr="006D6A86">
        <w:rPr>
          <w:rFonts w:eastAsia="Times New Roman" w:cs="Times New Roman"/>
          <w:color w:val="000000"/>
        </w:rPr>
        <w:t>]</w:t>
      </w:r>
      <w:r w:rsidRPr="006D6A86">
        <w:rPr>
          <w:rFonts w:cs="Times New Roman"/>
        </w:rPr>
        <w:t>.</w:t>
      </w:r>
    </w:p>
    <w:p w14:paraId="37B78B14" w14:textId="77777777" w:rsidR="006221E7" w:rsidRDefault="006221E7" w:rsidP="003A6C24">
      <w:pPr>
        <w:rPr>
          <w:rFonts w:cs="Times New Roman"/>
        </w:rPr>
      </w:pPr>
    </w:p>
    <w:p w14:paraId="4094E0A8" w14:textId="77777777" w:rsidR="003A6C24" w:rsidRPr="0033496F" w:rsidRDefault="003A6C24" w:rsidP="003A6C24">
      <w:pPr>
        <w:pStyle w:val="Heading3"/>
      </w:pPr>
      <w:r w:rsidRPr="0033496F">
        <w:t>Local malaria control context</w:t>
      </w:r>
    </w:p>
    <w:p w14:paraId="2A7B6A2B" w14:textId="1530553B" w:rsidR="003A6C24" w:rsidRDefault="003A6C24" w:rsidP="003A6C24">
      <w:pPr>
        <w:rPr>
          <w:rFonts w:cs="Times New Roman"/>
        </w:rPr>
      </w:pPr>
      <w:r w:rsidRPr="00B91FB6">
        <w:rPr>
          <w:rFonts w:cs="Times New Roman"/>
        </w:rPr>
        <w:t xml:space="preserve">Malaria transmission is high throughout the year, but peaks from April to June and from October to December following </w:t>
      </w:r>
      <w:r>
        <w:rPr>
          <w:rFonts w:cs="Times New Roman"/>
        </w:rPr>
        <w:t xml:space="preserve">the two </w:t>
      </w:r>
      <w:r w:rsidRPr="00B91FB6">
        <w:rPr>
          <w:rFonts w:cs="Times New Roman"/>
        </w:rPr>
        <w:t>rainy seasons. Approximately 7% of children under 5 and 11% of children 5</w:t>
      </w:r>
      <w:r>
        <w:rPr>
          <w:rFonts w:cs="Times New Roman"/>
        </w:rPr>
        <w:t xml:space="preserve"> to </w:t>
      </w:r>
      <w:r w:rsidRPr="00B91FB6">
        <w:rPr>
          <w:rFonts w:cs="Times New Roman"/>
        </w:rPr>
        <w:t>14 tested positive for malaria by microscopy</w:t>
      </w:r>
      <w:r>
        <w:rPr>
          <w:rFonts w:cs="Times New Roman"/>
        </w:rPr>
        <w:t>, according to</w:t>
      </w:r>
      <w:r w:rsidRPr="00B91FB6">
        <w:rPr>
          <w:rFonts w:cs="Times New Roman"/>
        </w:rPr>
        <w:t xml:space="preserve"> the 2017 </w:t>
      </w:r>
      <w:r>
        <w:rPr>
          <w:rFonts w:cs="Times New Roman"/>
        </w:rPr>
        <w:t xml:space="preserve">Malaria </w:t>
      </w:r>
      <w:r>
        <w:rPr>
          <w:rFonts w:cs="Times New Roman"/>
        </w:rPr>
        <w:lastRenderedPageBreak/>
        <w:t>Indicator Survey</w:t>
      </w:r>
      <w:r w:rsidRPr="00B91FB6">
        <w:rPr>
          <w:rFonts w:cs="Times New Roman"/>
        </w:rPr>
        <w:t xml:space="preserve">. In both cases, prevalence among children </w:t>
      </w:r>
      <w:r>
        <w:rPr>
          <w:rFonts w:cs="Times New Roman"/>
        </w:rPr>
        <w:t xml:space="preserve">in </w:t>
      </w:r>
      <w:r w:rsidRPr="00B91FB6">
        <w:rPr>
          <w:rFonts w:cs="Times New Roman"/>
        </w:rPr>
        <w:t xml:space="preserve">rural areas and children </w:t>
      </w:r>
      <w:r>
        <w:rPr>
          <w:rFonts w:cs="Times New Roman"/>
        </w:rPr>
        <w:t xml:space="preserve">in </w:t>
      </w:r>
      <w:r w:rsidRPr="00B91FB6">
        <w:rPr>
          <w:rFonts w:cs="Times New Roman"/>
        </w:rPr>
        <w:t xml:space="preserve">the lowest wealth quintile was higher than </w:t>
      </w:r>
      <w:r>
        <w:rPr>
          <w:rFonts w:cs="Times New Roman"/>
        </w:rPr>
        <w:t xml:space="preserve">among </w:t>
      </w:r>
      <w:r w:rsidRPr="00B91FB6">
        <w:rPr>
          <w:rFonts w:cs="Times New Roman"/>
        </w:rPr>
        <w:t xml:space="preserve">those in urban areas and those in the highest wealth </w:t>
      </w:r>
      <w:r w:rsidRPr="006D6A86">
        <w:rPr>
          <w:rFonts w:cs="Times New Roman"/>
        </w:rPr>
        <w:t xml:space="preserve">quintile </w:t>
      </w:r>
      <w:r w:rsidRPr="006D6A86">
        <w:rPr>
          <w:rFonts w:eastAsia="Times New Roman" w:cs="Times New Roman"/>
          <w:color w:val="000000"/>
        </w:rPr>
        <w:t>[20]</w:t>
      </w:r>
      <w:r w:rsidRPr="006D6A86">
        <w:rPr>
          <w:rFonts w:cs="Times New Roman"/>
        </w:rPr>
        <w:t>. Fr</w:t>
      </w:r>
      <w:r w:rsidRPr="00B91FB6">
        <w:rPr>
          <w:rFonts w:cs="Times New Roman"/>
        </w:rPr>
        <w:t xml:space="preserve">om 2005 to 2011, Rwanda significantly reduced its malaria burden, with overall incidence declining 85%, through implementation and scale-up of interventions. </w:t>
      </w:r>
      <w:r>
        <w:rPr>
          <w:rFonts w:cs="Times New Roman"/>
        </w:rPr>
        <w:t>F</w:t>
      </w:r>
      <w:r w:rsidRPr="00B91FB6">
        <w:rPr>
          <w:rFonts w:cs="Times New Roman"/>
        </w:rPr>
        <w:t xml:space="preserve">rom 2012 to 2016, </w:t>
      </w:r>
      <w:r>
        <w:rPr>
          <w:rFonts w:cs="Times New Roman"/>
        </w:rPr>
        <w:t>however</w:t>
      </w:r>
      <w:r w:rsidRPr="00B91FB6">
        <w:rPr>
          <w:rFonts w:cs="Times New Roman"/>
        </w:rPr>
        <w:t xml:space="preserve">, malaria incidence increased each year. The largest increases were observed in districts in Southern and Eastern Provinces. </w:t>
      </w:r>
      <w:r>
        <w:rPr>
          <w:rFonts w:cs="Times New Roman"/>
        </w:rPr>
        <w:t>The Rwanda Biomedical Centre’s Malaria and Other Parasitic Diseases Division</w:t>
      </w:r>
      <w:r w:rsidRPr="00B91FB6">
        <w:rPr>
          <w:rFonts w:cs="Times New Roman"/>
        </w:rPr>
        <w:t xml:space="preserve"> attributed this increase to several factors</w:t>
      </w:r>
      <w:r>
        <w:rPr>
          <w:rFonts w:cs="Times New Roman"/>
        </w:rPr>
        <w:t>,</w:t>
      </w:r>
      <w:r w:rsidRPr="00B91FB6">
        <w:rPr>
          <w:rFonts w:cs="Times New Roman"/>
        </w:rPr>
        <w:t xml:space="preserve"> including low universal ITN coverage, vector resistance to pyrethroid insecticides, and improvements in health facility reporting and availability of </w:t>
      </w:r>
      <w:r>
        <w:rPr>
          <w:rFonts w:cs="Times New Roman"/>
        </w:rPr>
        <w:t>rapid diagnostic tests</w:t>
      </w:r>
      <w:r w:rsidRPr="00B91FB6">
        <w:rPr>
          <w:rFonts w:cs="Times New Roman"/>
        </w:rPr>
        <w:t xml:space="preserve"> and </w:t>
      </w:r>
      <w:r>
        <w:rPr>
          <w:rFonts w:cs="Times New Roman"/>
        </w:rPr>
        <w:t>artemisinin-based combination therapies</w:t>
      </w:r>
      <w:r w:rsidRPr="00B91FB6">
        <w:rPr>
          <w:rFonts w:cs="Times New Roman"/>
        </w:rPr>
        <w:t xml:space="preserve">. In late 2016 and early 2017, the government of Rwanda distributed more than 5 million ITNs </w:t>
      </w:r>
      <w:r w:rsidRPr="006D6A86">
        <w:rPr>
          <w:rFonts w:cs="Times New Roman"/>
        </w:rPr>
        <w:t xml:space="preserve">through a mass distribution campaign and implemented IRS with an organophosphate insecticide, expanding coverage from three to five districts. From 2016 to 2017, national incidence stabilized </w:t>
      </w:r>
      <w:r w:rsidRPr="006D6A86">
        <w:rPr>
          <w:rFonts w:eastAsia="Times New Roman" w:cs="Times New Roman"/>
          <w:color w:val="000000"/>
        </w:rPr>
        <w:t>[8</w:t>
      </w:r>
      <w:r w:rsidR="00D00ABA">
        <w:rPr>
          <w:rFonts w:eastAsia="Times New Roman" w:cs="Times New Roman"/>
          <w:color w:val="000000"/>
        </w:rPr>
        <w:t>7</w:t>
      </w:r>
      <w:r w:rsidRPr="006D6A86">
        <w:rPr>
          <w:rFonts w:eastAsia="Times New Roman" w:cs="Times New Roman"/>
          <w:color w:val="000000"/>
        </w:rPr>
        <w:t>]</w:t>
      </w:r>
      <w:r w:rsidRPr="006D6A86">
        <w:rPr>
          <w:rFonts w:cs="Times New Roman"/>
        </w:rPr>
        <w:t xml:space="preserve">. According to the 2017 Malaria Indicator Survey, 84% of households reported owning at least one ITN, 92% of which were obtained from mass distribution campaigns, 4% from immunization visits, and 2% during antenatal care visits. Sixty-four percent of household populations reported sleeping under an ITN the night before the survey was conducted, including 69% of pregnant women and 68% of children under 5 years </w:t>
      </w:r>
      <w:r w:rsidRPr="006D6A86">
        <w:rPr>
          <w:rFonts w:eastAsia="Times New Roman" w:cs="Times New Roman"/>
          <w:color w:val="000000"/>
        </w:rPr>
        <w:t>[8</w:t>
      </w:r>
      <w:r w:rsidR="00D00ABA">
        <w:rPr>
          <w:rFonts w:eastAsia="Times New Roman" w:cs="Times New Roman"/>
          <w:color w:val="000000"/>
        </w:rPr>
        <w:t>7</w:t>
      </w:r>
      <w:r w:rsidRPr="006D6A86">
        <w:rPr>
          <w:rFonts w:eastAsia="Times New Roman" w:cs="Times New Roman"/>
          <w:color w:val="000000"/>
        </w:rPr>
        <w:t>]</w:t>
      </w:r>
      <w:r w:rsidRPr="006D6A86">
        <w:rPr>
          <w:rFonts w:cs="Times New Roman"/>
        </w:rPr>
        <w:t>.</w:t>
      </w:r>
    </w:p>
    <w:p w14:paraId="3C7F5B1D" w14:textId="77777777" w:rsidR="006221E7" w:rsidRDefault="006221E7" w:rsidP="003A6C24">
      <w:pPr>
        <w:rPr>
          <w:rFonts w:cs="Times New Roman"/>
        </w:rPr>
      </w:pPr>
    </w:p>
    <w:p w14:paraId="5B262827" w14:textId="77777777" w:rsidR="003A6C24" w:rsidRPr="0033496F" w:rsidRDefault="003A6C24" w:rsidP="003A6C24">
      <w:pPr>
        <w:pStyle w:val="Heading3"/>
      </w:pPr>
      <w:r w:rsidRPr="0033496F">
        <w:t>Study sites</w:t>
      </w:r>
    </w:p>
    <w:p w14:paraId="61DF3EE0" w14:textId="77777777" w:rsidR="003A6C24" w:rsidRDefault="003A6C24" w:rsidP="003A6C24">
      <w:pPr>
        <w:rPr>
          <w:rFonts w:cs="Times New Roman"/>
        </w:rPr>
      </w:pPr>
      <w:r w:rsidRPr="00B91FB6">
        <w:rPr>
          <w:rFonts w:cs="Times New Roman"/>
        </w:rPr>
        <w:t>Three districts will serve as primary study sites for the pilot evaluations</w:t>
      </w:r>
      <w:r>
        <w:rPr>
          <w:rFonts w:cs="Times New Roman"/>
        </w:rPr>
        <w:t>:</w:t>
      </w:r>
      <w:r w:rsidRPr="00B91FB6">
        <w:rPr>
          <w:rFonts w:cs="Times New Roman"/>
        </w:rPr>
        <w:t xml:space="preserve"> </w:t>
      </w:r>
      <w:r>
        <w:rPr>
          <w:rFonts w:cs="Times New Roman"/>
        </w:rPr>
        <w:t xml:space="preserve">Nyamagabe </w:t>
      </w:r>
      <w:r w:rsidRPr="00B91FB6">
        <w:rPr>
          <w:rFonts w:cs="Times New Roman"/>
        </w:rPr>
        <w:t xml:space="preserve">will receive standard ITNs, </w:t>
      </w:r>
      <w:r>
        <w:rPr>
          <w:rFonts w:cs="Times New Roman"/>
        </w:rPr>
        <w:t xml:space="preserve">Karongi </w:t>
      </w:r>
      <w:r w:rsidRPr="00B91FB6">
        <w:rPr>
          <w:rFonts w:cs="Times New Roman"/>
        </w:rPr>
        <w:t xml:space="preserve">will receive IG2 ITNs, and </w:t>
      </w:r>
      <w:r>
        <w:rPr>
          <w:rFonts w:cs="Times New Roman"/>
        </w:rPr>
        <w:t xml:space="preserve">Ruhango </w:t>
      </w:r>
      <w:r w:rsidRPr="00B91FB6">
        <w:rPr>
          <w:rFonts w:cs="Times New Roman"/>
        </w:rPr>
        <w:t xml:space="preserve">will receive standard ITNs and IRS. Ruhango and Nyamagabe are in Southern Province, </w:t>
      </w:r>
      <w:r>
        <w:rPr>
          <w:rFonts w:cs="Times New Roman"/>
        </w:rPr>
        <w:t xml:space="preserve">and </w:t>
      </w:r>
      <w:r w:rsidRPr="00B91FB6">
        <w:rPr>
          <w:rFonts w:cs="Times New Roman"/>
        </w:rPr>
        <w:t>Karongi is in Western Province</w:t>
      </w:r>
      <w:r>
        <w:rPr>
          <w:rFonts w:cs="Times New Roman"/>
        </w:rPr>
        <w:t xml:space="preserve"> (see the </w:t>
      </w:r>
      <w:r>
        <w:rPr>
          <w:rFonts w:cs="Times New Roman"/>
        </w:rPr>
        <w:lastRenderedPageBreak/>
        <w:t>map in Figure 4)</w:t>
      </w:r>
      <w:r w:rsidRPr="00B91FB6">
        <w:rPr>
          <w:rFonts w:cs="Times New Roman"/>
        </w:rPr>
        <w:t>. Baseline characteristics show comparability across the districts in underlying vector species composition</w:t>
      </w:r>
      <w:r>
        <w:rPr>
          <w:rFonts w:cs="Times New Roman"/>
        </w:rPr>
        <w:t xml:space="preserve"> and</w:t>
      </w:r>
      <w:r w:rsidRPr="00B91FB6">
        <w:rPr>
          <w:rFonts w:cs="Times New Roman"/>
        </w:rPr>
        <w:t xml:space="preserve"> insecticide resistance status, as well as general climate and geographic similarities. Within each district, ITNs routinely distributed at health facilities will be of the same type as those distributed during the mass campaign.</w:t>
      </w:r>
    </w:p>
    <w:p w14:paraId="41ED7C47" w14:textId="77777777" w:rsidR="006221E7" w:rsidRDefault="006221E7" w:rsidP="006221E7">
      <w:pPr>
        <w:pStyle w:val="Heading2"/>
      </w:pPr>
    </w:p>
    <w:p w14:paraId="14894A62" w14:textId="3B6F8FD4" w:rsidR="007F5B06" w:rsidRPr="004D1751" w:rsidRDefault="007F5B06" w:rsidP="004D1751">
      <w:pPr>
        <w:pStyle w:val="Heading2"/>
      </w:pPr>
      <w:r w:rsidRPr="004D1751">
        <w:t>References</w:t>
      </w:r>
    </w:p>
    <w:p w14:paraId="7A8F75AA" w14:textId="77777777" w:rsidR="004930E5" w:rsidRDefault="004930E5" w:rsidP="004930E5">
      <w:pPr>
        <w:numPr>
          <w:ilvl w:val="2"/>
          <w:numId w:val="1"/>
        </w:numPr>
        <w:ind w:left="720" w:hanging="720"/>
        <w:rPr>
          <w:rFonts w:cs="Times New Roman"/>
          <w:szCs w:val="24"/>
        </w:rPr>
      </w:pPr>
      <w:r>
        <w:rPr>
          <w:rFonts w:cs="Times New Roman"/>
          <w:szCs w:val="24"/>
        </w:rPr>
        <w:t xml:space="preserve">Central Intelligence Agency </w:t>
      </w:r>
      <w:proofErr w:type="gramStart"/>
      <w:r>
        <w:rPr>
          <w:rFonts w:cs="Times New Roman"/>
          <w:szCs w:val="24"/>
        </w:rPr>
        <w:t>The</w:t>
      </w:r>
      <w:proofErr w:type="gramEnd"/>
      <w:r>
        <w:rPr>
          <w:rFonts w:cs="Times New Roman"/>
          <w:szCs w:val="24"/>
        </w:rPr>
        <w:t xml:space="preserve"> World Factbook: Burkina Faso. </w:t>
      </w:r>
      <w:hyperlink r:id="rId8" w:history="1">
        <w:r>
          <w:rPr>
            <w:rStyle w:val="Hyperlink"/>
            <w:rFonts w:cs="Times New Roman"/>
            <w:szCs w:val="24"/>
          </w:rPr>
          <w:t>https://www.cia.gov/the-world-factbook/countries/burkina-faso/</w:t>
        </w:r>
      </w:hyperlink>
      <w:r>
        <w:rPr>
          <w:rFonts w:cs="Times New Roman"/>
          <w:szCs w:val="24"/>
        </w:rPr>
        <w:t>. Accessed 2 Jul 2021.</w:t>
      </w:r>
    </w:p>
    <w:p w14:paraId="6CA1FEB4" w14:textId="77777777" w:rsidR="004930E5" w:rsidRDefault="004930E5" w:rsidP="004930E5">
      <w:pPr>
        <w:numPr>
          <w:ilvl w:val="2"/>
          <w:numId w:val="1"/>
        </w:numPr>
        <w:ind w:left="720" w:hanging="720"/>
        <w:rPr>
          <w:rFonts w:cs="Times New Roman"/>
          <w:szCs w:val="24"/>
        </w:rPr>
      </w:pPr>
      <w:proofErr w:type="gramStart"/>
      <w:r>
        <w:rPr>
          <w:rFonts w:cs="Times New Roman"/>
          <w:szCs w:val="24"/>
        </w:rPr>
        <w:t>World  Bank</w:t>
      </w:r>
      <w:proofErr w:type="gramEnd"/>
      <w:r>
        <w:rPr>
          <w:rFonts w:cs="Times New Roman"/>
          <w:szCs w:val="24"/>
        </w:rPr>
        <w:t xml:space="preserve"> Group: Climate Change Knowledge Portal, Burkina Faso.  </w:t>
      </w:r>
      <w:hyperlink r:id="rId9" w:history="1">
        <w:r>
          <w:rPr>
            <w:rStyle w:val="Hyperlink"/>
            <w:rFonts w:cs="Times New Roman"/>
            <w:szCs w:val="24"/>
          </w:rPr>
          <w:t>https://climateknowledgeportal.worldbank.org/country/burkina-faso/climate-data-historical</w:t>
        </w:r>
      </w:hyperlink>
      <w:r>
        <w:rPr>
          <w:rFonts w:cs="Times New Roman"/>
          <w:szCs w:val="24"/>
        </w:rPr>
        <w:t>. Accessed 2 Jul 2021.</w:t>
      </w:r>
    </w:p>
    <w:p w14:paraId="1DB53AA6" w14:textId="77777777" w:rsidR="004930E5" w:rsidRDefault="004930E5" w:rsidP="004930E5">
      <w:pPr>
        <w:numPr>
          <w:ilvl w:val="2"/>
          <w:numId w:val="1"/>
        </w:numPr>
        <w:ind w:left="720" w:hanging="720"/>
        <w:rPr>
          <w:rFonts w:cs="Times New Roman"/>
          <w:szCs w:val="24"/>
          <w:lang w:val="fr-FR"/>
        </w:rPr>
      </w:pPr>
      <w:r>
        <w:rPr>
          <w:rFonts w:cs="Times New Roman"/>
          <w:szCs w:val="24"/>
          <w:lang w:val="fr-FR"/>
        </w:rPr>
        <w:t xml:space="preserve">Institut National de la Statistique et de la Démographie, Programme National de Lutte contre le Paludisme (PNLP), ICF International. Enquête sur les indicateurs du paludisme au Burkina Faso . Ouagadougou, Burkina Faso: PNLP; 2015. </w:t>
      </w:r>
    </w:p>
    <w:p w14:paraId="4C97C480" w14:textId="77777777" w:rsidR="004930E5" w:rsidRDefault="004930E5" w:rsidP="004930E5">
      <w:pPr>
        <w:numPr>
          <w:ilvl w:val="2"/>
          <w:numId w:val="1"/>
        </w:numPr>
        <w:ind w:left="720" w:hanging="720"/>
        <w:rPr>
          <w:rFonts w:cs="Times New Roman"/>
          <w:szCs w:val="24"/>
          <w:lang w:val="fr-FR"/>
        </w:rPr>
      </w:pPr>
      <w:r>
        <w:rPr>
          <w:rFonts w:cs="Times New Roman"/>
          <w:szCs w:val="24"/>
          <w:lang w:val="fr-FR"/>
        </w:rPr>
        <w:t xml:space="preserve">Ministère de la Santé. Plan stratégique 2011-2015 de lutte contre le paludisme au Burkina Faso. Ouagadougou, Burkina Faso: </w:t>
      </w:r>
      <w:proofErr w:type="gramStart"/>
      <w:r>
        <w:rPr>
          <w:rFonts w:cs="Times New Roman"/>
          <w:szCs w:val="24"/>
          <w:lang w:val="fr-FR"/>
        </w:rPr>
        <w:t>Ministère</w:t>
      </w:r>
      <w:proofErr w:type="gramEnd"/>
      <w:r>
        <w:rPr>
          <w:rFonts w:cs="Times New Roman"/>
          <w:szCs w:val="24"/>
          <w:lang w:val="fr-FR"/>
        </w:rPr>
        <w:t xml:space="preserve"> de la Santé; 2011. </w:t>
      </w:r>
    </w:p>
    <w:p w14:paraId="755A464D" w14:textId="77777777" w:rsidR="004930E5" w:rsidRDefault="004930E5" w:rsidP="004930E5">
      <w:pPr>
        <w:numPr>
          <w:ilvl w:val="2"/>
          <w:numId w:val="1"/>
        </w:numPr>
        <w:ind w:left="720" w:hanging="720"/>
        <w:rPr>
          <w:rFonts w:cs="Times New Roman"/>
          <w:szCs w:val="24"/>
        </w:rPr>
      </w:pPr>
      <w:r>
        <w:rPr>
          <w:rFonts w:cs="Times New Roman"/>
          <w:szCs w:val="24"/>
        </w:rPr>
        <w:t xml:space="preserve">US Agency for International Development (USAID). </w:t>
      </w:r>
      <w:r>
        <w:rPr>
          <w:rFonts w:cs="Times New Roman"/>
          <w:szCs w:val="24"/>
          <w:lang w:val="fr-FR"/>
        </w:rPr>
        <w:t xml:space="preserve">Plan opérationnel de l’USAID pour la lutte contre le paludisme au titre de l’année fiscale 2015. </w:t>
      </w:r>
      <w:r>
        <w:rPr>
          <w:rFonts w:cs="Times New Roman"/>
          <w:szCs w:val="24"/>
        </w:rPr>
        <w:t xml:space="preserve">Ouagadougou, Burkina Faso: USAID; 2015. </w:t>
      </w:r>
    </w:p>
    <w:p w14:paraId="2347F614" w14:textId="77777777" w:rsidR="004930E5" w:rsidRDefault="004930E5" w:rsidP="004930E5">
      <w:pPr>
        <w:numPr>
          <w:ilvl w:val="2"/>
          <w:numId w:val="1"/>
        </w:numPr>
        <w:ind w:left="720" w:hanging="720"/>
        <w:rPr>
          <w:rFonts w:cs="Times New Roman"/>
          <w:szCs w:val="24"/>
        </w:rPr>
      </w:pPr>
      <w:proofErr w:type="spellStart"/>
      <w:r>
        <w:rPr>
          <w:rFonts w:cs="Times New Roman"/>
          <w:szCs w:val="24"/>
        </w:rPr>
        <w:t>Sirima</w:t>
      </w:r>
      <w:proofErr w:type="spellEnd"/>
      <w:r>
        <w:rPr>
          <w:rFonts w:cs="Times New Roman"/>
          <w:szCs w:val="24"/>
        </w:rPr>
        <w:t xml:space="preserve"> SB, </w:t>
      </w:r>
      <w:proofErr w:type="spellStart"/>
      <w:r>
        <w:rPr>
          <w:rFonts w:cs="Times New Roman"/>
          <w:szCs w:val="24"/>
        </w:rPr>
        <w:t>Konaté</w:t>
      </w:r>
      <w:proofErr w:type="spellEnd"/>
      <w:r>
        <w:rPr>
          <w:rFonts w:cs="Times New Roman"/>
          <w:szCs w:val="24"/>
        </w:rPr>
        <w:t xml:space="preserve"> A, </w:t>
      </w:r>
      <w:proofErr w:type="spellStart"/>
      <w:r>
        <w:rPr>
          <w:rFonts w:cs="Times New Roman"/>
          <w:szCs w:val="24"/>
        </w:rPr>
        <w:t>Tiono</w:t>
      </w:r>
      <w:proofErr w:type="spellEnd"/>
      <w:r>
        <w:rPr>
          <w:rFonts w:cs="Times New Roman"/>
          <w:szCs w:val="24"/>
        </w:rPr>
        <w:t xml:space="preserve"> AB, </w:t>
      </w:r>
      <w:proofErr w:type="spellStart"/>
      <w:r>
        <w:rPr>
          <w:rFonts w:cs="Times New Roman"/>
          <w:szCs w:val="24"/>
        </w:rPr>
        <w:t>Convelbo</w:t>
      </w:r>
      <w:proofErr w:type="spellEnd"/>
      <w:r>
        <w:rPr>
          <w:rFonts w:cs="Times New Roman"/>
          <w:szCs w:val="24"/>
        </w:rPr>
        <w:t xml:space="preserve"> N, Cousens S, </w:t>
      </w:r>
      <w:proofErr w:type="spellStart"/>
      <w:r>
        <w:rPr>
          <w:rFonts w:cs="Times New Roman"/>
          <w:szCs w:val="24"/>
        </w:rPr>
        <w:t>Pagnoni</w:t>
      </w:r>
      <w:proofErr w:type="spellEnd"/>
      <w:r>
        <w:rPr>
          <w:rFonts w:cs="Times New Roman"/>
          <w:szCs w:val="24"/>
        </w:rPr>
        <w:t xml:space="preserve"> F. Early treatment of childhood fevers with pre‐packaged antimalarial drugs in the home reduces severe malaria morbidity in Burkina Faso. Trop Med Int Health. </w:t>
      </w:r>
      <w:proofErr w:type="gramStart"/>
      <w:r>
        <w:rPr>
          <w:rFonts w:cs="Times New Roman"/>
          <w:szCs w:val="24"/>
        </w:rPr>
        <w:t>2003;8:133</w:t>
      </w:r>
      <w:proofErr w:type="gramEnd"/>
      <w:r>
        <w:rPr>
          <w:rFonts w:cs="Times New Roman"/>
          <w:szCs w:val="24"/>
        </w:rPr>
        <w:t xml:space="preserve">-9. </w:t>
      </w:r>
    </w:p>
    <w:p w14:paraId="1AB82BB8" w14:textId="77777777" w:rsidR="004930E5" w:rsidRDefault="004930E5" w:rsidP="004930E5">
      <w:pPr>
        <w:numPr>
          <w:ilvl w:val="2"/>
          <w:numId w:val="1"/>
        </w:numPr>
        <w:ind w:left="720" w:hanging="720"/>
        <w:rPr>
          <w:rFonts w:cs="Times New Roman"/>
          <w:szCs w:val="24"/>
        </w:rPr>
      </w:pPr>
      <w:r>
        <w:rPr>
          <w:rFonts w:cs="Times New Roman"/>
          <w:szCs w:val="24"/>
        </w:rPr>
        <w:t xml:space="preserve">PMI VectorLink Project. 2019 Burkina Faso end of spray report: June 06, 2019 - July 11, </w:t>
      </w:r>
      <w:r>
        <w:rPr>
          <w:rFonts w:cs="Times New Roman"/>
          <w:szCs w:val="24"/>
        </w:rPr>
        <w:lastRenderedPageBreak/>
        <w:t xml:space="preserve">2019. Rockville, Maryland, USA: PMI VectorLink Project and </w:t>
      </w:r>
      <w:proofErr w:type="spellStart"/>
      <w:r>
        <w:rPr>
          <w:rFonts w:cs="Times New Roman"/>
          <w:szCs w:val="24"/>
        </w:rPr>
        <w:t>Abt</w:t>
      </w:r>
      <w:proofErr w:type="spellEnd"/>
      <w:r>
        <w:rPr>
          <w:rFonts w:cs="Times New Roman"/>
          <w:szCs w:val="24"/>
        </w:rPr>
        <w:t xml:space="preserve"> Associates Inc.; 2019. </w:t>
      </w:r>
    </w:p>
    <w:p w14:paraId="2671EC24" w14:textId="77777777" w:rsidR="004930E5" w:rsidRDefault="004930E5" w:rsidP="004930E5">
      <w:pPr>
        <w:numPr>
          <w:ilvl w:val="2"/>
          <w:numId w:val="1"/>
        </w:numPr>
        <w:ind w:left="720" w:hanging="720"/>
        <w:rPr>
          <w:rFonts w:cs="Times New Roman"/>
          <w:szCs w:val="24"/>
          <w:lang w:val="fr-FR"/>
        </w:rPr>
      </w:pPr>
      <w:proofErr w:type="spellStart"/>
      <w:r>
        <w:rPr>
          <w:rFonts w:cs="Times New Roman"/>
          <w:szCs w:val="24"/>
          <w:lang w:val="fr-FR"/>
        </w:rPr>
        <w:t>Sirima</w:t>
      </w:r>
      <w:proofErr w:type="spellEnd"/>
      <w:r>
        <w:rPr>
          <w:rFonts w:cs="Times New Roman"/>
          <w:szCs w:val="24"/>
          <w:lang w:val="fr-FR"/>
        </w:rPr>
        <w:t xml:space="preserve"> SB, </w:t>
      </w:r>
      <w:proofErr w:type="spellStart"/>
      <w:r>
        <w:rPr>
          <w:rFonts w:cs="Times New Roman"/>
          <w:szCs w:val="24"/>
          <w:lang w:val="fr-FR"/>
        </w:rPr>
        <w:t>Tiono</w:t>
      </w:r>
      <w:proofErr w:type="spellEnd"/>
      <w:r>
        <w:rPr>
          <w:rFonts w:cs="Times New Roman"/>
          <w:szCs w:val="24"/>
          <w:lang w:val="fr-FR"/>
        </w:rPr>
        <w:t xml:space="preserve"> AB, </w:t>
      </w:r>
      <w:proofErr w:type="spellStart"/>
      <w:r>
        <w:rPr>
          <w:rFonts w:cs="Times New Roman"/>
          <w:szCs w:val="24"/>
          <w:lang w:val="fr-FR"/>
        </w:rPr>
        <w:t>Konat</w:t>
      </w:r>
      <w:proofErr w:type="spellEnd"/>
      <w:r>
        <w:rPr>
          <w:rFonts w:cs="Times New Roman"/>
          <w:szCs w:val="24"/>
          <w:lang w:val="fr-FR"/>
        </w:rPr>
        <w:t xml:space="preserve"> AT, </w:t>
      </w:r>
      <w:proofErr w:type="spellStart"/>
      <w:r>
        <w:rPr>
          <w:rFonts w:cs="Times New Roman"/>
          <w:szCs w:val="24"/>
          <w:lang w:val="fr-FR"/>
        </w:rPr>
        <w:t>Badolo</w:t>
      </w:r>
      <w:proofErr w:type="spellEnd"/>
      <w:r>
        <w:rPr>
          <w:rFonts w:cs="Times New Roman"/>
          <w:szCs w:val="24"/>
          <w:lang w:val="fr-FR"/>
        </w:rPr>
        <w:t xml:space="preserve"> A, Traoré A, Apollinaire N, et al. Evaluation de la couverture de la population par les moustiquaires imprégnées d’insecticides après la campagne de distribution universelle en 2010. Ouagadougou, Burkina Faso: </w:t>
      </w:r>
      <w:proofErr w:type="gramStart"/>
      <w:r>
        <w:rPr>
          <w:rFonts w:cs="Times New Roman"/>
          <w:szCs w:val="24"/>
          <w:lang w:val="fr-FR"/>
        </w:rPr>
        <w:t>Ministère</w:t>
      </w:r>
      <w:proofErr w:type="gramEnd"/>
      <w:r>
        <w:rPr>
          <w:rFonts w:cs="Times New Roman"/>
          <w:szCs w:val="24"/>
          <w:lang w:val="fr-FR"/>
        </w:rPr>
        <w:t xml:space="preserve"> de la Santé; 2012. </w:t>
      </w:r>
    </w:p>
    <w:p w14:paraId="7B7CE0B0" w14:textId="77777777" w:rsidR="004930E5" w:rsidRDefault="004930E5" w:rsidP="004930E5">
      <w:pPr>
        <w:numPr>
          <w:ilvl w:val="2"/>
          <w:numId w:val="1"/>
        </w:numPr>
        <w:ind w:left="720" w:hanging="720"/>
        <w:rPr>
          <w:rFonts w:cs="Times New Roman"/>
          <w:szCs w:val="24"/>
          <w:lang w:val="fr-FR"/>
        </w:rPr>
      </w:pPr>
      <w:r>
        <w:rPr>
          <w:rFonts w:cs="Times New Roman"/>
          <w:szCs w:val="24"/>
          <w:lang w:val="fr-FR"/>
        </w:rPr>
        <w:t xml:space="preserve">Programme National de Lutte contre le Paludisme. Rapport général de la campagne nationale de distribution universelle des MILDA au Burkina Faso en 2013. Ouagadougou, Burkina Faso: </w:t>
      </w:r>
      <w:proofErr w:type="gramStart"/>
      <w:r>
        <w:rPr>
          <w:rFonts w:cs="Times New Roman"/>
          <w:szCs w:val="24"/>
          <w:lang w:val="fr-FR"/>
        </w:rPr>
        <w:t>Ministère</w:t>
      </w:r>
      <w:proofErr w:type="gramEnd"/>
      <w:r>
        <w:rPr>
          <w:rFonts w:cs="Times New Roman"/>
          <w:szCs w:val="24"/>
          <w:lang w:val="fr-FR"/>
        </w:rPr>
        <w:t xml:space="preserve"> de la Santé; 2013.</w:t>
      </w:r>
    </w:p>
    <w:p w14:paraId="00C4C850" w14:textId="77777777" w:rsidR="004930E5" w:rsidRDefault="004930E5" w:rsidP="004930E5">
      <w:pPr>
        <w:numPr>
          <w:ilvl w:val="2"/>
          <w:numId w:val="1"/>
        </w:numPr>
        <w:ind w:left="720" w:hanging="720"/>
        <w:rPr>
          <w:rFonts w:cs="Times New Roman"/>
          <w:szCs w:val="24"/>
          <w:lang w:val="fr-FR"/>
        </w:rPr>
      </w:pPr>
      <w:r>
        <w:rPr>
          <w:rFonts w:cs="Times New Roman"/>
          <w:szCs w:val="24"/>
          <w:lang w:val="fr-FR"/>
        </w:rPr>
        <w:t xml:space="preserve">Institut National de la Statistique et de la Démographie (INSD), Programme d’Appui au Développement Sanitaire (PADS), </w:t>
      </w:r>
      <w:proofErr w:type="spellStart"/>
      <w:r>
        <w:rPr>
          <w:rFonts w:cs="Times New Roman"/>
          <w:szCs w:val="24"/>
          <w:lang w:val="fr-FR"/>
        </w:rPr>
        <w:t>Progamme</w:t>
      </w:r>
      <w:proofErr w:type="spellEnd"/>
      <w:r>
        <w:rPr>
          <w:rFonts w:cs="Times New Roman"/>
          <w:szCs w:val="24"/>
          <w:lang w:val="fr-FR"/>
        </w:rPr>
        <w:t xml:space="preserve"> National de Lutte contre le Paludisme (PNLP), ICF. Enquête sur les indicateurs du paludisme au Burkina Faso (2017-2018). Rockville, Maryland, USA: INSD, PADS, PNLP, and ICF; 2018. </w:t>
      </w:r>
    </w:p>
    <w:p w14:paraId="184548A8" w14:textId="77777777" w:rsidR="004930E5" w:rsidRDefault="004930E5" w:rsidP="004930E5">
      <w:pPr>
        <w:numPr>
          <w:ilvl w:val="2"/>
          <w:numId w:val="1"/>
        </w:numPr>
        <w:ind w:left="720" w:hanging="720"/>
        <w:rPr>
          <w:rFonts w:cs="Times New Roman"/>
          <w:szCs w:val="24"/>
          <w:lang w:val="fr-FR"/>
        </w:rPr>
      </w:pPr>
      <w:r>
        <w:rPr>
          <w:rFonts w:cs="Times New Roman"/>
          <w:szCs w:val="24"/>
          <w:lang w:val="fr-FR"/>
        </w:rPr>
        <w:t xml:space="preserve">Ministère de la Santé. Annuaire statistique 2017. Ouagadougou, Burkina Faso: Conseil National de la Statistique; 2018. </w:t>
      </w:r>
    </w:p>
    <w:p w14:paraId="35011339" w14:textId="77777777" w:rsidR="004930E5" w:rsidRDefault="004930E5" w:rsidP="004930E5">
      <w:pPr>
        <w:numPr>
          <w:ilvl w:val="2"/>
          <w:numId w:val="1"/>
        </w:numPr>
        <w:ind w:left="720" w:hanging="720"/>
        <w:rPr>
          <w:rFonts w:cs="Times New Roman"/>
          <w:szCs w:val="24"/>
        </w:rPr>
      </w:pPr>
      <w:proofErr w:type="spellStart"/>
      <w:r>
        <w:rPr>
          <w:rFonts w:cs="Times New Roman"/>
          <w:szCs w:val="24"/>
        </w:rPr>
        <w:t>Badolo</w:t>
      </w:r>
      <w:proofErr w:type="spellEnd"/>
      <w:r>
        <w:rPr>
          <w:rFonts w:cs="Times New Roman"/>
          <w:szCs w:val="24"/>
        </w:rPr>
        <w:t xml:space="preserve"> A, Traore A, Jones CM, </w:t>
      </w:r>
      <w:proofErr w:type="spellStart"/>
      <w:r>
        <w:rPr>
          <w:rFonts w:cs="Times New Roman"/>
          <w:szCs w:val="24"/>
        </w:rPr>
        <w:t>Sanou</w:t>
      </w:r>
      <w:proofErr w:type="spellEnd"/>
      <w:r>
        <w:rPr>
          <w:rFonts w:cs="Times New Roman"/>
          <w:szCs w:val="24"/>
        </w:rPr>
        <w:t xml:space="preserve"> A, Flood L, Guelbeogo WM, et al. Three years of insecticide resistance monitoring in </w:t>
      </w:r>
      <w:r>
        <w:rPr>
          <w:rFonts w:cs="Times New Roman"/>
          <w:i/>
          <w:iCs/>
          <w:szCs w:val="24"/>
        </w:rPr>
        <w:t>Anopheles gambiae</w:t>
      </w:r>
      <w:r>
        <w:rPr>
          <w:rFonts w:cs="Times New Roman"/>
          <w:szCs w:val="24"/>
        </w:rPr>
        <w:t xml:space="preserve"> in Burkina Faso: resistance on the rise? Malar J. </w:t>
      </w:r>
      <w:proofErr w:type="gramStart"/>
      <w:r>
        <w:rPr>
          <w:rFonts w:cs="Times New Roman"/>
          <w:szCs w:val="24"/>
        </w:rPr>
        <w:t>2012;11:232</w:t>
      </w:r>
      <w:proofErr w:type="gramEnd"/>
      <w:r>
        <w:rPr>
          <w:rFonts w:cs="Times New Roman"/>
          <w:szCs w:val="24"/>
        </w:rPr>
        <w:t xml:space="preserve">. </w:t>
      </w:r>
    </w:p>
    <w:p w14:paraId="054B4DE9" w14:textId="77777777" w:rsidR="004930E5" w:rsidRDefault="004930E5" w:rsidP="004930E5">
      <w:pPr>
        <w:numPr>
          <w:ilvl w:val="2"/>
          <w:numId w:val="1"/>
        </w:numPr>
        <w:ind w:left="720" w:hanging="720"/>
        <w:rPr>
          <w:rFonts w:cs="Times New Roman"/>
          <w:szCs w:val="24"/>
        </w:rPr>
      </w:pPr>
      <w:r>
        <w:rPr>
          <w:rFonts w:cs="Times New Roman"/>
          <w:szCs w:val="24"/>
        </w:rPr>
        <w:t xml:space="preserve">US President’s Malaria Initiative (PMI). Mozambique: malaria operational plan FY 2018. Bethesda, Maryland, USA: PMI; 2018. </w:t>
      </w:r>
    </w:p>
    <w:p w14:paraId="34F89775" w14:textId="77777777" w:rsidR="004930E5" w:rsidRDefault="004930E5" w:rsidP="004930E5">
      <w:pPr>
        <w:numPr>
          <w:ilvl w:val="2"/>
          <w:numId w:val="1"/>
        </w:numPr>
        <w:ind w:left="720" w:hanging="720"/>
        <w:rPr>
          <w:rFonts w:cs="Times New Roman"/>
          <w:szCs w:val="24"/>
        </w:rPr>
      </w:pPr>
      <w:r>
        <w:rPr>
          <w:rFonts w:cs="Times New Roman"/>
          <w:szCs w:val="24"/>
        </w:rPr>
        <w:t xml:space="preserve">Central Intelligence Agency: The World Factbook Mozambique. </w:t>
      </w:r>
      <w:hyperlink r:id="rId10" w:history="1">
        <w:r w:rsidRPr="001A0382">
          <w:rPr>
            <w:rStyle w:val="Hyperlink"/>
            <w:rFonts w:cs="Times New Roman"/>
            <w:szCs w:val="24"/>
            <w:lang w:val="en-GB"/>
          </w:rPr>
          <w:t xml:space="preserve">https://www.cia.gov/library/publications/the-world-factbook/geos/mz.html. </w:t>
        </w:r>
        <w:r w:rsidRPr="001A0382">
          <w:t>Accessed 14 Jun 2019</w:t>
        </w:r>
      </w:hyperlink>
      <w:r>
        <w:rPr>
          <w:rFonts w:cs="Times New Roman"/>
          <w:szCs w:val="24"/>
        </w:rPr>
        <w:t>.</w:t>
      </w:r>
    </w:p>
    <w:p w14:paraId="3FD7415A" w14:textId="7BD1E924" w:rsidR="004930E5" w:rsidRDefault="004930E5" w:rsidP="004930E5">
      <w:pPr>
        <w:numPr>
          <w:ilvl w:val="2"/>
          <w:numId w:val="1"/>
        </w:numPr>
        <w:ind w:left="720" w:hanging="720"/>
        <w:rPr>
          <w:rFonts w:cs="Times New Roman"/>
          <w:szCs w:val="24"/>
        </w:rPr>
      </w:pPr>
      <w:r>
        <w:rPr>
          <w:rFonts w:cs="Times New Roman"/>
          <w:szCs w:val="24"/>
          <w:lang w:val="en-GB"/>
        </w:rPr>
        <w:lastRenderedPageBreak/>
        <w:t>Food and Agriculture Organization of the United Nations (FAO): FAO in</w:t>
      </w:r>
      <w:r w:rsidR="00A405C4">
        <w:rPr>
          <w:rFonts w:cs="Times New Roman"/>
          <w:szCs w:val="24"/>
          <w:lang w:val="en-GB"/>
        </w:rPr>
        <w:t xml:space="preserve"> </w:t>
      </w:r>
      <w:r>
        <w:rPr>
          <w:rFonts w:cs="Times New Roman"/>
          <w:szCs w:val="24"/>
          <w:lang w:val="en-GB"/>
        </w:rPr>
        <w:t xml:space="preserve">Mozambique. </w:t>
      </w:r>
      <w:hyperlink r:id="rId11" w:history="1">
        <w:r>
          <w:rPr>
            <w:rStyle w:val="Hyperlink"/>
            <w:rFonts w:cs="Times New Roman"/>
            <w:szCs w:val="24"/>
            <w:lang w:val="en-GB"/>
          </w:rPr>
          <w:t>http://www.fao.org/mozambique</w:t>
        </w:r>
      </w:hyperlink>
      <w:r w:rsidR="001A0382">
        <w:t>.</w:t>
      </w:r>
      <w:r>
        <w:rPr>
          <w:rFonts w:cs="Times New Roman"/>
          <w:szCs w:val="24"/>
          <w:lang w:val="en-GB"/>
        </w:rPr>
        <w:t xml:space="preserve"> </w:t>
      </w:r>
      <w:r w:rsidR="001A0382">
        <w:rPr>
          <w:rFonts w:cs="Times New Roman"/>
          <w:szCs w:val="24"/>
          <w:lang w:val="en-GB"/>
        </w:rPr>
        <w:t>A</w:t>
      </w:r>
      <w:r>
        <w:rPr>
          <w:rFonts w:cs="Times New Roman"/>
          <w:szCs w:val="24"/>
          <w:lang w:val="en-GB"/>
        </w:rPr>
        <w:t>ccessed 28 June 202</w:t>
      </w:r>
      <w:r w:rsidR="001A0382">
        <w:rPr>
          <w:rFonts w:cs="Times New Roman"/>
          <w:szCs w:val="24"/>
          <w:lang w:val="en-GB"/>
        </w:rPr>
        <w:t>1</w:t>
      </w:r>
      <w:r>
        <w:rPr>
          <w:rFonts w:cs="Times New Roman"/>
          <w:szCs w:val="24"/>
          <w:lang w:val="en-GB"/>
        </w:rPr>
        <w:t>.</w:t>
      </w:r>
    </w:p>
    <w:p w14:paraId="3FF2F3B9" w14:textId="77777777" w:rsidR="004930E5" w:rsidRDefault="004930E5" w:rsidP="004930E5">
      <w:pPr>
        <w:numPr>
          <w:ilvl w:val="2"/>
          <w:numId w:val="1"/>
        </w:numPr>
        <w:ind w:left="720" w:hanging="720"/>
        <w:rPr>
          <w:rFonts w:cs="Times New Roman"/>
          <w:szCs w:val="24"/>
        </w:rPr>
      </w:pPr>
      <w:r>
        <w:rPr>
          <w:rFonts w:cs="Times New Roman"/>
          <w:szCs w:val="24"/>
          <w:lang w:val="en-GB"/>
        </w:rPr>
        <w:t xml:space="preserve">World Bank Open Data: Mozambique. </w:t>
      </w:r>
      <w:hyperlink r:id="rId12" w:history="1">
        <w:r>
          <w:rPr>
            <w:rStyle w:val="Hyperlink"/>
            <w:rFonts w:cs="Times New Roman"/>
            <w:szCs w:val="24"/>
            <w:lang w:val="en-GB"/>
          </w:rPr>
          <w:t>https://data.worldbank.org/indicator/SE.ADT.LITR.ZS?locations=MZ&amp;view=chart</w:t>
        </w:r>
      </w:hyperlink>
      <w:r>
        <w:rPr>
          <w:rFonts w:cs="Times New Roman"/>
          <w:szCs w:val="24"/>
          <w:lang w:val="en-GB"/>
        </w:rPr>
        <w:t>. Accessed 28 June 2021.</w:t>
      </w:r>
    </w:p>
    <w:p w14:paraId="667CD014" w14:textId="77777777" w:rsidR="004930E5" w:rsidRDefault="004930E5" w:rsidP="004930E5">
      <w:pPr>
        <w:numPr>
          <w:ilvl w:val="2"/>
          <w:numId w:val="1"/>
        </w:numPr>
        <w:ind w:left="720" w:hanging="720"/>
        <w:rPr>
          <w:rFonts w:cs="Times New Roman"/>
          <w:szCs w:val="24"/>
        </w:rPr>
      </w:pPr>
      <w:r>
        <w:rPr>
          <w:rFonts w:cs="Times New Roman"/>
          <w:color w:val="333333"/>
          <w:szCs w:val="24"/>
          <w:shd w:val="clear" w:color="auto" w:fill="FFFFFF"/>
        </w:rPr>
        <w:t>United Nations, Department of Economic and Social Affairs, Population Division. World Population Prospects 2019.</w:t>
      </w:r>
      <w:r>
        <w:rPr>
          <w:rFonts w:cs="Times New Roman"/>
          <w:szCs w:val="24"/>
        </w:rPr>
        <w:t xml:space="preserve"> </w:t>
      </w:r>
      <w:hyperlink r:id="rId13" w:history="1">
        <w:r w:rsidRPr="00955F58">
          <w:rPr>
            <w:rStyle w:val="Hyperlink"/>
            <w:rFonts w:cs="Times New Roman"/>
            <w:szCs w:val="24"/>
            <w:shd w:val="clear" w:color="auto" w:fill="FFFFFF"/>
          </w:rPr>
          <w:t>https://population.un.org/wpp/</w:t>
        </w:r>
      </w:hyperlink>
      <w:r w:rsidRPr="00955F58">
        <w:rPr>
          <w:rFonts w:cs="Times New Roman"/>
          <w:color w:val="333333"/>
          <w:szCs w:val="24"/>
          <w:shd w:val="clear" w:color="auto" w:fill="FFFFFF"/>
        </w:rPr>
        <w:t>.</w:t>
      </w:r>
      <w:r>
        <w:rPr>
          <w:rFonts w:cs="Times New Roman"/>
          <w:color w:val="333333"/>
          <w:szCs w:val="24"/>
          <w:shd w:val="clear" w:color="auto" w:fill="FFFFFF"/>
        </w:rPr>
        <w:t xml:space="preserve"> Accessed 2 Jul 2021.</w:t>
      </w:r>
    </w:p>
    <w:p w14:paraId="5D47813B" w14:textId="77777777" w:rsidR="004930E5" w:rsidRDefault="004930E5" w:rsidP="004930E5">
      <w:pPr>
        <w:numPr>
          <w:ilvl w:val="2"/>
          <w:numId w:val="1"/>
        </w:numPr>
        <w:ind w:left="720" w:hanging="720"/>
        <w:rPr>
          <w:rFonts w:cs="Times New Roman"/>
          <w:szCs w:val="24"/>
        </w:rPr>
      </w:pPr>
      <w:r>
        <w:rPr>
          <w:rFonts w:cs="Times New Roman"/>
          <w:szCs w:val="24"/>
        </w:rPr>
        <w:t xml:space="preserve">National Malaria Elimination Programme (NMEP), National Population Commission (NPC), National Bureau of Statistics, ICF International. Nigeria Malaria Indicator Survey 2015. Abuja, Nigeria, and Rockville, Maryland, USA: NMEP, NPC, and ICF International; 2016. </w:t>
      </w:r>
    </w:p>
    <w:p w14:paraId="1B3598D7" w14:textId="77777777" w:rsidR="004930E5" w:rsidRDefault="004930E5" w:rsidP="004930E5">
      <w:pPr>
        <w:numPr>
          <w:ilvl w:val="2"/>
          <w:numId w:val="1"/>
        </w:numPr>
        <w:ind w:left="720" w:hanging="720"/>
        <w:rPr>
          <w:rFonts w:cs="Times New Roman"/>
          <w:szCs w:val="24"/>
        </w:rPr>
      </w:pPr>
      <w:r>
        <w:rPr>
          <w:rFonts w:cs="Times New Roman"/>
          <w:szCs w:val="24"/>
        </w:rPr>
        <w:t xml:space="preserve">US President’s Malaria Initiative (PMI). Nigeria malaria operational plan FY 2019. Bethesda, Maryland, USA: PMI; 2018. </w:t>
      </w:r>
    </w:p>
    <w:p w14:paraId="723532DD" w14:textId="77777777" w:rsidR="004930E5" w:rsidRDefault="004930E5" w:rsidP="004930E5">
      <w:pPr>
        <w:numPr>
          <w:ilvl w:val="2"/>
          <w:numId w:val="1"/>
        </w:numPr>
        <w:ind w:left="720" w:hanging="720"/>
        <w:rPr>
          <w:rFonts w:cs="Times New Roman"/>
          <w:szCs w:val="24"/>
        </w:rPr>
      </w:pPr>
      <w:r>
        <w:rPr>
          <w:rFonts w:cs="Times New Roman"/>
          <w:szCs w:val="24"/>
          <w:lang w:val="fr-FR"/>
        </w:rPr>
        <w:t xml:space="preserve">National Population Commission (NPC), ICF. </w:t>
      </w:r>
      <w:r>
        <w:rPr>
          <w:rFonts w:cs="Times New Roman"/>
          <w:szCs w:val="24"/>
        </w:rPr>
        <w:t xml:space="preserve">Nigeria Demographic and Health Survey 2018. Abuja, Nigeria, and Rockville, Maryland, USA: NPC and ICF; 2019. </w:t>
      </w:r>
    </w:p>
    <w:p w14:paraId="7DED426A" w14:textId="5EE30835" w:rsidR="004930E5" w:rsidRDefault="004930E5" w:rsidP="004930E5">
      <w:pPr>
        <w:numPr>
          <w:ilvl w:val="2"/>
          <w:numId w:val="1"/>
        </w:numPr>
        <w:ind w:left="720" w:hanging="720"/>
        <w:rPr>
          <w:rFonts w:cs="Times New Roman"/>
          <w:szCs w:val="24"/>
        </w:rPr>
      </w:pPr>
      <w:r w:rsidRPr="001A0382">
        <w:t>Central Intelligence Agency (CIA) The World Factbook: Rwanda.</w:t>
      </w:r>
      <w:r>
        <w:rPr>
          <w:rStyle w:val="Hyperlink"/>
          <w:rFonts w:eastAsia="Times New Roman" w:cs="Times New Roman"/>
          <w:szCs w:val="24"/>
          <w:bdr w:val="none" w:sz="0" w:space="0" w:color="auto" w:frame="1"/>
        </w:rPr>
        <w:t xml:space="preserve"> </w:t>
      </w:r>
      <w:r w:rsidRPr="001A0382">
        <w:rPr>
          <w:rStyle w:val="Hyperlink"/>
          <w:rFonts w:cs="Times New Roman"/>
          <w:szCs w:val="24"/>
          <w:lang w:val="en-GB"/>
        </w:rPr>
        <w:t>https://www.cia.gov/library/publications/the-world-factbook/.</w:t>
      </w:r>
      <w:r w:rsidRPr="001A0382">
        <w:t xml:space="preserve"> Accessed 17 April 20</w:t>
      </w:r>
      <w:r w:rsidR="00955F58">
        <w:t>19</w:t>
      </w:r>
      <w:r w:rsidRPr="001A0382">
        <w:t>.</w:t>
      </w:r>
    </w:p>
    <w:p w14:paraId="1219DFB6" w14:textId="77777777" w:rsidR="004930E5" w:rsidRDefault="004930E5" w:rsidP="004930E5">
      <w:pPr>
        <w:numPr>
          <w:ilvl w:val="2"/>
          <w:numId w:val="1"/>
        </w:numPr>
        <w:ind w:left="720" w:hanging="720"/>
        <w:rPr>
          <w:rFonts w:cs="Times New Roman"/>
          <w:szCs w:val="24"/>
        </w:rPr>
      </w:pPr>
      <w:r>
        <w:rPr>
          <w:rFonts w:cs="Times New Roman"/>
          <w:szCs w:val="24"/>
        </w:rPr>
        <w:t xml:space="preserve">National Institute of Statistics of Rwanda (NISR). Fourth population and housing census – 2012. Kigali City, Rwanda: NISR; 2014. </w:t>
      </w:r>
    </w:p>
    <w:p w14:paraId="05A7FEB2" w14:textId="77777777" w:rsidR="004930E5" w:rsidRDefault="004930E5" w:rsidP="004930E5">
      <w:pPr>
        <w:numPr>
          <w:ilvl w:val="2"/>
          <w:numId w:val="1"/>
        </w:numPr>
        <w:ind w:left="720" w:hanging="720"/>
        <w:rPr>
          <w:rFonts w:cs="Times New Roman"/>
          <w:szCs w:val="24"/>
        </w:rPr>
      </w:pPr>
      <w:r>
        <w:rPr>
          <w:rFonts w:cs="Times New Roman"/>
          <w:szCs w:val="24"/>
        </w:rPr>
        <w:t xml:space="preserve">National Institute of Statistics of Rwanda (NISR), Ministry of Health (MOH) and ICF International. Rwanda Demographic and Health Survey 2014 – 15. Rockville, MD: NISR, MOH, and ICF International; 2015. </w:t>
      </w:r>
    </w:p>
    <w:p w14:paraId="18E2A146" w14:textId="77777777" w:rsidR="004930E5" w:rsidRDefault="004930E5" w:rsidP="004930E5">
      <w:pPr>
        <w:numPr>
          <w:ilvl w:val="2"/>
          <w:numId w:val="1"/>
        </w:numPr>
        <w:ind w:left="720" w:hanging="720"/>
        <w:rPr>
          <w:rFonts w:cs="Times New Roman"/>
          <w:szCs w:val="24"/>
        </w:rPr>
      </w:pPr>
      <w:r>
        <w:rPr>
          <w:rFonts w:cs="Times New Roman"/>
          <w:szCs w:val="24"/>
        </w:rPr>
        <w:t xml:space="preserve">Republic of Rwanda. Ministry of Health. 2015 Annual Health Statistics Booklet. Kigali, </w:t>
      </w:r>
      <w:r>
        <w:rPr>
          <w:rFonts w:cs="Times New Roman"/>
          <w:szCs w:val="24"/>
        </w:rPr>
        <w:lastRenderedPageBreak/>
        <w:t>Rwanda; 2015.</w:t>
      </w:r>
    </w:p>
    <w:p w14:paraId="4951AD28" w14:textId="77777777" w:rsidR="004930E5" w:rsidRDefault="004930E5" w:rsidP="004930E5">
      <w:pPr>
        <w:numPr>
          <w:ilvl w:val="2"/>
          <w:numId w:val="1"/>
        </w:numPr>
        <w:ind w:left="720" w:hanging="720"/>
        <w:rPr>
          <w:rFonts w:cs="Times New Roman"/>
          <w:szCs w:val="24"/>
        </w:rPr>
      </w:pPr>
      <w:r>
        <w:rPr>
          <w:rFonts w:cs="Times New Roman"/>
          <w:szCs w:val="24"/>
        </w:rPr>
        <w:t xml:space="preserve">United Nations: Outreach </w:t>
      </w:r>
      <w:proofErr w:type="spellStart"/>
      <w:r>
        <w:rPr>
          <w:rFonts w:cs="Times New Roman"/>
          <w:szCs w:val="24"/>
        </w:rPr>
        <w:t>programme</w:t>
      </w:r>
      <w:proofErr w:type="spellEnd"/>
      <w:r>
        <w:rPr>
          <w:rFonts w:cs="Times New Roman"/>
          <w:szCs w:val="24"/>
        </w:rPr>
        <w:t xml:space="preserve"> on the 1994 genocide against the Tutsi in Rwanda and the United Nations. </w:t>
      </w:r>
      <w:hyperlink r:id="rId14" w:history="1">
        <w:r>
          <w:rPr>
            <w:rStyle w:val="Hyperlink"/>
            <w:rFonts w:cs="Times New Roman"/>
            <w:szCs w:val="24"/>
          </w:rPr>
          <w:t>https://www.un.org/en/preventgenocide/rwanda/</w:t>
        </w:r>
      </w:hyperlink>
      <w:r>
        <w:rPr>
          <w:rFonts w:cs="Times New Roman"/>
          <w:szCs w:val="24"/>
        </w:rPr>
        <w:t>. Accessed 28 May 2020.</w:t>
      </w:r>
    </w:p>
    <w:p w14:paraId="5D6CB03F" w14:textId="77777777" w:rsidR="004930E5" w:rsidRDefault="004930E5" w:rsidP="004930E5">
      <w:pPr>
        <w:numPr>
          <w:ilvl w:val="2"/>
          <w:numId w:val="1"/>
        </w:numPr>
        <w:ind w:left="720" w:hanging="720"/>
        <w:rPr>
          <w:rFonts w:eastAsia="Times New Roman" w:cs="Times New Roman"/>
          <w:color w:val="000000"/>
          <w:szCs w:val="24"/>
        </w:rPr>
      </w:pPr>
      <w:r>
        <w:rPr>
          <w:rFonts w:cs="Times New Roman"/>
          <w:szCs w:val="24"/>
        </w:rPr>
        <w:t xml:space="preserve">US President’s Malaria Initiative (PMI). Rwanda malaria operational plan FY 2019. Bethesda, Maryland, USA: PMI; 2018. </w:t>
      </w:r>
    </w:p>
    <w:p w14:paraId="4D8E4533" w14:textId="77777777" w:rsidR="003A6C24" w:rsidRPr="004930E5" w:rsidRDefault="003A6C24"/>
    <w:sectPr w:rsidR="003A6C24" w:rsidRPr="004930E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2957D5"/>
    <w:multiLevelType w:val="hybridMultilevel"/>
    <w:tmpl w:val="1B18EC7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B5CCFDF4">
      <w:start w:val="62"/>
      <w:numFmt w:val="decimal"/>
      <w:lvlText w:val="%3."/>
      <w:lvlJc w:val="left"/>
      <w:pPr>
        <w:ind w:left="450" w:hanging="360"/>
      </w:pPr>
      <w:rPr>
        <w:rFonts w:eastAsia="Arial" w:hint="default"/>
      </w:r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C24"/>
    <w:rsid w:val="001A0382"/>
    <w:rsid w:val="002B118A"/>
    <w:rsid w:val="003675CB"/>
    <w:rsid w:val="003A6C24"/>
    <w:rsid w:val="003D5A9E"/>
    <w:rsid w:val="004930E5"/>
    <w:rsid w:val="004D1751"/>
    <w:rsid w:val="006221E7"/>
    <w:rsid w:val="00650DF9"/>
    <w:rsid w:val="007956ED"/>
    <w:rsid w:val="007D4701"/>
    <w:rsid w:val="007F5B06"/>
    <w:rsid w:val="00955F58"/>
    <w:rsid w:val="009A6421"/>
    <w:rsid w:val="009D5716"/>
    <w:rsid w:val="00A21A06"/>
    <w:rsid w:val="00A33D7C"/>
    <w:rsid w:val="00A405C4"/>
    <w:rsid w:val="00C2513C"/>
    <w:rsid w:val="00D00ABA"/>
    <w:rsid w:val="00D50158"/>
    <w:rsid w:val="00D96C24"/>
    <w:rsid w:val="00E53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EE7A6E"/>
  <w15:chartTrackingRefBased/>
  <w15:docId w15:val="{B9F42C09-DBFA-40FC-A6CE-285B348FC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6C24"/>
    <w:pPr>
      <w:widowControl w:val="0"/>
      <w:autoSpaceDE w:val="0"/>
      <w:autoSpaceDN w:val="0"/>
      <w:spacing w:after="0" w:line="480" w:lineRule="auto"/>
    </w:pPr>
    <w:rPr>
      <w:rFonts w:ascii="Times New Roman" w:eastAsia="Arial" w:hAnsi="Times New Roman" w:cs="Arial"/>
      <w:sz w:val="24"/>
    </w:rPr>
  </w:style>
  <w:style w:type="paragraph" w:styleId="Heading1">
    <w:name w:val="heading 1"/>
    <w:basedOn w:val="Normal"/>
    <w:next w:val="Normal"/>
    <w:link w:val="Heading1Char"/>
    <w:uiPriority w:val="9"/>
    <w:qFormat/>
    <w:rsid w:val="003A6C24"/>
    <w:pPr>
      <w:keepNext/>
      <w:keepLines/>
      <w:outlineLvl w:val="0"/>
    </w:pPr>
    <w:rPr>
      <w:rFonts w:eastAsiaTheme="majorEastAsia" w:cstheme="majorBidi"/>
      <w:b/>
      <w:sz w:val="32"/>
      <w:szCs w:val="32"/>
    </w:rPr>
  </w:style>
  <w:style w:type="paragraph" w:styleId="Heading2">
    <w:name w:val="heading 2"/>
    <w:basedOn w:val="Normal"/>
    <w:next w:val="Normal"/>
    <w:link w:val="Heading2Char"/>
    <w:autoRedefine/>
    <w:uiPriority w:val="9"/>
    <w:unhideWhenUsed/>
    <w:qFormat/>
    <w:rsid w:val="004D1751"/>
    <w:pPr>
      <w:keepNext/>
      <w:keepLines/>
      <w:outlineLvl w:val="1"/>
    </w:pPr>
    <w:rPr>
      <w:rFonts w:eastAsiaTheme="majorEastAsia" w:cs="Times New Roman"/>
      <w:b/>
      <w:bCs/>
      <w:sz w:val="28"/>
      <w:szCs w:val="28"/>
      <w:bdr w:val="nil"/>
      <w:lang w:val="en-GB"/>
    </w:rPr>
  </w:style>
  <w:style w:type="paragraph" w:styleId="Heading3">
    <w:name w:val="heading 3"/>
    <w:basedOn w:val="Normal"/>
    <w:next w:val="Normal"/>
    <w:link w:val="Heading3Char"/>
    <w:autoRedefine/>
    <w:uiPriority w:val="9"/>
    <w:unhideWhenUsed/>
    <w:qFormat/>
    <w:rsid w:val="003A6C24"/>
    <w:pPr>
      <w:keepNext/>
      <w:keepLines/>
      <w:outlineLvl w:val="2"/>
    </w:pPr>
    <w:rPr>
      <w:rFonts w:eastAsia="Calibri" w:cs="Times New Roman"/>
      <w:b/>
      <w:bCs/>
      <w:szCs w:val="24"/>
      <w:bdr w:val="nil"/>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6C24"/>
    <w:rPr>
      <w:rFonts w:ascii="Times New Roman" w:eastAsiaTheme="majorEastAsia" w:hAnsi="Times New Roman" w:cstheme="majorBidi"/>
      <w:b/>
      <w:sz w:val="32"/>
      <w:szCs w:val="32"/>
    </w:rPr>
  </w:style>
  <w:style w:type="character" w:customStyle="1" w:styleId="Heading2Char">
    <w:name w:val="Heading 2 Char"/>
    <w:basedOn w:val="DefaultParagraphFont"/>
    <w:link w:val="Heading2"/>
    <w:uiPriority w:val="9"/>
    <w:rsid w:val="004D1751"/>
    <w:rPr>
      <w:rFonts w:ascii="Times New Roman" w:eastAsiaTheme="majorEastAsia" w:hAnsi="Times New Roman" w:cs="Times New Roman"/>
      <w:b/>
      <w:bCs/>
      <w:sz w:val="28"/>
      <w:szCs w:val="28"/>
      <w:bdr w:val="nil"/>
      <w:lang w:val="en-GB"/>
    </w:rPr>
  </w:style>
  <w:style w:type="character" w:customStyle="1" w:styleId="Heading3Char">
    <w:name w:val="Heading 3 Char"/>
    <w:basedOn w:val="DefaultParagraphFont"/>
    <w:link w:val="Heading3"/>
    <w:uiPriority w:val="9"/>
    <w:rsid w:val="003A6C24"/>
    <w:rPr>
      <w:rFonts w:ascii="Times New Roman" w:eastAsia="Calibri" w:hAnsi="Times New Roman" w:cs="Times New Roman"/>
      <w:b/>
      <w:bCs/>
      <w:sz w:val="24"/>
      <w:szCs w:val="24"/>
      <w:bdr w:val="nil"/>
      <w:lang w:val="en-GB"/>
    </w:rPr>
  </w:style>
  <w:style w:type="character" w:styleId="CommentReference">
    <w:name w:val="annotation reference"/>
    <w:basedOn w:val="DefaultParagraphFont"/>
    <w:uiPriority w:val="99"/>
    <w:unhideWhenUsed/>
    <w:rsid w:val="003A6C24"/>
    <w:rPr>
      <w:sz w:val="16"/>
      <w:szCs w:val="16"/>
    </w:rPr>
  </w:style>
  <w:style w:type="character" w:styleId="Hyperlink">
    <w:name w:val="Hyperlink"/>
    <w:basedOn w:val="DefaultParagraphFont"/>
    <w:uiPriority w:val="99"/>
    <w:semiHidden/>
    <w:unhideWhenUsed/>
    <w:rsid w:val="004930E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4716168">
      <w:bodyDiv w:val="1"/>
      <w:marLeft w:val="0"/>
      <w:marRight w:val="0"/>
      <w:marTop w:val="0"/>
      <w:marBottom w:val="0"/>
      <w:divBdr>
        <w:top w:val="none" w:sz="0" w:space="0" w:color="auto"/>
        <w:left w:val="none" w:sz="0" w:space="0" w:color="auto"/>
        <w:bottom w:val="none" w:sz="0" w:space="0" w:color="auto"/>
        <w:right w:val="none" w:sz="0" w:space="0" w:color="auto"/>
      </w:divBdr>
    </w:div>
    <w:div w:id="1613394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ia.gov/the-world-factbook/countries/burkina-faso/" TargetMode="External"/><Relationship Id="rId13" Type="http://schemas.openxmlformats.org/officeDocument/2006/relationships/hyperlink" Target="https://population.un.org/wpp/"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data.worldbank.org/indicator/SE.ADT.LITR.ZS?locations=MZ&amp;view=char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fao.org/mozambique"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cia.gov/library/publications/the-world-factbook/geos/mz.html.%20Accessed%2014%20Jun%202019" TargetMode="External"/><Relationship Id="rId4" Type="http://schemas.openxmlformats.org/officeDocument/2006/relationships/numbering" Target="numbering.xml"/><Relationship Id="rId9" Type="http://schemas.openxmlformats.org/officeDocument/2006/relationships/hyperlink" Target="https://climateknowledgeportal.worldbank.org/country/burkina-faso/climate-data-historical" TargetMode="External"/><Relationship Id="rId14" Type="http://schemas.openxmlformats.org/officeDocument/2006/relationships/hyperlink" Target="https://www.un.org/en/preventgenocide/rwand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1F6582CD5F67C49ACB183570E6BC3F9" ma:contentTypeVersion="12" ma:contentTypeDescription="Create a new document." ma:contentTypeScope="" ma:versionID="cc3208a240b489053796e0fce53b31e5">
  <xsd:schema xmlns:xsd="http://www.w3.org/2001/XMLSchema" xmlns:xs="http://www.w3.org/2001/XMLSchema" xmlns:p="http://schemas.microsoft.com/office/2006/metadata/properties" xmlns:ns2="269ca7c6-accd-41c9-b949-11d9f3a38e3a" xmlns:ns3="094d32f4-d664-4cca-ae06-85aa94bb1fb0" targetNamespace="http://schemas.microsoft.com/office/2006/metadata/properties" ma:root="true" ma:fieldsID="b8f621f640d6aa7ff76a26994236d179" ns2:_="" ns3:_="">
    <xsd:import namespace="269ca7c6-accd-41c9-b949-11d9f3a38e3a"/>
    <xsd:import namespace="094d32f4-d664-4cca-ae06-85aa94bb1fb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9ca7c6-accd-41c9-b949-11d9f3a38e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94d32f4-d664-4cca-ae06-85aa94bb1fb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73BFADE-E310-46E0-BC6B-C7F760CE290E}">
  <ds:schemaRefs>
    <ds:schemaRef ds:uri="http://schemas.microsoft.com/sharepoint/v3/contenttype/forms"/>
  </ds:schemaRefs>
</ds:datastoreItem>
</file>

<file path=customXml/itemProps2.xml><?xml version="1.0" encoding="utf-8"?>
<ds:datastoreItem xmlns:ds="http://schemas.openxmlformats.org/officeDocument/2006/customXml" ds:itemID="{85826181-08F2-41B1-95A9-E2A524F810C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B8CCEED-19DF-4872-92BE-330D9F2FA6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9ca7c6-accd-41c9-b949-11d9f3a38e3a"/>
    <ds:schemaRef ds:uri="094d32f4-d664-4cca-ae06-85aa94bb1f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13</Pages>
  <Words>3181</Words>
  <Characters>18138</Characters>
  <Application>Microsoft Office Word</Application>
  <DocSecurity>0</DocSecurity>
  <Lines>151</Lines>
  <Paragraphs>42</Paragraphs>
  <ScaleCrop>false</ScaleCrop>
  <Company/>
  <LinksUpToDate>false</LinksUpToDate>
  <CharactersWithSpaces>21277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Kyra Arnett</dc:creator>
  <cp:keywords/>
  <dc:description/>
  <cp:lastModifiedBy>Peder Digre</cp:lastModifiedBy>
  <cp:revision>22</cp:revision>
  <dcterms:created xsi:type="dcterms:W3CDTF">2021-12-30T17:32:00Z</dcterms:created>
  <dcterms:modified xsi:type="dcterms:W3CDTF">2021-12-30T17:55:00Z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0x01010051F6582CD5F67C49ACB183570E6BC3F9</vt:lpwstr>
  </property>
</Properties>
</file>