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2CF2" w14:textId="6FD1B74B" w:rsidR="005900F5" w:rsidRPr="00E220D8" w:rsidRDefault="005B2726" w:rsidP="00124078">
      <w:pPr>
        <w:jc w:val="both"/>
        <w:rPr>
          <w:rFonts w:cs="Arial"/>
          <w:b/>
          <w:sz w:val="28"/>
        </w:rPr>
      </w:pPr>
      <w:r>
        <w:rPr>
          <w:rFonts w:cs="Arial"/>
          <w:b/>
          <w:sz w:val="28"/>
        </w:rPr>
        <w:t>Additional file</w:t>
      </w:r>
      <w:r w:rsidR="009816AC">
        <w:rPr>
          <w:rFonts w:cs="Arial"/>
          <w:b/>
          <w:sz w:val="28"/>
        </w:rPr>
        <w:t xml:space="preserve"> </w:t>
      </w:r>
      <w:r w:rsidR="00DD5511">
        <w:rPr>
          <w:rFonts w:cs="Arial"/>
          <w:b/>
          <w:sz w:val="28"/>
        </w:rPr>
        <w:t>2</w:t>
      </w:r>
      <w:r>
        <w:rPr>
          <w:rFonts w:cs="Arial"/>
          <w:b/>
          <w:sz w:val="28"/>
        </w:rPr>
        <w:t xml:space="preserve">: </w:t>
      </w:r>
      <w:r w:rsidR="00A52749">
        <w:rPr>
          <w:rFonts w:cs="Arial"/>
          <w:b/>
          <w:sz w:val="28"/>
        </w:rPr>
        <w:t>Historical trends per strata and fitting performance</w:t>
      </w:r>
    </w:p>
    <w:p w14:paraId="36AD16C2" w14:textId="77777777" w:rsidR="00874669" w:rsidRDefault="00874669" w:rsidP="00DB64E5"/>
    <w:p w14:paraId="294EE36D" w14:textId="77777777" w:rsidR="00BB3150" w:rsidRPr="00BB3150" w:rsidRDefault="00BB3150" w:rsidP="00DB64E5">
      <w:pPr>
        <w:rPr>
          <w:b/>
        </w:rPr>
      </w:pPr>
      <w:r w:rsidRPr="00BB3150">
        <w:rPr>
          <w:b/>
        </w:rPr>
        <w:t>Historical trend in prevalence</w:t>
      </w:r>
    </w:p>
    <w:p w14:paraId="527782FF" w14:textId="77777777" w:rsidR="00FE54C3" w:rsidRPr="004628C3" w:rsidRDefault="00BB3150" w:rsidP="00FE54C3">
      <w:pPr>
        <w:spacing w:after="0"/>
      </w:pPr>
      <w:r>
        <w:rPr>
          <w:noProof/>
          <w:lang w:eastAsia="en-GB"/>
        </w:rPr>
        <w:drawing>
          <wp:inline distT="0" distB="0" distL="0" distR="0" wp14:anchorId="2766F32F" wp14:editId="338C10DD">
            <wp:extent cx="5760720" cy="43205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ngma\Projects\OM_TZA\Paper\Paper2\reproducedPipeline_RESIM_v2\fig\timeline_simobs_boxplot.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60720" cy="4320539"/>
                    </a:xfrm>
                    <a:prstGeom prst="rect">
                      <a:avLst/>
                    </a:prstGeom>
                    <a:noFill/>
                    <a:ln>
                      <a:noFill/>
                    </a:ln>
                  </pic:spPr>
                </pic:pic>
              </a:graphicData>
            </a:graphic>
          </wp:inline>
        </w:drawing>
      </w:r>
    </w:p>
    <w:p w14:paraId="4DE94588" w14:textId="179CF6AB" w:rsidR="00FE54C3" w:rsidRPr="004628C3" w:rsidRDefault="00FE54C3" w:rsidP="00FE54C3">
      <w:pPr>
        <w:pStyle w:val="Description"/>
        <w:rPr>
          <w:rFonts w:asciiTheme="minorHAnsi" w:hAnsiTheme="minorHAnsi"/>
          <w:b/>
        </w:rPr>
      </w:pPr>
      <w:bookmarkStart w:id="0" w:name="_Ref17637340"/>
      <w:bookmarkStart w:id="1" w:name="_Ref20407660"/>
      <w:bookmarkStart w:id="2" w:name="_Toc17486128"/>
      <w:r w:rsidRPr="004628C3">
        <w:rPr>
          <w:rFonts w:asciiTheme="minorHAnsi" w:hAnsiTheme="minorHAnsi"/>
          <w:b/>
        </w:rPr>
        <w:t xml:space="preserve">Figure </w:t>
      </w:r>
      <w:bookmarkEnd w:id="0"/>
      <w:bookmarkEnd w:id="1"/>
      <w:r w:rsidR="00EA107E">
        <w:rPr>
          <w:rFonts w:asciiTheme="minorHAnsi" w:hAnsiTheme="minorHAnsi"/>
          <w:b/>
        </w:rPr>
        <w:t>A2.1</w:t>
      </w:r>
      <w:r w:rsidR="00BB3150">
        <w:rPr>
          <w:rFonts w:asciiTheme="minorHAnsi" w:hAnsiTheme="minorHAnsi"/>
          <w:b/>
        </w:rPr>
        <w:t xml:space="preserve">: </w:t>
      </w:r>
      <w:bookmarkEnd w:id="2"/>
      <w:r w:rsidR="00BB3150">
        <w:rPr>
          <w:rFonts w:asciiTheme="minorHAnsi" w:hAnsiTheme="minorHAnsi"/>
          <w:b/>
        </w:rPr>
        <w:t>Model-predicted and simulated malaria prevalence and estimated transmission intensity</w:t>
      </w:r>
    </w:p>
    <w:p w14:paraId="091D4488" w14:textId="77777777" w:rsidR="00FE54C3" w:rsidRDefault="00FE54C3" w:rsidP="00FE54C3">
      <w:pPr>
        <w:spacing w:after="0"/>
        <w:jc w:val="both"/>
        <w:rPr>
          <w:sz w:val="20"/>
        </w:rPr>
      </w:pPr>
      <w:r w:rsidRPr="001F566C">
        <w:rPr>
          <w:b/>
          <w:sz w:val="20"/>
        </w:rPr>
        <w:t>A)</w:t>
      </w:r>
      <w:r>
        <w:rPr>
          <w:sz w:val="20"/>
        </w:rPr>
        <w:t xml:space="preserve"> </w:t>
      </w:r>
      <w:r w:rsidRPr="004628C3">
        <w:rPr>
          <w:sz w:val="20"/>
        </w:rPr>
        <w:t xml:space="preserve">The </w:t>
      </w:r>
      <w:r>
        <w:rPr>
          <w:sz w:val="20"/>
        </w:rPr>
        <w:t>lines without points</w:t>
      </w:r>
      <w:r w:rsidRPr="004628C3">
        <w:rPr>
          <w:sz w:val="20"/>
        </w:rPr>
        <w:t xml:space="preserve"> show the </w:t>
      </w:r>
      <w:r>
        <w:rPr>
          <w:sz w:val="20"/>
        </w:rPr>
        <w:t xml:space="preserve">prevalence simulated from </w:t>
      </w:r>
      <w:r w:rsidRPr="004628C3">
        <w:rPr>
          <w:sz w:val="20"/>
        </w:rPr>
        <w:t>the mathematical model and the line</w:t>
      </w:r>
      <w:r>
        <w:rPr>
          <w:sz w:val="20"/>
        </w:rPr>
        <w:t xml:space="preserve"> with annual points shows</w:t>
      </w:r>
      <w:r w:rsidRPr="004628C3">
        <w:rPr>
          <w:sz w:val="20"/>
        </w:rPr>
        <w:t xml:space="preserve"> the geospatial </w:t>
      </w:r>
      <w:r>
        <w:rPr>
          <w:sz w:val="20"/>
        </w:rPr>
        <w:t>predicted prevalence</w:t>
      </w:r>
      <w:r w:rsidRPr="004628C3">
        <w:rPr>
          <w:sz w:val="20"/>
        </w:rPr>
        <w:t xml:space="preserve">. The filled points indicate the </w:t>
      </w:r>
      <w:r>
        <w:rPr>
          <w:sz w:val="20"/>
        </w:rPr>
        <w:t xml:space="preserve">estimates included and the </w:t>
      </w:r>
      <w:r w:rsidRPr="004628C3">
        <w:rPr>
          <w:sz w:val="20"/>
        </w:rPr>
        <w:t xml:space="preserve">white points the </w:t>
      </w:r>
      <w:r>
        <w:rPr>
          <w:sz w:val="20"/>
        </w:rPr>
        <w:t xml:space="preserve">estimates </w:t>
      </w:r>
      <w:r w:rsidRPr="004628C3">
        <w:rPr>
          <w:sz w:val="20"/>
        </w:rPr>
        <w:t xml:space="preserve">not included in the fitting. The shaded area shows the confidence interval based on </w:t>
      </w:r>
      <w:r>
        <w:rPr>
          <w:sz w:val="20"/>
        </w:rPr>
        <w:t>geographical heterogeneity between</w:t>
      </w:r>
      <w:r w:rsidRPr="004628C3">
        <w:rPr>
          <w:sz w:val="20"/>
        </w:rPr>
        <w:t xml:space="preserve"> the councils. The vertical </w:t>
      </w:r>
      <w:r>
        <w:rPr>
          <w:sz w:val="20"/>
        </w:rPr>
        <w:t xml:space="preserve">dashed </w:t>
      </w:r>
      <w:r w:rsidRPr="004628C3">
        <w:rPr>
          <w:sz w:val="20"/>
        </w:rPr>
        <w:t>line</w:t>
      </w:r>
      <w:r>
        <w:rPr>
          <w:sz w:val="20"/>
        </w:rPr>
        <w:t>s</w:t>
      </w:r>
      <w:r w:rsidRPr="004628C3">
        <w:rPr>
          <w:sz w:val="20"/>
        </w:rPr>
        <w:t xml:space="preserve"> show the baseline year and the </w:t>
      </w:r>
      <w:r>
        <w:rPr>
          <w:sz w:val="20"/>
        </w:rPr>
        <w:t xml:space="preserve">grey </w:t>
      </w:r>
      <w:r w:rsidRPr="004628C3">
        <w:rPr>
          <w:sz w:val="20"/>
        </w:rPr>
        <w:t>shaded area the time between 2016 and 2017.</w:t>
      </w:r>
      <w:r>
        <w:rPr>
          <w:sz w:val="20"/>
        </w:rPr>
        <w:t xml:space="preserve"> </w:t>
      </w:r>
      <w:r w:rsidRPr="001F566C">
        <w:rPr>
          <w:b/>
          <w:sz w:val="20"/>
        </w:rPr>
        <w:t>B)</w:t>
      </w:r>
      <w:r>
        <w:rPr>
          <w:sz w:val="20"/>
        </w:rPr>
        <w:t xml:space="preserve"> Estimated pre-intervention EIR. </w:t>
      </w:r>
      <w:r w:rsidRPr="001F566C">
        <w:rPr>
          <w:b/>
          <w:sz w:val="20"/>
        </w:rPr>
        <w:t>C)</w:t>
      </w:r>
      <w:r>
        <w:rPr>
          <w:sz w:val="20"/>
        </w:rPr>
        <w:t xml:space="preserve"> Average-weighted simulated prevalence </w:t>
      </w:r>
      <w:r w:rsidR="00692FB9">
        <w:rPr>
          <w:sz w:val="20"/>
        </w:rPr>
        <w:t xml:space="preserve">(OpenMalaria) </w:t>
      </w:r>
      <w:r>
        <w:rPr>
          <w:sz w:val="20"/>
        </w:rPr>
        <w:t xml:space="preserve">in comparison to </w:t>
      </w:r>
      <w:r w:rsidR="00692FB9">
        <w:rPr>
          <w:sz w:val="20"/>
        </w:rPr>
        <w:t>model-based geostatistical (MBG)</w:t>
      </w:r>
      <w:r>
        <w:rPr>
          <w:sz w:val="20"/>
        </w:rPr>
        <w:t>-predicted prevalence for 2016.</w:t>
      </w:r>
    </w:p>
    <w:p w14:paraId="42DACBE1" w14:textId="77777777" w:rsidR="00FE54C3" w:rsidRDefault="00FE54C3" w:rsidP="00124078">
      <w:pPr>
        <w:spacing w:line="360" w:lineRule="auto"/>
        <w:jc w:val="both"/>
        <w:rPr>
          <w:lang w:eastAsia="de-DE"/>
        </w:rPr>
      </w:pPr>
    </w:p>
    <w:p w14:paraId="5ECC5299" w14:textId="77777777" w:rsidR="00641F59" w:rsidRPr="00E220D8" w:rsidRDefault="00641F59" w:rsidP="00124078">
      <w:pPr>
        <w:spacing w:after="0"/>
        <w:jc w:val="both"/>
      </w:pPr>
      <w:r w:rsidRPr="00E220D8">
        <w:rPr>
          <w:noProof/>
          <w:lang w:eastAsia="en-GB"/>
        </w:rPr>
        <w:lastRenderedPageBreak/>
        <w:drawing>
          <wp:inline distT="0" distB="0" distL="0" distR="0" wp14:anchorId="1F6FD05E" wp14:editId="4AD50BB4">
            <wp:extent cx="5760719" cy="310192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ngma\Projects\OM_TZA\OM_Iterations\Experiments\Hist_and_Fut\TZA_MappingWS_Nov2018_Jan2019\RefittedSimulations\20180216_OMTZARegions_combined_ALLInt\Figures\combined_timeline_perDis.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0719" cy="3101926"/>
                    </a:xfrm>
                    <a:prstGeom prst="rect">
                      <a:avLst/>
                    </a:prstGeom>
                    <a:noFill/>
                    <a:ln>
                      <a:noFill/>
                    </a:ln>
                  </pic:spPr>
                </pic:pic>
              </a:graphicData>
            </a:graphic>
          </wp:inline>
        </w:drawing>
      </w:r>
    </w:p>
    <w:p w14:paraId="5F89ABF2" w14:textId="5C6717EE" w:rsidR="00641F59" w:rsidRPr="00DB64E5" w:rsidRDefault="00641F59" w:rsidP="00DB64E5">
      <w:pPr>
        <w:spacing w:after="0"/>
        <w:rPr>
          <w:rFonts w:eastAsia="Times New Roman"/>
          <w:b/>
          <w:lang w:eastAsia="de-DE"/>
        </w:rPr>
      </w:pPr>
      <w:bookmarkStart w:id="3" w:name="_Toc17486125"/>
      <w:r w:rsidRPr="00DB64E5">
        <w:rPr>
          <w:rFonts w:eastAsia="Times New Roman"/>
          <w:b/>
          <w:lang w:eastAsia="de-DE"/>
        </w:rPr>
        <w:t xml:space="preserve">Figure </w:t>
      </w:r>
      <w:r w:rsidR="00EA107E">
        <w:rPr>
          <w:b/>
        </w:rPr>
        <w:t>A2.</w:t>
      </w:r>
      <w:r w:rsidR="00EA107E">
        <w:rPr>
          <w:rFonts w:eastAsia="Times New Roman"/>
          <w:b/>
          <w:lang w:eastAsia="de-DE"/>
        </w:rPr>
        <w:t>2</w:t>
      </w:r>
      <w:r w:rsidRPr="00DB64E5">
        <w:rPr>
          <w:rFonts w:eastAsia="Times New Roman"/>
          <w:b/>
          <w:lang w:eastAsia="de-DE"/>
        </w:rPr>
        <w:t xml:space="preserve">: </w:t>
      </w:r>
      <w:r w:rsidR="00692FB9">
        <w:rPr>
          <w:rFonts w:eastAsia="Times New Roman"/>
          <w:b/>
          <w:lang w:eastAsia="de-DE"/>
        </w:rPr>
        <w:t>Heterogeneity in malaria prevalence</w:t>
      </w:r>
      <w:r w:rsidRPr="00DB64E5">
        <w:rPr>
          <w:rFonts w:eastAsia="Times New Roman"/>
          <w:b/>
          <w:lang w:eastAsia="de-DE"/>
        </w:rPr>
        <w:t xml:space="preserve"> per</w:t>
      </w:r>
      <w:r w:rsidR="00035F0C" w:rsidRPr="00DB64E5">
        <w:rPr>
          <w:rFonts w:eastAsia="Times New Roman"/>
          <w:b/>
          <w:lang w:eastAsia="de-DE"/>
        </w:rPr>
        <w:t xml:space="preserve"> council</w:t>
      </w:r>
      <w:r w:rsidR="00692FB9">
        <w:rPr>
          <w:rFonts w:eastAsia="Times New Roman"/>
          <w:b/>
          <w:lang w:eastAsia="de-DE"/>
        </w:rPr>
        <w:t>,</w:t>
      </w:r>
      <w:r w:rsidR="00035F0C" w:rsidRPr="00DB64E5">
        <w:rPr>
          <w:rFonts w:eastAsia="Times New Roman"/>
          <w:b/>
          <w:lang w:eastAsia="de-DE"/>
        </w:rPr>
        <w:t xml:space="preserve"> grouped by</w:t>
      </w:r>
      <w:r w:rsidRPr="00DB64E5">
        <w:rPr>
          <w:rFonts w:eastAsia="Times New Roman"/>
          <w:b/>
          <w:lang w:eastAsia="de-DE"/>
        </w:rPr>
        <w:t xml:space="preserve"> strata</w:t>
      </w:r>
      <w:r w:rsidR="00692FB9">
        <w:rPr>
          <w:rFonts w:eastAsia="Times New Roman"/>
          <w:b/>
          <w:lang w:eastAsia="de-DE"/>
        </w:rPr>
        <w:t>,</w:t>
      </w:r>
      <w:r w:rsidR="00035F0C" w:rsidRPr="00DB64E5">
        <w:rPr>
          <w:rFonts w:eastAsia="Times New Roman"/>
          <w:b/>
          <w:lang w:eastAsia="de-DE"/>
        </w:rPr>
        <w:t xml:space="preserve"> 2003-2016</w:t>
      </w:r>
      <w:bookmarkEnd w:id="3"/>
    </w:p>
    <w:p w14:paraId="3F964020" w14:textId="77777777" w:rsidR="00035F0C" w:rsidRDefault="00035F0C" w:rsidP="00124078">
      <w:pPr>
        <w:jc w:val="both"/>
        <w:rPr>
          <w:lang w:eastAsia="de-DE"/>
        </w:rPr>
      </w:pPr>
      <w:r>
        <w:rPr>
          <w:lang w:eastAsia="de-DE"/>
        </w:rPr>
        <w:t xml:space="preserve">The historical trend in </w:t>
      </w:r>
      <w:r w:rsidRPr="00035F0C">
        <w:rPr>
          <w:lang w:eastAsia="de-DE"/>
        </w:rPr>
        <w:t>simulated</w:t>
      </w:r>
      <w:r>
        <w:rPr>
          <w:lang w:eastAsia="de-DE"/>
        </w:rPr>
        <w:t xml:space="preserve"> prevalence</w:t>
      </w:r>
      <w:r w:rsidRPr="00035F0C">
        <w:rPr>
          <w:lang w:eastAsia="de-DE"/>
        </w:rPr>
        <w:t xml:space="preserve"> (top</w:t>
      </w:r>
      <w:r>
        <w:rPr>
          <w:lang w:eastAsia="de-DE"/>
        </w:rPr>
        <w:t xml:space="preserve"> row</w:t>
      </w:r>
      <w:r w:rsidRPr="00035F0C">
        <w:rPr>
          <w:lang w:eastAsia="de-DE"/>
        </w:rPr>
        <w:t xml:space="preserve">) and geospatial predicted </w:t>
      </w:r>
      <w:r>
        <w:rPr>
          <w:lang w:eastAsia="de-DE"/>
        </w:rPr>
        <w:t xml:space="preserve">prevalence </w:t>
      </w:r>
      <w:r w:rsidRPr="00035F0C">
        <w:rPr>
          <w:lang w:eastAsia="de-DE"/>
        </w:rPr>
        <w:t>(bottom</w:t>
      </w:r>
      <w:r>
        <w:rPr>
          <w:lang w:eastAsia="de-DE"/>
        </w:rPr>
        <w:t xml:space="preserve"> row</w:t>
      </w:r>
      <w:r w:rsidRPr="00035F0C">
        <w:rPr>
          <w:lang w:eastAsia="de-DE"/>
        </w:rPr>
        <w:t>)</w:t>
      </w:r>
      <w:r>
        <w:rPr>
          <w:lang w:eastAsia="de-DE"/>
        </w:rPr>
        <w:t>. Each line corresponds to one council and the black line shows the average per strata.</w:t>
      </w:r>
    </w:p>
    <w:p w14:paraId="29045A7E" w14:textId="77777777" w:rsidR="00035F0C" w:rsidRPr="00E220D8" w:rsidRDefault="00035F0C" w:rsidP="00124078">
      <w:pPr>
        <w:spacing w:after="0"/>
        <w:jc w:val="both"/>
        <w:rPr>
          <w:lang w:eastAsia="de-DE"/>
        </w:rPr>
      </w:pPr>
      <w:r>
        <w:rPr>
          <w:noProof/>
          <w:lang w:eastAsia="en-GB"/>
        </w:rPr>
        <w:drawing>
          <wp:inline distT="0" distB="0" distL="0" distR="0" wp14:anchorId="5D79CDF8" wp14:editId="709C2D72">
            <wp:extent cx="5276850" cy="2638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ngma\Projects\OM_TZA\Paper\Paper2\reproducedPipeline\fig\additional\scatter_2003_2016.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6850" cy="2638425"/>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104C80" w14:textId="2B48ADAE" w:rsidR="00035F0C" w:rsidRPr="00DB64E5" w:rsidRDefault="00035F0C" w:rsidP="00DB64E5">
      <w:pPr>
        <w:spacing w:after="0"/>
        <w:rPr>
          <w:b/>
        </w:rPr>
      </w:pPr>
      <w:bookmarkStart w:id="4" w:name="_Toc17486126"/>
      <w:r w:rsidRPr="00DB64E5">
        <w:rPr>
          <w:b/>
        </w:rPr>
        <w:t xml:space="preserve">Figure </w:t>
      </w:r>
      <w:r w:rsidR="00EA107E">
        <w:rPr>
          <w:b/>
        </w:rPr>
        <w:t>A2.3</w:t>
      </w:r>
      <w:r w:rsidRPr="00DB64E5">
        <w:rPr>
          <w:b/>
        </w:rPr>
        <w:t xml:space="preserve">: </w:t>
      </w:r>
      <w:r w:rsidR="001E42B1" w:rsidRPr="00DB64E5">
        <w:rPr>
          <w:b/>
        </w:rPr>
        <w:t>Fitting performance for simulated prevalence per council grouped by strata</w:t>
      </w:r>
      <w:bookmarkEnd w:id="4"/>
    </w:p>
    <w:p w14:paraId="375381DF" w14:textId="6A2EE33C" w:rsidR="001E42B1" w:rsidRDefault="001E42B1" w:rsidP="00124078">
      <w:pPr>
        <w:spacing w:after="0"/>
        <w:jc w:val="both"/>
        <w:rPr>
          <w:lang w:eastAsia="de-DE"/>
        </w:rPr>
      </w:pPr>
      <w:r w:rsidRPr="00B93C68">
        <w:rPr>
          <w:lang w:eastAsia="de-DE"/>
        </w:rPr>
        <w:t>The figure shows the predicted prevalence and the geo-statistical model prevalence. The pre-intervention (2003) and baseline year (2016) are the most relevant historical time points since the prevalence before the deployment of interventions determines the level of possible rebound, and the prevalence in the baseline year is used as a comparator for assessing the relative impact of future interventions. The scatter plots shows the respective prevalence estimates with the regression line (coloured line), and perfect correspondence line (black line) grouped by strata. CCC = Lin’s conco</w:t>
      </w:r>
      <w:r w:rsidR="00F77ACD" w:rsidRPr="00B93C68">
        <w:rPr>
          <w:lang w:eastAsia="de-DE"/>
        </w:rPr>
        <w:t>rdance correlation coefficients</w:t>
      </w:r>
      <w:r w:rsidR="00692FB9" w:rsidRPr="008E5C54">
        <w:rPr>
          <w:rStyle w:val="FootnoteReference"/>
        </w:rPr>
        <w:footnoteReference w:id="1"/>
      </w:r>
      <w:r w:rsidR="00692FB9">
        <w:rPr>
          <w:lang w:eastAsia="de-DE"/>
        </w:rPr>
        <w:t>.</w:t>
      </w:r>
    </w:p>
    <w:p w14:paraId="23D075C0" w14:textId="4E62EDA7" w:rsidR="00331FCD" w:rsidRDefault="00331FCD" w:rsidP="00124078">
      <w:pPr>
        <w:spacing w:after="0"/>
        <w:jc w:val="both"/>
        <w:rPr>
          <w:lang w:eastAsia="de-DE"/>
        </w:rPr>
      </w:pPr>
    </w:p>
    <w:p w14:paraId="4443F4A3" w14:textId="77777777" w:rsidR="00331FCD" w:rsidRDefault="00331FCD" w:rsidP="00124078">
      <w:pPr>
        <w:spacing w:after="0"/>
        <w:jc w:val="both"/>
        <w:rPr>
          <w:lang w:eastAsia="de-DE"/>
        </w:rPr>
      </w:pPr>
    </w:p>
    <w:p w14:paraId="19AA2AC5" w14:textId="5B2325BF" w:rsidR="00DE5D07" w:rsidRDefault="00331FCD" w:rsidP="00692FB9">
      <w:pPr>
        <w:rPr>
          <w:b/>
          <w:sz w:val="24"/>
        </w:rPr>
      </w:pPr>
      <w:bookmarkStart w:id="5" w:name="_Toc17486129"/>
      <w:r>
        <w:rPr>
          <w:b/>
          <w:sz w:val="24"/>
        </w:rPr>
        <w:lastRenderedPageBreak/>
        <w:t>Future intervention</w:t>
      </w:r>
      <w:r w:rsidR="00533AE6" w:rsidRPr="00692FB9">
        <w:rPr>
          <w:b/>
          <w:sz w:val="24"/>
        </w:rPr>
        <w:t xml:space="preserve"> predictions</w:t>
      </w:r>
    </w:p>
    <w:p w14:paraId="52A3B502" w14:textId="6D5CA903" w:rsidR="00627322" w:rsidRDefault="00BE047F" w:rsidP="00CF4220">
      <w:pPr>
        <w:spacing w:after="0"/>
        <w:rPr>
          <w:b/>
          <w:sz w:val="24"/>
        </w:rPr>
      </w:pPr>
      <w:r>
        <w:rPr>
          <w:noProof/>
        </w:rPr>
        <w:drawing>
          <wp:inline distT="0" distB="0" distL="0" distR="0" wp14:anchorId="62D58D4C" wp14:editId="7728D76F">
            <wp:extent cx="5248275" cy="3061494"/>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179" cy="3063188"/>
                    </a:xfrm>
                    <a:prstGeom prst="rect">
                      <a:avLst/>
                    </a:prstGeom>
                    <a:noFill/>
                    <a:ln>
                      <a:noFill/>
                    </a:ln>
                  </pic:spPr>
                </pic:pic>
              </a:graphicData>
            </a:graphic>
          </wp:inline>
        </w:drawing>
      </w:r>
    </w:p>
    <w:p w14:paraId="411F80F6" w14:textId="5AFED9DC" w:rsidR="00B8271F" w:rsidRDefault="00627322" w:rsidP="00B8271F">
      <w:pPr>
        <w:spacing w:after="0"/>
        <w:rPr>
          <w:b/>
        </w:rPr>
      </w:pPr>
      <w:r w:rsidRPr="00DB64E5">
        <w:rPr>
          <w:b/>
        </w:rPr>
        <w:t xml:space="preserve">Figure </w:t>
      </w:r>
      <w:r>
        <w:rPr>
          <w:b/>
        </w:rPr>
        <w:t>A2.4</w:t>
      </w:r>
      <w:r w:rsidRPr="00DB64E5">
        <w:rPr>
          <w:b/>
        </w:rPr>
        <w:t>:</w:t>
      </w:r>
      <w:r w:rsidRPr="00627322">
        <w:t xml:space="preserve"> </w:t>
      </w:r>
      <w:r w:rsidRPr="00627322">
        <w:rPr>
          <w:b/>
        </w:rPr>
        <w:t>Predicted prevalence</w:t>
      </w:r>
      <w:r w:rsidR="00D732D3">
        <w:rPr>
          <w:b/>
        </w:rPr>
        <w:t xml:space="preserve"> reduction </w:t>
      </w:r>
      <w:r w:rsidR="008F2E58">
        <w:rPr>
          <w:b/>
        </w:rPr>
        <w:t>between 2016 and</w:t>
      </w:r>
      <w:r w:rsidRPr="00627322">
        <w:rPr>
          <w:b/>
        </w:rPr>
        <w:t xml:space="preserve"> 2020</w:t>
      </w:r>
      <w:r w:rsidR="00D732D3">
        <w:rPr>
          <w:b/>
        </w:rPr>
        <w:t xml:space="preserve"> </w:t>
      </w:r>
      <w:r w:rsidR="00D732D3" w:rsidRPr="00627322">
        <w:rPr>
          <w:b/>
        </w:rPr>
        <w:t>per strata and strategy</w:t>
      </w:r>
      <w:r>
        <w:rPr>
          <w:b/>
        </w:rPr>
        <w:t xml:space="preserve"> </w:t>
      </w:r>
    </w:p>
    <w:p w14:paraId="6BCB0EA1" w14:textId="5BB81C38" w:rsidR="00627322" w:rsidRPr="00B8271F" w:rsidRDefault="00627322" w:rsidP="00692FB9">
      <w:pPr>
        <w:rPr>
          <w:bCs/>
          <w:sz w:val="24"/>
        </w:rPr>
      </w:pPr>
      <w:r w:rsidRPr="00B8271F">
        <w:rPr>
          <w:bCs/>
        </w:rPr>
        <w:t>Using population-weighted mean and 95%CI</w:t>
      </w:r>
    </w:p>
    <w:p w14:paraId="20266042" w14:textId="144B7BD0" w:rsidR="008E5C54" w:rsidRDefault="00F247EF" w:rsidP="004900B5">
      <w:pPr>
        <w:spacing w:after="0"/>
        <w:rPr>
          <w:b/>
          <w:sz w:val="24"/>
        </w:rPr>
      </w:pPr>
      <w:r w:rsidRPr="005E2413">
        <w:rPr>
          <w:b/>
        </w:rPr>
        <w:t xml:space="preserve">Table </w:t>
      </w:r>
      <w:r w:rsidRPr="00EA107E">
        <w:rPr>
          <w:b/>
        </w:rPr>
        <w:t>A2.</w:t>
      </w:r>
      <w:r>
        <w:rPr>
          <w:b/>
        </w:rPr>
        <w:t>1</w:t>
      </w:r>
      <w:r w:rsidRPr="005E2413">
        <w:rPr>
          <w:b/>
        </w:rPr>
        <w:t>:</w:t>
      </w:r>
      <w:r>
        <w:rPr>
          <w:b/>
        </w:rPr>
        <w:t xml:space="preserve"> Predicted </w:t>
      </w:r>
      <w:r w:rsidR="00D732D3">
        <w:rPr>
          <w:b/>
        </w:rPr>
        <w:t>reduction in prevalence in 2020 compared to 2016</w:t>
      </w:r>
      <w:r>
        <w:rPr>
          <w:b/>
        </w:rPr>
        <w:t xml:space="preserve"> per strata and strategy </w:t>
      </w:r>
    </w:p>
    <w:tbl>
      <w:tblPr>
        <w:tblW w:w="8421" w:type="dxa"/>
        <w:tblInd w:w="108" w:type="dxa"/>
        <w:tblBorders>
          <w:top w:val="single" w:sz="4" w:space="0" w:color="auto"/>
          <w:bottom w:val="single" w:sz="4" w:space="0" w:color="auto"/>
        </w:tblBorders>
        <w:tblLook w:val="04A0" w:firstRow="1" w:lastRow="0" w:firstColumn="1" w:lastColumn="0" w:noHBand="0" w:noVBand="1"/>
      </w:tblPr>
      <w:tblGrid>
        <w:gridCol w:w="1379"/>
        <w:gridCol w:w="2208"/>
        <w:gridCol w:w="774"/>
        <w:gridCol w:w="786"/>
        <w:gridCol w:w="857"/>
        <w:gridCol w:w="857"/>
        <w:gridCol w:w="774"/>
        <w:gridCol w:w="786"/>
      </w:tblGrid>
      <w:tr w:rsidR="00667562" w:rsidRPr="00F247EF" w14:paraId="5E780721" w14:textId="26F95D67" w:rsidTr="007034AA">
        <w:trPr>
          <w:trHeight w:val="271"/>
        </w:trPr>
        <w:tc>
          <w:tcPr>
            <w:tcW w:w="0" w:type="auto"/>
            <w:tcBorders>
              <w:bottom w:val="nil"/>
            </w:tcBorders>
            <w:shd w:val="clear" w:color="auto" w:fill="auto"/>
            <w:noWrap/>
            <w:vAlign w:val="bottom"/>
          </w:tcPr>
          <w:p w14:paraId="6B4F00E7" w14:textId="77777777" w:rsidR="00667562" w:rsidRPr="00F247EF" w:rsidRDefault="00667562" w:rsidP="00F247EF">
            <w:pPr>
              <w:spacing w:after="0" w:line="240" w:lineRule="auto"/>
              <w:rPr>
                <w:rFonts w:eastAsia="Times New Roman" w:cstheme="minorHAnsi"/>
                <w:b/>
                <w:bCs/>
                <w:color w:val="000000"/>
                <w:sz w:val="20"/>
                <w:szCs w:val="20"/>
                <w:lang w:val="en-US"/>
              </w:rPr>
            </w:pPr>
          </w:p>
        </w:tc>
        <w:tc>
          <w:tcPr>
            <w:tcW w:w="0" w:type="auto"/>
            <w:tcBorders>
              <w:bottom w:val="nil"/>
              <w:right w:val="single" w:sz="4" w:space="0" w:color="auto"/>
            </w:tcBorders>
            <w:shd w:val="clear" w:color="auto" w:fill="auto"/>
            <w:noWrap/>
            <w:vAlign w:val="bottom"/>
          </w:tcPr>
          <w:p w14:paraId="50E29C52" w14:textId="77777777" w:rsidR="00667562" w:rsidRPr="00F247EF" w:rsidRDefault="00667562" w:rsidP="00F247EF">
            <w:pPr>
              <w:spacing w:after="0" w:line="240" w:lineRule="auto"/>
              <w:rPr>
                <w:rFonts w:eastAsia="Times New Roman" w:cstheme="minorHAnsi"/>
                <w:b/>
                <w:bCs/>
                <w:color w:val="000000"/>
                <w:sz w:val="20"/>
                <w:szCs w:val="20"/>
                <w:lang w:val="en-US"/>
              </w:rPr>
            </w:pPr>
          </w:p>
        </w:tc>
        <w:tc>
          <w:tcPr>
            <w:tcW w:w="0" w:type="auto"/>
            <w:gridSpan w:val="2"/>
            <w:tcBorders>
              <w:top w:val="single" w:sz="4" w:space="0" w:color="auto"/>
              <w:left w:val="single" w:sz="4" w:space="0" w:color="auto"/>
              <w:bottom w:val="nil"/>
              <w:right w:val="single" w:sz="4" w:space="0" w:color="auto"/>
            </w:tcBorders>
            <w:shd w:val="clear" w:color="auto" w:fill="auto"/>
            <w:noWrap/>
            <w:vAlign w:val="center"/>
          </w:tcPr>
          <w:p w14:paraId="640988B5" w14:textId="3EE1849E" w:rsidR="00667562" w:rsidRPr="00F247EF" w:rsidRDefault="00667562" w:rsidP="00627322">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mean</w:t>
            </w:r>
          </w:p>
        </w:tc>
        <w:tc>
          <w:tcPr>
            <w:tcW w:w="0" w:type="auto"/>
            <w:gridSpan w:val="2"/>
            <w:tcBorders>
              <w:top w:val="single" w:sz="4" w:space="0" w:color="auto"/>
              <w:left w:val="single" w:sz="4" w:space="0" w:color="auto"/>
              <w:bottom w:val="nil"/>
              <w:right w:val="single" w:sz="4" w:space="0" w:color="auto"/>
            </w:tcBorders>
            <w:shd w:val="clear" w:color="auto" w:fill="auto"/>
            <w:noWrap/>
            <w:vAlign w:val="center"/>
          </w:tcPr>
          <w:p w14:paraId="768DFE5A" w14:textId="377CF947" w:rsidR="00667562" w:rsidRPr="00F247EF" w:rsidRDefault="00667562" w:rsidP="00627322">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lower.ci</w:t>
            </w:r>
          </w:p>
        </w:tc>
        <w:tc>
          <w:tcPr>
            <w:tcW w:w="0" w:type="auto"/>
            <w:gridSpan w:val="2"/>
            <w:tcBorders>
              <w:top w:val="single" w:sz="4" w:space="0" w:color="auto"/>
              <w:left w:val="single" w:sz="4" w:space="0" w:color="auto"/>
              <w:bottom w:val="nil"/>
              <w:right w:val="nil"/>
            </w:tcBorders>
            <w:shd w:val="clear" w:color="auto" w:fill="auto"/>
            <w:noWrap/>
            <w:vAlign w:val="center"/>
          </w:tcPr>
          <w:p w14:paraId="4AFCE88C" w14:textId="739B10D7" w:rsidR="00667562" w:rsidRPr="00F247EF" w:rsidRDefault="00667562" w:rsidP="00627322">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upper.ci</w:t>
            </w:r>
          </w:p>
        </w:tc>
      </w:tr>
      <w:tr w:rsidR="00667562" w:rsidRPr="00F247EF" w14:paraId="31A8425C" w14:textId="3C1F513D" w:rsidTr="007034AA">
        <w:trPr>
          <w:trHeight w:val="84"/>
        </w:trPr>
        <w:tc>
          <w:tcPr>
            <w:tcW w:w="0" w:type="auto"/>
            <w:tcBorders>
              <w:top w:val="nil"/>
              <w:bottom w:val="single" w:sz="4" w:space="0" w:color="auto"/>
              <w:right w:val="single" w:sz="4" w:space="0" w:color="auto"/>
            </w:tcBorders>
            <w:shd w:val="clear" w:color="auto" w:fill="auto"/>
            <w:noWrap/>
            <w:vAlign w:val="bottom"/>
            <w:hideMark/>
          </w:tcPr>
          <w:p w14:paraId="5C614FE3" w14:textId="77777777" w:rsidR="00667562" w:rsidRPr="00F247EF" w:rsidRDefault="00667562" w:rsidP="00667562">
            <w:pPr>
              <w:spacing w:after="0" w:line="240" w:lineRule="auto"/>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Strata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59F42A" w14:textId="77777777" w:rsidR="00667562" w:rsidRPr="00F247EF" w:rsidRDefault="00667562" w:rsidP="00667562">
            <w:pPr>
              <w:spacing w:after="0" w:line="240" w:lineRule="auto"/>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NMSP</w:t>
            </w:r>
          </w:p>
        </w:tc>
        <w:tc>
          <w:tcPr>
            <w:tcW w:w="0" w:type="auto"/>
            <w:tcBorders>
              <w:top w:val="nil"/>
              <w:left w:val="single" w:sz="4" w:space="0" w:color="auto"/>
              <w:bottom w:val="single" w:sz="4" w:space="0" w:color="auto"/>
            </w:tcBorders>
            <w:shd w:val="clear" w:color="auto" w:fill="auto"/>
            <w:noWrap/>
            <w:vAlign w:val="bottom"/>
            <w:hideMark/>
          </w:tcPr>
          <w:p w14:paraId="0FF8C654" w14:textId="3E73731D" w:rsidR="00667562" w:rsidRPr="00F247EF" w:rsidRDefault="00667562" w:rsidP="00664A31">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w</w:t>
            </w:r>
          </w:p>
        </w:tc>
        <w:tc>
          <w:tcPr>
            <w:tcW w:w="0" w:type="auto"/>
            <w:tcBorders>
              <w:top w:val="nil"/>
              <w:bottom w:val="single" w:sz="4" w:space="0" w:color="auto"/>
              <w:right w:val="single" w:sz="4" w:space="0" w:color="auto"/>
            </w:tcBorders>
            <w:shd w:val="clear" w:color="auto" w:fill="auto"/>
            <w:noWrap/>
            <w:vAlign w:val="bottom"/>
            <w:hideMark/>
          </w:tcPr>
          <w:p w14:paraId="55DD3A8A" w14:textId="5AF552CF" w:rsidR="00667562" w:rsidRPr="00F247EF" w:rsidRDefault="00667562" w:rsidP="00664A31">
            <w:pPr>
              <w:spacing w:after="0" w:line="240" w:lineRule="auto"/>
              <w:jc w:val="center"/>
              <w:rPr>
                <w:rFonts w:eastAsia="Times New Roman" w:cstheme="minorHAnsi"/>
                <w:b/>
                <w:bCs/>
                <w:color w:val="000000"/>
                <w:sz w:val="20"/>
                <w:szCs w:val="20"/>
                <w:lang w:val="en-US"/>
              </w:rPr>
            </w:pPr>
            <w:proofErr w:type="spellStart"/>
            <w:r w:rsidRPr="00F247EF">
              <w:rPr>
                <w:rFonts w:eastAsia="Times New Roman" w:cstheme="minorHAnsi"/>
                <w:b/>
                <w:bCs/>
                <w:color w:val="000000"/>
                <w:sz w:val="20"/>
                <w:szCs w:val="20"/>
                <w:lang w:val="en-US"/>
              </w:rPr>
              <w:t>unw</w:t>
            </w:r>
            <w:proofErr w:type="spellEnd"/>
          </w:p>
        </w:tc>
        <w:tc>
          <w:tcPr>
            <w:tcW w:w="0" w:type="auto"/>
            <w:tcBorders>
              <w:top w:val="nil"/>
              <w:left w:val="single" w:sz="4" w:space="0" w:color="auto"/>
              <w:bottom w:val="single" w:sz="4" w:space="0" w:color="auto"/>
            </w:tcBorders>
            <w:shd w:val="clear" w:color="auto" w:fill="auto"/>
            <w:noWrap/>
            <w:vAlign w:val="bottom"/>
            <w:hideMark/>
          </w:tcPr>
          <w:p w14:paraId="231B988D" w14:textId="0A8A56FA" w:rsidR="00667562" w:rsidRPr="00F247EF" w:rsidRDefault="00667562" w:rsidP="00664A31">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w</w:t>
            </w:r>
          </w:p>
        </w:tc>
        <w:tc>
          <w:tcPr>
            <w:tcW w:w="0" w:type="auto"/>
            <w:tcBorders>
              <w:top w:val="nil"/>
              <w:bottom w:val="single" w:sz="4" w:space="0" w:color="auto"/>
              <w:right w:val="single" w:sz="4" w:space="0" w:color="auto"/>
            </w:tcBorders>
            <w:shd w:val="clear" w:color="auto" w:fill="auto"/>
            <w:noWrap/>
            <w:vAlign w:val="bottom"/>
            <w:hideMark/>
          </w:tcPr>
          <w:p w14:paraId="74B81995" w14:textId="7E89B5B8" w:rsidR="00667562" w:rsidRPr="00F247EF" w:rsidRDefault="00667562" w:rsidP="00664A31">
            <w:pPr>
              <w:spacing w:after="0" w:line="240" w:lineRule="auto"/>
              <w:jc w:val="center"/>
              <w:rPr>
                <w:rFonts w:eastAsia="Times New Roman" w:cstheme="minorHAnsi"/>
                <w:b/>
                <w:bCs/>
                <w:color w:val="000000"/>
                <w:sz w:val="20"/>
                <w:szCs w:val="20"/>
                <w:lang w:val="en-US"/>
              </w:rPr>
            </w:pPr>
            <w:proofErr w:type="spellStart"/>
            <w:r w:rsidRPr="00F247EF">
              <w:rPr>
                <w:rFonts w:eastAsia="Times New Roman" w:cstheme="minorHAnsi"/>
                <w:b/>
                <w:bCs/>
                <w:color w:val="000000"/>
                <w:sz w:val="20"/>
                <w:szCs w:val="20"/>
                <w:lang w:val="en-US"/>
              </w:rPr>
              <w:t>unw</w:t>
            </w:r>
            <w:proofErr w:type="spellEnd"/>
          </w:p>
        </w:tc>
        <w:tc>
          <w:tcPr>
            <w:tcW w:w="0" w:type="auto"/>
            <w:tcBorders>
              <w:top w:val="nil"/>
              <w:left w:val="single" w:sz="4" w:space="0" w:color="auto"/>
              <w:bottom w:val="single" w:sz="4" w:space="0" w:color="auto"/>
            </w:tcBorders>
            <w:shd w:val="clear" w:color="auto" w:fill="auto"/>
            <w:noWrap/>
            <w:vAlign w:val="bottom"/>
            <w:hideMark/>
          </w:tcPr>
          <w:p w14:paraId="55BA6A74" w14:textId="061F9F74" w:rsidR="00667562" w:rsidRPr="00F247EF" w:rsidRDefault="00667562" w:rsidP="00664A31">
            <w:pPr>
              <w:spacing w:after="0" w:line="240" w:lineRule="auto"/>
              <w:jc w:val="center"/>
              <w:rPr>
                <w:rFonts w:eastAsia="Times New Roman" w:cstheme="minorHAnsi"/>
                <w:b/>
                <w:bCs/>
                <w:color w:val="000000"/>
                <w:sz w:val="20"/>
                <w:szCs w:val="20"/>
                <w:lang w:val="en-US"/>
              </w:rPr>
            </w:pPr>
            <w:r w:rsidRPr="00F247EF">
              <w:rPr>
                <w:rFonts w:eastAsia="Times New Roman" w:cstheme="minorHAnsi"/>
                <w:b/>
                <w:bCs/>
                <w:color w:val="000000"/>
                <w:sz w:val="20"/>
                <w:szCs w:val="20"/>
                <w:lang w:val="en-US"/>
              </w:rPr>
              <w:t>w</w:t>
            </w:r>
          </w:p>
        </w:tc>
        <w:tc>
          <w:tcPr>
            <w:tcW w:w="0" w:type="auto"/>
            <w:tcBorders>
              <w:top w:val="nil"/>
              <w:bottom w:val="single" w:sz="4" w:space="0" w:color="auto"/>
              <w:right w:val="nil"/>
            </w:tcBorders>
            <w:shd w:val="clear" w:color="auto" w:fill="auto"/>
            <w:noWrap/>
            <w:vAlign w:val="bottom"/>
            <w:hideMark/>
          </w:tcPr>
          <w:p w14:paraId="6B92D1C2" w14:textId="343BD903" w:rsidR="00667562" w:rsidRPr="00F247EF" w:rsidRDefault="00667562" w:rsidP="00664A31">
            <w:pPr>
              <w:spacing w:after="0" w:line="240" w:lineRule="auto"/>
              <w:jc w:val="center"/>
              <w:rPr>
                <w:rFonts w:eastAsia="Times New Roman" w:cstheme="minorHAnsi"/>
                <w:b/>
                <w:bCs/>
                <w:color w:val="000000"/>
                <w:sz w:val="20"/>
                <w:szCs w:val="20"/>
                <w:lang w:val="en-US"/>
              </w:rPr>
            </w:pPr>
            <w:proofErr w:type="spellStart"/>
            <w:r w:rsidRPr="00F247EF">
              <w:rPr>
                <w:rFonts w:eastAsia="Times New Roman" w:cstheme="minorHAnsi"/>
                <w:b/>
                <w:bCs/>
                <w:color w:val="000000"/>
                <w:sz w:val="20"/>
                <w:szCs w:val="20"/>
                <w:lang w:val="en-US"/>
              </w:rPr>
              <w:t>unw</w:t>
            </w:r>
            <w:proofErr w:type="spellEnd"/>
          </w:p>
        </w:tc>
      </w:tr>
      <w:tr w:rsidR="00664A31" w:rsidRPr="00F247EF" w14:paraId="2FFAECB1" w14:textId="75D18B4F" w:rsidTr="00345A6F">
        <w:trPr>
          <w:trHeight w:val="271"/>
        </w:trPr>
        <w:tc>
          <w:tcPr>
            <w:tcW w:w="0" w:type="auto"/>
            <w:tcBorders>
              <w:top w:val="single" w:sz="4" w:space="0" w:color="auto"/>
              <w:right w:val="single" w:sz="4" w:space="0" w:color="auto"/>
            </w:tcBorders>
            <w:shd w:val="clear" w:color="auto" w:fill="auto"/>
            <w:noWrap/>
            <w:vAlign w:val="bottom"/>
            <w:hideMark/>
          </w:tcPr>
          <w:p w14:paraId="1F0694B9"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very low</w:t>
            </w:r>
          </w:p>
        </w:tc>
        <w:tc>
          <w:tcPr>
            <w:tcW w:w="0" w:type="auto"/>
            <w:tcBorders>
              <w:top w:val="single" w:sz="4" w:space="0" w:color="auto"/>
              <w:left w:val="single" w:sz="4" w:space="0" w:color="auto"/>
              <w:right w:val="single" w:sz="4" w:space="0" w:color="auto"/>
            </w:tcBorders>
            <w:shd w:val="clear" w:color="auto" w:fill="auto"/>
            <w:noWrap/>
            <w:vAlign w:val="bottom"/>
            <w:hideMark/>
          </w:tcPr>
          <w:p w14:paraId="1CC255F2"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top w:val="single" w:sz="4" w:space="0" w:color="auto"/>
              <w:left w:val="single" w:sz="4" w:space="0" w:color="auto"/>
            </w:tcBorders>
            <w:shd w:val="clear" w:color="auto" w:fill="auto"/>
            <w:noWrap/>
            <w:hideMark/>
          </w:tcPr>
          <w:p w14:paraId="6667EECB" w14:textId="3A86518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66.5</w:t>
            </w:r>
          </w:p>
        </w:tc>
        <w:tc>
          <w:tcPr>
            <w:tcW w:w="0" w:type="auto"/>
            <w:tcBorders>
              <w:top w:val="single" w:sz="4" w:space="0" w:color="auto"/>
              <w:right w:val="single" w:sz="4" w:space="0" w:color="auto"/>
            </w:tcBorders>
            <w:shd w:val="clear" w:color="auto" w:fill="auto"/>
            <w:noWrap/>
            <w:hideMark/>
          </w:tcPr>
          <w:p w14:paraId="3C40BF55" w14:textId="7699AC1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66.1</w:t>
            </w:r>
          </w:p>
        </w:tc>
        <w:tc>
          <w:tcPr>
            <w:tcW w:w="0" w:type="auto"/>
            <w:tcBorders>
              <w:top w:val="single" w:sz="4" w:space="0" w:color="auto"/>
              <w:left w:val="single" w:sz="4" w:space="0" w:color="auto"/>
            </w:tcBorders>
            <w:shd w:val="clear" w:color="auto" w:fill="auto"/>
            <w:noWrap/>
            <w:hideMark/>
          </w:tcPr>
          <w:p w14:paraId="1AF8F4B3" w14:textId="53FB5DD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62.2</w:t>
            </w:r>
          </w:p>
        </w:tc>
        <w:tc>
          <w:tcPr>
            <w:tcW w:w="0" w:type="auto"/>
            <w:tcBorders>
              <w:top w:val="single" w:sz="4" w:space="0" w:color="auto"/>
              <w:right w:val="single" w:sz="4" w:space="0" w:color="auto"/>
            </w:tcBorders>
            <w:shd w:val="clear" w:color="auto" w:fill="auto"/>
            <w:noWrap/>
            <w:hideMark/>
          </w:tcPr>
          <w:p w14:paraId="5BD0422E" w14:textId="08CC69CE"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61.8</w:t>
            </w:r>
          </w:p>
        </w:tc>
        <w:tc>
          <w:tcPr>
            <w:tcW w:w="0" w:type="auto"/>
            <w:tcBorders>
              <w:top w:val="single" w:sz="4" w:space="0" w:color="auto"/>
              <w:left w:val="single" w:sz="4" w:space="0" w:color="auto"/>
            </w:tcBorders>
            <w:shd w:val="clear" w:color="auto" w:fill="auto"/>
            <w:noWrap/>
            <w:hideMark/>
          </w:tcPr>
          <w:p w14:paraId="5F87BFAB" w14:textId="6E66812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70.8</w:t>
            </w:r>
          </w:p>
        </w:tc>
        <w:tc>
          <w:tcPr>
            <w:tcW w:w="0" w:type="auto"/>
            <w:tcBorders>
              <w:top w:val="single" w:sz="4" w:space="0" w:color="auto"/>
              <w:right w:val="nil"/>
            </w:tcBorders>
            <w:shd w:val="clear" w:color="auto" w:fill="auto"/>
            <w:noWrap/>
            <w:hideMark/>
          </w:tcPr>
          <w:p w14:paraId="75D0DE9B" w14:textId="57DE4DB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70.3</w:t>
            </w:r>
          </w:p>
        </w:tc>
      </w:tr>
      <w:tr w:rsidR="00664A31" w:rsidRPr="00F247EF" w14:paraId="0204E56B" w14:textId="0DCAC8E9" w:rsidTr="00345A6F">
        <w:trPr>
          <w:trHeight w:val="271"/>
        </w:trPr>
        <w:tc>
          <w:tcPr>
            <w:tcW w:w="0" w:type="auto"/>
            <w:tcBorders>
              <w:right w:val="single" w:sz="4" w:space="0" w:color="auto"/>
            </w:tcBorders>
            <w:shd w:val="clear" w:color="auto" w:fill="auto"/>
            <w:noWrap/>
            <w:vAlign w:val="bottom"/>
            <w:hideMark/>
          </w:tcPr>
          <w:p w14:paraId="4856FFAB"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very low</w:t>
            </w:r>
          </w:p>
        </w:tc>
        <w:tc>
          <w:tcPr>
            <w:tcW w:w="0" w:type="auto"/>
            <w:tcBorders>
              <w:left w:val="single" w:sz="4" w:space="0" w:color="auto"/>
              <w:right w:val="single" w:sz="4" w:space="0" w:color="auto"/>
            </w:tcBorders>
            <w:shd w:val="clear" w:color="auto" w:fill="auto"/>
            <w:noWrap/>
            <w:vAlign w:val="bottom"/>
            <w:hideMark/>
          </w:tcPr>
          <w:p w14:paraId="74570AAF"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tcBorders>
            <w:shd w:val="clear" w:color="auto" w:fill="auto"/>
            <w:noWrap/>
            <w:hideMark/>
          </w:tcPr>
          <w:p w14:paraId="4A41DB40" w14:textId="48440EC4"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1.5</w:t>
            </w:r>
          </w:p>
        </w:tc>
        <w:tc>
          <w:tcPr>
            <w:tcW w:w="0" w:type="auto"/>
            <w:tcBorders>
              <w:right w:val="single" w:sz="4" w:space="0" w:color="auto"/>
            </w:tcBorders>
            <w:shd w:val="clear" w:color="auto" w:fill="auto"/>
            <w:noWrap/>
            <w:hideMark/>
          </w:tcPr>
          <w:p w14:paraId="5B8513DE" w14:textId="2D52429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-5.4</w:t>
            </w:r>
          </w:p>
        </w:tc>
        <w:tc>
          <w:tcPr>
            <w:tcW w:w="0" w:type="auto"/>
            <w:tcBorders>
              <w:left w:val="single" w:sz="4" w:space="0" w:color="auto"/>
            </w:tcBorders>
            <w:shd w:val="clear" w:color="auto" w:fill="auto"/>
            <w:noWrap/>
            <w:hideMark/>
          </w:tcPr>
          <w:p w14:paraId="1B5821E3" w14:textId="197CD6A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-12.8</w:t>
            </w:r>
          </w:p>
        </w:tc>
        <w:tc>
          <w:tcPr>
            <w:tcW w:w="0" w:type="auto"/>
            <w:tcBorders>
              <w:right w:val="single" w:sz="4" w:space="0" w:color="auto"/>
            </w:tcBorders>
            <w:shd w:val="clear" w:color="auto" w:fill="auto"/>
            <w:noWrap/>
            <w:hideMark/>
          </w:tcPr>
          <w:p w14:paraId="1F18CD12" w14:textId="0396FBE4"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-21.2</w:t>
            </w:r>
          </w:p>
        </w:tc>
        <w:tc>
          <w:tcPr>
            <w:tcW w:w="0" w:type="auto"/>
            <w:tcBorders>
              <w:left w:val="single" w:sz="4" w:space="0" w:color="auto"/>
            </w:tcBorders>
            <w:shd w:val="clear" w:color="auto" w:fill="auto"/>
            <w:noWrap/>
            <w:hideMark/>
          </w:tcPr>
          <w:p w14:paraId="157FE995" w14:textId="76560AA6"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15.8</w:t>
            </w:r>
          </w:p>
        </w:tc>
        <w:tc>
          <w:tcPr>
            <w:tcW w:w="0" w:type="auto"/>
            <w:tcBorders>
              <w:right w:val="nil"/>
            </w:tcBorders>
            <w:shd w:val="clear" w:color="auto" w:fill="auto"/>
            <w:noWrap/>
            <w:hideMark/>
          </w:tcPr>
          <w:p w14:paraId="6730BBE3" w14:textId="78D0EC7A"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10.5</w:t>
            </w:r>
          </w:p>
        </w:tc>
      </w:tr>
      <w:tr w:rsidR="00664A31" w:rsidRPr="00F247EF" w14:paraId="6471BD19" w14:textId="4D1BAE2C" w:rsidTr="00345A6F">
        <w:trPr>
          <w:trHeight w:val="271"/>
        </w:trPr>
        <w:tc>
          <w:tcPr>
            <w:tcW w:w="0" w:type="auto"/>
            <w:tcBorders>
              <w:right w:val="single" w:sz="4" w:space="0" w:color="auto"/>
            </w:tcBorders>
            <w:shd w:val="clear" w:color="auto" w:fill="auto"/>
            <w:noWrap/>
            <w:vAlign w:val="bottom"/>
            <w:hideMark/>
          </w:tcPr>
          <w:p w14:paraId="10E1F2E5"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low</w:t>
            </w:r>
          </w:p>
        </w:tc>
        <w:tc>
          <w:tcPr>
            <w:tcW w:w="0" w:type="auto"/>
            <w:tcBorders>
              <w:left w:val="single" w:sz="4" w:space="0" w:color="auto"/>
              <w:right w:val="single" w:sz="4" w:space="0" w:color="auto"/>
            </w:tcBorders>
            <w:shd w:val="clear" w:color="auto" w:fill="auto"/>
            <w:noWrap/>
            <w:vAlign w:val="bottom"/>
            <w:hideMark/>
          </w:tcPr>
          <w:p w14:paraId="16344FAB"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left w:val="single" w:sz="4" w:space="0" w:color="auto"/>
            </w:tcBorders>
            <w:shd w:val="clear" w:color="auto" w:fill="auto"/>
            <w:noWrap/>
            <w:hideMark/>
          </w:tcPr>
          <w:p w14:paraId="6FE10DA3" w14:textId="5DF1B672"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58.5</w:t>
            </w:r>
          </w:p>
        </w:tc>
        <w:tc>
          <w:tcPr>
            <w:tcW w:w="0" w:type="auto"/>
            <w:tcBorders>
              <w:right w:val="single" w:sz="4" w:space="0" w:color="auto"/>
            </w:tcBorders>
            <w:shd w:val="clear" w:color="auto" w:fill="auto"/>
            <w:noWrap/>
            <w:hideMark/>
          </w:tcPr>
          <w:p w14:paraId="27D52119" w14:textId="66E104EC"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56.2</w:t>
            </w:r>
          </w:p>
        </w:tc>
        <w:tc>
          <w:tcPr>
            <w:tcW w:w="0" w:type="auto"/>
            <w:tcBorders>
              <w:left w:val="single" w:sz="4" w:space="0" w:color="auto"/>
            </w:tcBorders>
            <w:shd w:val="clear" w:color="auto" w:fill="auto"/>
            <w:noWrap/>
            <w:hideMark/>
          </w:tcPr>
          <w:p w14:paraId="366391BA" w14:textId="7CD9476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53</w:t>
            </w:r>
          </w:p>
        </w:tc>
        <w:tc>
          <w:tcPr>
            <w:tcW w:w="0" w:type="auto"/>
            <w:tcBorders>
              <w:right w:val="single" w:sz="4" w:space="0" w:color="auto"/>
            </w:tcBorders>
            <w:shd w:val="clear" w:color="auto" w:fill="auto"/>
            <w:noWrap/>
            <w:hideMark/>
          </w:tcPr>
          <w:p w14:paraId="24DA57A7" w14:textId="2EB05ABC"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50.5</w:t>
            </w:r>
          </w:p>
        </w:tc>
        <w:tc>
          <w:tcPr>
            <w:tcW w:w="0" w:type="auto"/>
            <w:tcBorders>
              <w:left w:val="single" w:sz="4" w:space="0" w:color="auto"/>
            </w:tcBorders>
            <w:shd w:val="clear" w:color="auto" w:fill="auto"/>
            <w:noWrap/>
            <w:hideMark/>
          </w:tcPr>
          <w:p w14:paraId="6761554B" w14:textId="448DE73A"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63.9</w:t>
            </w:r>
          </w:p>
        </w:tc>
        <w:tc>
          <w:tcPr>
            <w:tcW w:w="0" w:type="auto"/>
            <w:tcBorders>
              <w:right w:val="nil"/>
            </w:tcBorders>
            <w:shd w:val="clear" w:color="auto" w:fill="auto"/>
            <w:noWrap/>
            <w:hideMark/>
          </w:tcPr>
          <w:p w14:paraId="1C11FDDB" w14:textId="15F862DD"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61.9</w:t>
            </w:r>
          </w:p>
        </w:tc>
      </w:tr>
      <w:tr w:rsidR="00664A31" w:rsidRPr="00F247EF" w14:paraId="4D3F661E" w14:textId="1F9EA20D" w:rsidTr="00345A6F">
        <w:trPr>
          <w:trHeight w:val="271"/>
        </w:trPr>
        <w:tc>
          <w:tcPr>
            <w:tcW w:w="0" w:type="auto"/>
            <w:tcBorders>
              <w:right w:val="single" w:sz="4" w:space="0" w:color="auto"/>
            </w:tcBorders>
            <w:shd w:val="clear" w:color="auto" w:fill="auto"/>
            <w:noWrap/>
            <w:vAlign w:val="bottom"/>
            <w:hideMark/>
          </w:tcPr>
          <w:p w14:paraId="7A704E6E"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low</w:t>
            </w:r>
          </w:p>
        </w:tc>
        <w:tc>
          <w:tcPr>
            <w:tcW w:w="0" w:type="auto"/>
            <w:tcBorders>
              <w:left w:val="single" w:sz="4" w:space="0" w:color="auto"/>
              <w:right w:val="single" w:sz="4" w:space="0" w:color="auto"/>
            </w:tcBorders>
            <w:shd w:val="clear" w:color="auto" w:fill="auto"/>
            <w:noWrap/>
            <w:vAlign w:val="bottom"/>
            <w:hideMark/>
          </w:tcPr>
          <w:p w14:paraId="13A69EFD"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tcBorders>
            <w:shd w:val="clear" w:color="auto" w:fill="auto"/>
            <w:noWrap/>
            <w:hideMark/>
          </w:tcPr>
          <w:p w14:paraId="7A2E16F0" w14:textId="07906B2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57.8</w:t>
            </w:r>
          </w:p>
        </w:tc>
        <w:tc>
          <w:tcPr>
            <w:tcW w:w="0" w:type="auto"/>
            <w:tcBorders>
              <w:right w:val="single" w:sz="4" w:space="0" w:color="auto"/>
            </w:tcBorders>
            <w:shd w:val="clear" w:color="auto" w:fill="auto"/>
            <w:noWrap/>
            <w:hideMark/>
          </w:tcPr>
          <w:p w14:paraId="5532FCE2" w14:textId="0BD1C1C0"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57.2</w:t>
            </w:r>
          </w:p>
        </w:tc>
        <w:tc>
          <w:tcPr>
            <w:tcW w:w="0" w:type="auto"/>
            <w:tcBorders>
              <w:left w:val="single" w:sz="4" w:space="0" w:color="auto"/>
            </w:tcBorders>
            <w:shd w:val="clear" w:color="auto" w:fill="auto"/>
            <w:noWrap/>
            <w:hideMark/>
          </w:tcPr>
          <w:p w14:paraId="201C4225" w14:textId="0EA0E11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53.4</w:t>
            </w:r>
          </w:p>
        </w:tc>
        <w:tc>
          <w:tcPr>
            <w:tcW w:w="0" w:type="auto"/>
            <w:tcBorders>
              <w:right w:val="single" w:sz="4" w:space="0" w:color="auto"/>
            </w:tcBorders>
            <w:shd w:val="clear" w:color="auto" w:fill="auto"/>
            <w:noWrap/>
            <w:hideMark/>
          </w:tcPr>
          <w:p w14:paraId="77224953" w14:textId="79DE558D"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52.4</w:t>
            </w:r>
          </w:p>
        </w:tc>
        <w:tc>
          <w:tcPr>
            <w:tcW w:w="0" w:type="auto"/>
            <w:tcBorders>
              <w:left w:val="single" w:sz="4" w:space="0" w:color="auto"/>
            </w:tcBorders>
            <w:shd w:val="clear" w:color="auto" w:fill="auto"/>
            <w:noWrap/>
            <w:hideMark/>
          </w:tcPr>
          <w:p w14:paraId="7963E4B8" w14:textId="07A3D8F6"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62.3</w:t>
            </w:r>
          </w:p>
        </w:tc>
        <w:tc>
          <w:tcPr>
            <w:tcW w:w="0" w:type="auto"/>
            <w:tcBorders>
              <w:right w:val="nil"/>
            </w:tcBorders>
            <w:shd w:val="clear" w:color="auto" w:fill="auto"/>
            <w:noWrap/>
            <w:hideMark/>
          </w:tcPr>
          <w:p w14:paraId="084A5285" w14:textId="770F881A"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62</w:t>
            </w:r>
          </w:p>
        </w:tc>
      </w:tr>
      <w:tr w:rsidR="00664A31" w:rsidRPr="00F247EF" w14:paraId="0BA673CE" w14:textId="6E7F102D" w:rsidTr="00345A6F">
        <w:trPr>
          <w:trHeight w:val="271"/>
        </w:trPr>
        <w:tc>
          <w:tcPr>
            <w:tcW w:w="0" w:type="auto"/>
            <w:tcBorders>
              <w:right w:val="single" w:sz="4" w:space="0" w:color="auto"/>
            </w:tcBorders>
            <w:shd w:val="clear" w:color="auto" w:fill="auto"/>
            <w:noWrap/>
            <w:vAlign w:val="bottom"/>
            <w:hideMark/>
          </w:tcPr>
          <w:p w14:paraId="143D7101"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urban</w:t>
            </w:r>
          </w:p>
        </w:tc>
        <w:tc>
          <w:tcPr>
            <w:tcW w:w="0" w:type="auto"/>
            <w:tcBorders>
              <w:left w:val="single" w:sz="4" w:space="0" w:color="auto"/>
              <w:right w:val="single" w:sz="4" w:space="0" w:color="auto"/>
            </w:tcBorders>
            <w:shd w:val="clear" w:color="auto" w:fill="auto"/>
            <w:noWrap/>
            <w:vAlign w:val="bottom"/>
            <w:hideMark/>
          </w:tcPr>
          <w:p w14:paraId="6A956B49"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left w:val="single" w:sz="4" w:space="0" w:color="auto"/>
            </w:tcBorders>
            <w:shd w:val="clear" w:color="auto" w:fill="auto"/>
            <w:noWrap/>
            <w:hideMark/>
          </w:tcPr>
          <w:p w14:paraId="0141D113" w14:textId="45E4E2BD"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80.7</w:t>
            </w:r>
          </w:p>
        </w:tc>
        <w:tc>
          <w:tcPr>
            <w:tcW w:w="0" w:type="auto"/>
            <w:tcBorders>
              <w:right w:val="single" w:sz="4" w:space="0" w:color="auto"/>
            </w:tcBorders>
            <w:shd w:val="clear" w:color="auto" w:fill="auto"/>
            <w:noWrap/>
            <w:hideMark/>
          </w:tcPr>
          <w:p w14:paraId="54FE7B8D" w14:textId="0F8E29C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73.5</w:t>
            </w:r>
          </w:p>
        </w:tc>
        <w:tc>
          <w:tcPr>
            <w:tcW w:w="0" w:type="auto"/>
            <w:tcBorders>
              <w:left w:val="single" w:sz="4" w:space="0" w:color="auto"/>
            </w:tcBorders>
            <w:shd w:val="clear" w:color="auto" w:fill="auto"/>
            <w:noWrap/>
            <w:hideMark/>
          </w:tcPr>
          <w:p w14:paraId="41D6AC29" w14:textId="47AF364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75.5</w:t>
            </w:r>
          </w:p>
        </w:tc>
        <w:tc>
          <w:tcPr>
            <w:tcW w:w="0" w:type="auto"/>
            <w:tcBorders>
              <w:right w:val="single" w:sz="4" w:space="0" w:color="auto"/>
            </w:tcBorders>
            <w:shd w:val="clear" w:color="auto" w:fill="auto"/>
            <w:noWrap/>
            <w:hideMark/>
          </w:tcPr>
          <w:p w14:paraId="63978153" w14:textId="5BD910F6"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65.4</w:t>
            </w:r>
          </w:p>
        </w:tc>
        <w:tc>
          <w:tcPr>
            <w:tcW w:w="0" w:type="auto"/>
            <w:tcBorders>
              <w:left w:val="single" w:sz="4" w:space="0" w:color="auto"/>
            </w:tcBorders>
            <w:shd w:val="clear" w:color="auto" w:fill="auto"/>
            <w:noWrap/>
            <w:hideMark/>
          </w:tcPr>
          <w:p w14:paraId="46494497" w14:textId="5AF8010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86</w:t>
            </w:r>
          </w:p>
        </w:tc>
        <w:tc>
          <w:tcPr>
            <w:tcW w:w="0" w:type="auto"/>
            <w:tcBorders>
              <w:right w:val="nil"/>
            </w:tcBorders>
            <w:shd w:val="clear" w:color="auto" w:fill="auto"/>
            <w:noWrap/>
            <w:hideMark/>
          </w:tcPr>
          <w:p w14:paraId="03D91CDE" w14:textId="51BC9743"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81.6</w:t>
            </w:r>
          </w:p>
        </w:tc>
      </w:tr>
      <w:tr w:rsidR="00664A31" w:rsidRPr="00F247EF" w14:paraId="7A678D32" w14:textId="5CABB048" w:rsidTr="00345A6F">
        <w:trPr>
          <w:trHeight w:val="271"/>
        </w:trPr>
        <w:tc>
          <w:tcPr>
            <w:tcW w:w="0" w:type="auto"/>
            <w:tcBorders>
              <w:right w:val="single" w:sz="4" w:space="0" w:color="auto"/>
            </w:tcBorders>
            <w:shd w:val="clear" w:color="auto" w:fill="auto"/>
            <w:noWrap/>
            <w:vAlign w:val="bottom"/>
            <w:hideMark/>
          </w:tcPr>
          <w:p w14:paraId="0BB566A7"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urban</w:t>
            </w:r>
          </w:p>
        </w:tc>
        <w:tc>
          <w:tcPr>
            <w:tcW w:w="0" w:type="auto"/>
            <w:tcBorders>
              <w:left w:val="single" w:sz="4" w:space="0" w:color="auto"/>
              <w:right w:val="single" w:sz="4" w:space="0" w:color="auto"/>
            </w:tcBorders>
            <w:shd w:val="clear" w:color="auto" w:fill="auto"/>
            <w:noWrap/>
            <w:vAlign w:val="bottom"/>
            <w:hideMark/>
          </w:tcPr>
          <w:p w14:paraId="49CD5D39"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tcBorders>
            <w:shd w:val="clear" w:color="auto" w:fill="auto"/>
            <w:noWrap/>
            <w:hideMark/>
          </w:tcPr>
          <w:p w14:paraId="667E3E41" w14:textId="0D2C42FF"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60.1</w:t>
            </w:r>
          </w:p>
        </w:tc>
        <w:tc>
          <w:tcPr>
            <w:tcW w:w="0" w:type="auto"/>
            <w:tcBorders>
              <w:right w:val="single" w:sz="4" w:space="0" w:color="auto"/>
            </w:tcBorders>
            <w:shd w:val="clear" w:color="auto" w:fill="auto"/>
            <w:noWrap/>
            <w:hideMark/>
          </w:tcPr>
          <w:p w14:paraId="142728B2" w14:textId="50B71C53"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67.7</w:t>
            </w:r>
          </w:p>
        </w:tc>
        <w:tc>
          <w:tcPr>
            <w:tcW w:w="0" w:type="auto"/>
            <w:tcBorders>
              <w:left w:val="single" w:sz="4" w:space="0" w:color="auto"/>
            </w:tcBorders>
            <w:shd w:val="clear" w:color="auto" w:fill="auto"/>
            <w:noWrap/>
            <w:hideMark/>
          </w:tcPr>
          <w:p w14:paraId="3D50E96A" w14:textId="305176F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53.1</w:t>
            </w:r>
          </w:p>
        </w:tc>
        <w:tc>
          <w:tcPr>
            <w:tcW w:w="0" w:type="auto"/>
            <w:tcBorders>
              <w:right w:val="single" w:sz="4" w:space="0" w:color="auto"/>
            </w:tcBorders>
            <w:shd w:val="clear" w:color="auto" w:fill="auto"/>
            <w:noWrap/>
            <w:hideMark/>
          </w:tcPr>
          <w:p w14:paraId="64175C8D" w14:textId="7D4D6DCF"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59.6</w:t>
            </w:r>
          </w:p>
        </w:tc>
        <w:tc>
          <w:tcPr>
            <w:tcW w:w="0" w:type="auto"/>
            <w:tcBorders>
              <w:left w:val="single" w:sz="4" w:space="0" w:color="auto"/>
            </w:tcBorders>
            <w:shd w:val="clear" w:color="auto" w:fill="auto"/>
            <w:noWrap/>
            <w:hideMark/>
          </w:tcPr>
          <w:p w14:paraId="6F466D47" w14:textId="6B3A08D4"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67</w:t>
            </w:r>
          </w:p>
        </w:tc>
        <w:tc>
          <w:tcPr>
            <w:tcW w:w="0" w:type="auto"/>
            <w:tcBorders>
              <w:right w:val="nil"/>
            </w:tcBorders>
            <w:shd w:val="clear" w:color="auto" w:fill="auto"/>
            <w:noWrap/>
            <w:hideMark/>
          </w:tcPr>
          <w:p w14:paraId="7BDB37BF" w14:textId="1BAE0188"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75.7</w:t>
            </w:r>
          </w:p>
        </w:tc>
      </w:tr>
      <w:tr w:rsidR="00664A31" w:rsidRPr="00F247EF" w14:paraId="2EB6C7F1" w14:textId="4D78589A" w:rsidTr="00345A6F">
        <w:trPr>
          <w:trHeight w:val="271"/>
        </w:trPr>
        <w:tc>
          <w:tcPr>
            <w:tcW w:w="0" w:type="auto"/>
            <w:tcBorders>
              <w:right w:val="single" w:sz="4" w:space="0" w:color="auto"/>
            </w:tcBorders>
            <w:shd w:val="clear" w:color="auto" w:fill="auto"/>
            <w:noWrap/>
            <w:vAlign w:val="bottom"/>
            <w:hideMark/>
          </w:tcPr>
          <w:p w14:paraId="71A0BC9C"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moderate</w:t>
            </w:r>
          </w:p>
        </w:tc>
        <w:tc>
          <w:tcPr>
            <w:tcW w:w="0" w:type="auto"/>
            <w:tcBorders>
              <w:left w:val="single" w:sz="4" w:space="0" w:color="auto"/>
              <w:right w:val="single" w:sz="4" w:space="0" w:color="auto"/>
            </w:tcBorders>
            <w:shd w:val="clear" w:color="auto" w:fill="auto"/>
            <w:noWrap/>
            <w:vAlign w:val="bottom"/>
            <w:hideMark/>
          </w:tcPr>
          <w:p w14:paraId="00CABFFA"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left w:val="single" w:sz="4" w:space="0" w:color="auto"/>
            </w:tcBorders>
            <w:shd w:val="clear" w:color="auto" w:fill="auto"/>
            <w:noWrap/>
            <w:hideMark/>
          </w:tcPr>
          <w:p w14:paraId="7D337863" w14:textId="26C36D4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47.1</w:t>
            </w:r>
          </w:p>
        </w:tc>
        <w:tc>
          <w:tcPr>
            <w:tcW w:w="0" w:type="auto"/>
            <w:tcBorders>
              <w:right w:val="single" w:sz="4" w:space="0" w:color="auto"/>
            </w:tcBorders>
            <w:shd w:val="clear" w:color="auto" w:fill="auto"/>
            <w:noWrap/>
            <w:hideMark/>
          </w:tcPr>
          <w:p w14:paraId="3A9E725D" w14:textId="0DBCE958"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48.7</w:t>
            </w:r>
          </w:p>
        </w:tc>
        <w:tc>
          <w:tcPr>
            <w:tcW w:w="0" w:type="auto"/>
            <w:tcBorders>
              <w:left w:val="single" w:sz="4" w:space="0" w:color="auto"/>
            </w:tcBorders>
            <w:shd w:val="clear" w:color="auto" w:fill="auto"/>
            <w:noWrap/>
            <w:hideMark/>
          </w:tcPr>
          <w:p w14:paraId="6B963DAA" w14:textId="5EEB204F"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42.7</w:t>
            </w:r>
          </w:p>
        </w:tc>
        <w:tc>
          <w:tcPr>
            <w:tcW w:w="0" w:type="auto"/>
            <w:tcBorders>
              <w:right w:val="single" w:sz="4" w:space="0" w:color="auto"/>
            </w:tcBorders>
            <w:shd w:val="clear" w:color="auto" w:fill="auto"/>
            <w:noWrap/>
            <w:hideMark/>
          </w:tcPr>
          <w:p w14:paraId="7DC88177" w14:textId="1A16B413"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43.8</w:t>
            </w:r>
          </w:p>
        </w:tc>
        <w:tc>
          <w:tcPr>
            <w:tcW w:w="0" w:type="auto"/>
            <w:tcBorders>
              <w:left w:val="single" w:sz="4" w:space="0" w:color="auto"/>
            </w:tcBorders>
            <w:shd w:val="clear" w:color="auto" w:fill="auto"/>
            <w:noWrap/>
            <w:hideMark/>
          </w:tcPr>
          <w:p w14:paraId="101BA2DA" w14:textId="50E59881"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51.4</w:t>
            </w:r>
          </w:p>
        </w:tc>
        <w:tc>
          <w:tcPr>
            <w:tcW w:w="0" w:type="auto"/>
            <w:tcBorders>
              <w:right w:val="nil"/>
            </w:tcBorders>
            <w:shd w:val="clear" w:color="auto" w:fill="auto"/>
            <w:noWrap/>
            <w:hideMark/>
          </w:tcPr>
          <w:p w14:paraId="0F4338F9" w14:textId="2CB83B94"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53.7</w:t>
            </w:r>
          </w:p>
        </w:tc>
      </w:tr>
      <w:tr w:rsidR="00664A31" w:rsidRPr="00F247EF" w14:paraId="36308E15" w14:textId="2402DD5A" w:rsidTr="00345A6F">
        <w:trPr>
          <w:trHeight w:val="271"/>
        </w:trPr>
        <w:tc>
          <w:tcPr>
            <w:tcW w:w="0" w:type="auto"/>
            <w:tcBorders>
              <w:right w:val="single" w:sz="4" w:space="0" w:color="auto"/>
            </w:tcBorders>
            <w:shd w:val="clear" w:color="auto" w:fill="auto"/>
            <w:noWrap/>
            <w:vAlign w:val="bottom"/>
            <w:hideMark/>
          </w:tcPr>
          <w:p w14:paraId="35213188"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moderate</w:t>
            </w:r>
          </w:p>
        </w:tc>
        <w:tc>
          <w:tcPr>
            <w:tcW w:w="0" w:type="auto"/>
            <w:tcBorders>
              <w:left w:val="single" w:sz="4" w:space="0" w:color="auto"/>
              <w:right w:val="single" w:sz="4" w:space="0" w:color="auto"/>
            </w:tcBorders>
            <w:shd w:val="clear" w:color="auto" w:fill="auto"/>
            <w:noWrap/>
            <w:vAlign w:val="bottom"/>
            <w:hideMark/>
          </w:tcPr>
          <w:p w14:paraId="2BAE6FFE"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tcBorders>
            <w:shd w:val="clear" w:color="auto" w:fill="auto"/>
            <w:noWrap/>
            <w:hideMark/>
          </w:tcPr>
          <w:p w14:paraId="5E0B29EE" w14:textId="636CD0A3"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58.9</w:t>
            </w:r>
          </w:p>
        </w:tc>
        <w:tc>
          <w:tcPr>
            <w:tcW w:w="0" w:type="auto"/>
            <w:tcBorders>
              <w:right w:val="single" w:sz="4" w:space="0" w:color="auto"/>
            </w:tcBorders>
            <w:shd w:val="clear" w:color="auto" w:fill="auto"/>
            <w:noWrap/>
            <w:hideMark/>
          </w:tcPr>
          <w:p w14:paraId="6D547450" w14:textId="17BB336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59.5</w:t>
            </w:r>
          </w:p>
        </w:tc>
        <w:tc>
          <w:tcPr>
            <w:tcW w:w="0" w:type="auto"/>
            <w:tcBorders>
              <w:left w:val="single" w:sz="4" w:space="0" w:color="auto"/>
            </w:tcBorders>
            <w:shd w:val="clear" w:color="auto" w:fill="auto"/>
            <w:noWrap/>
            <w:hideMark/>
          </w:tcPr>
          <w:p w14:paraId="5BFF0DA2" w14:textId="4C54277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55.7</w:t>
            </w:r>
          </w:p>
        </w:tc>
        <w:tc>
          <w:tcPr>
            <w:tcW w:w="0" w:type="auto"/>
            <w:tcBorders>
              <w:right w:val="single" w:sz="4" w:space="0" w:color="auto"/>
            </w:tcBorders>
            <w:shd w:val="clear" w:color="auto" w:fill="auto"/>
            <w:noWrap/>
            <w:hideMark/>
          </w:tcPr>
          <w:p w14:paraId="62BAE155" w14:textId="39BC8D0E"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55.4</w:t>
            </w:r>
          </w:p>
        </w:tc>
        <w:tc>
          <w:tcPr>
            <w:tcW w:w="0" w:type="auto"/>
            <w:tcBorders>
              <w:left w:val="single" w:sz="4" w:space="0" w:color="auto"/>
            </w:tcBorders>
            <w:shd w:val="clear" w:color="auto" w:fill="auto"/>
            <w:noWrap/>
            <w:hideMark/>
          </w:tcPr>
          <w:p w14:paraId="36635FC8" w14:textId="4C374B5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62.1</w:t>
            </w:r>
          </w:p>
        </w:tc>
        <w:tc>
          <w:tcPr>
            <w:tcW w:w="0" w:type="auto"/>
            <w:tcBorders>
              <w:right w:val="nil"/>
            </w:tcBorders>
            <w:shd w:val="clear" w:color="auto" w:fill="auto"/>
            <w:noWrap/>
            <w:hideMark/>
          </w:tcPr>
          <w:p w14:paraId="1D5E56B2" w14:textId="73CAD050"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63.6</w:t>
            </w:r>
          </w:p>
        </w:tc>
      </w:tr>
      <w:tr w:rsidR="00664A31" w:rsidRPr="00F247EF" w14:paraId="3717E90C" w14:textId="21BCC981" w:rsidTr="00345A6F">
        <w:trPr>
          <w:trHeight w:val="271"/>
        </w:trPr>
        <w:tc>
          <w:tcPr>
            <w:tcW w:w="0" w:type="auto"/>
            <w:tcBorders>
              <w:right w:val="single" w:sz="4" w:space="0" w:color="auto"/>
            </w:tcBorders>
            <w:shd w:val="clear" w:color="auto" w:fill="auto"/>
            <w:noWrap/>
            <w:vAlign w:val="bottom"/>
            <w:hideMark/>
          </w:tcPr>
          <w:p w14:paraId="7FC7941E"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high</w:t>
            </w:r>
          </w:p>
        </w:tc>
        <w:tc>
          <w:tcPr>
            <w:tcW w:w="0" w:type="auto"/>
            <w:tcBorders>
              <w:left w:val="single" w:sz="4" w:space="0" w:color="auto"/>
              <w:right w:val="single" w:sz="4" w:space="0" w:color="auto"/>
            </w:tcBorders>
            <w:shd w:val="clear" w:color="auto" w:fill="auto"/>
            <w:noWrap/>
            <w:vAlign w:val="bottom"/>
            <w:hideMark/>
          </w:tcPr>
          <w:p w14:paraId="1E770E10"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left w:val="single" w:sz="4" w:space="0" w:color="auto"/>
            </w:tcBorders>
            <w:shd w:val="clear" w:color="auto" w:fill="auto"/>
            <w:noWrap/>
            <w:hideMark/>
          </w:tcPr>
          <w:p w14:paraId="5863434B" w14:textId="7DCEDBAA"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52.8</w:t>
            </w:r>
          </w:p>
        </w:tc>
        <w:tc>
          <w:tcPr>
            <w:tcW w:w="0" w:type="auto"/>
            <w:tcBorders>
              <w:right w:val="single" w:sz="4" w:space="0" w:color="auto"/>
            </w:tcBorders>
            <w:shd w:val="clear" w:color="auto" w:fill="auto"/>
            <w:noWrap/>
            <w:hideMark/>
          </w:tcPr>
          <w:p w14:paraId="73197906" w14:textId="0FEA71C2"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47.4</w:t>
            </w:r>
          </w:p>
        </w:tc>
        <w:tc>
          <w:tcPr>
            <w:tcW w:w="0" w:type="auto"/>
            <w:tcBorders>
              <w:left w:val="single" w:sz="4" w:space="0" w:color="auto"/>
            </w:tcBorders>
            <w:shd w:val="clear" w:color="auto" w:fill="auto"/>
            <w:noWrap/>
            <w:hideMark/>
          </w:tcPr>
          <w:p w14:paraId="3344C0C9" w14:textId="60B1572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47.2</w:t>
            </w:r>
          </w:p>
        </w:tc>
        <w:tc>
          <w:tcPr>
            <w:tcW w:w="0" w:type="auto"/>
            <w:tcBorders>
              <w:right w:val="single" w:sz="4" w:space="0" w:color="auto"/>
            </w:tcBorders>
            <w:shd w:val="clear" w:color="auto" w:fill="auto"/>
            <w:noWrap/>
            <w:hideMark/>
          </w:tcPr>
          <w:p w14:paraId="6FA49E2E" w14:textId="12F6E94C"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41</w:t>
            </w:r>
          </w:p>
        </w:tc>
        <w:tc>
          <w:tcPr>
            <w:tcW w:w="0" w:type="auto"/>
            <w:tcBorders>
              <w:left w:val="single" w:sz="4" w:space="0" w:color="auto"/>
            </w:tcBorders>
            <w:shd w:val="clear" w:color="auto" w:fill="auto"/>
            <w:noWrap/>
            <w:hideMark/>
          </w:tcPr>
          <w:p w14:paraId="19554FA3" w14:textId="7A98371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58.4</w:t>
            </w:r>
          </w:p>
        </w:tc>
        <w:tc>
          <w:tcPr>
            <w:tcW w:w="0" w:type="auto"/>
            <w:tcBorders>
              <w:right w:val="nil"/>
            </w:tcBorders>
            <w:shd w:val="clear" w:color="auto" w:fill="auto"/>
            <w:noWrap/>
            <w:hideMark/>
          </w:tcPr>
          <w:p w14:paraId="78DCDCAE" w14:textId="15974BDC"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53.8</w:t>
            </w:r>
          </w:p>
        </w:tc>
      </w:tr>
      <w:tr w:rsidR="00664A31" w:rsidRPr="00F247EF" w14:paraId="77CC2ECB" w14:textId="105CBCCD" w:rsidTr="00345A6F">
        <w:trPr>
          <w:trHeight w:val="271"/>
        </w:trPr>
        <w:tc>
          <w:tcPr>
            <w:tcW w:w="0" w:type="auto"/>
            <w:tcBorders>
              <w:right w:val="single" w:sz="4" w:space="0" w:color="auto"/>
            </w:tcBorders>
            <w:shd w:val="clear" w:color="auto" w:fill="auto"/>
            <w:noWrap/>
            <w:vAlign w:val="bottom"/>
            <w:hideMark/>
          </w:tcPr>
          <w:p w14:paraId="2B5445CE"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high</w:t>
            </w:r>
          </w:p>
        </w:tc>
        <w:tc>
          <w:tcPr>
            <w:tcW w:w="0" w:type="auto"/>
            <w:tcBorders>
              <w:left w:val="single" w:sz="4" w:space="0" w:color="auto"/>
              <w:right w:val="single" w:sz="4" w:space="0" w:color="auto"/>
            </w:tcBorders>
            <w:shd w:val="clear" w:color="auto" w:fill="auto"/>
            <w:noWrap/>
            <w:vAlign w:val="bottom"/>
            <w:hideMark/>
          </w:tcPr>
          <w:p w14:paraId="2CC776CA"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tcBorders>
            <w:shd w:val="clear" w:color="auto" w:fill="auto"/>
            <w:noWrap/>
            <w:hideMark/>
          </w:tcPr>
          <w:p w14:paraId="7B24FCFE" w14:textId="11D37887"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63.5</w:t>
            </w:r>
          </w:p>
        </w:tc>
        <w:tc>
          <w:tcPr>
            <w:tcW w:w="0" w:type="auto"/>
            <w:tcBorders>
              <w:right w:val="single" w:sz="4" w:space="0" w:color="auto"/>
            </w:tcBorders>
            <w:shd w:val="clear" w:color="auto" w:fill="auto"/>
            <w:noWrap/>
            <w:hideMark/>
          </w:tcPr>
          <w:p w14:paraId="550AA5C4" w14:textId="0339E96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57.5</w:t>
            </w:r>
          </w:p>
        </w:tc>
        <w:tc>
          <w:tcPr>
            <w:tcW w:w="0" w:type="auto"/>
            <w:tcBorders>
              <w:left w:val="single" w:sz="4" w:space="0" w:color="auto"/>
            </w:tcBorders>
            <w:shd w:val="clear" w:color="auto" w:fill="auto"/>
            <w:noWrap/>
            <w:hideMark/>
          </w:tcPr>
          <w:p w14:paraId="14863609" w14:textId="0B67264E"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57.9</w:t>
            </w:r>
          </w:p>
        </w:tc>
        <w:tc>
          <w:tcPr>
            <w:tcW w:w="0" w:type="auto"/>
            <w:tcBorders>
              <w:right w:val="single" w:sz="4" w:space="0" w:color="auto"/>
            </w:tcBorders>
            <w:shd w:val="clear" w:color="auto" w:fill="auto"/>
            <w:noWrap/>
            <w:hideMark/>
          </w:tcPr>
          <w:p w14:paraId="7BD3A4F9" w14:textId="07E43D4E"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51.1</w:t>
            </w:r>
          </w:p>
        </w:tc>
        <w:tc>
          <w:tcPr>
            <w:tcW w:w="0" w:type="auto"/>
            <w:tcBorders>
              <w:left w:val="single" w:sz="4" w:space="0" w:color="auto"/>
            </w:tcBorders>
            <w:shd w:val="clear" w:color="auto" w:fill="auto"/>
            <w:noWrap/>
            <w:hideMark/>
          </w:tcPr>
          <w:p w14:paraId="016CDD05" w14:textId="60F591E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69.2</w:t>
            </w:r>
          </w:p>
        </w:tc>
        <w:tc>
          <w:tcPr>
            <w:tcW w:w="0" w:type="auto"/>
            <w:tcBorders>
              <w:right w:val="nil"/>
            </w:tcBorders>
            <w:shd w:val="clear" w:color="auto" w:fill="auto"/>
            <w:noWrap/>
            <w:hideMark/>
          </w:tcPr>
          <w:p w14:paraId="4867C655" w14:textId="3C6832B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63.9</w:t>
            </w:r>
          </w:p>
        </w:tc>
      </w:tr>
      <w:tr w:rsidR="00664A31" w:rsidRPr="00F247EF" w14:paraId="2A188051" w14:textId="7EE7DD48" w:rsidTr="00345A6F">
        <w:trPr>
          <w:trHeight w:val="271"/>
        </w:trPr>
        <w:tc>
          <w:tcPr>
            <w:tcW w:w="0" w:type="auto"/>
            <w:tcBorders>
              <w:right w:val="single" w:sz="4" w:space="0" w:color="auto"/>
            </w:tcBorders>
            <w:shd w:val="clear" w:color="auto" w:fill="auto"/>
            <w:noWrap/>
            <w:vAlign w:val="bottom"/>
            <w:hideMark/>
          </w:tcPr>
          <w:p w14:paraId="6F2C119D"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national</w:t>
            </w:r>
          </w:p>
        </w:tc>
        <w:tc>
          <w:tcPr>
            <w:tcW w:w="0" w:type="auto"/>
            <w:tcBorders>
              <w:left w:val="single" w:sz="4" w:space="0" w:color="auto"/>
              <w:right w:val="single" w:sz="4" w:space="0" w:color="auto"/>
            </w:tcBorders>
            <w:shd w:val="clear" w:color="auto" w:fill="auto"/>
            <w:noWrap/>
            <w:vAlign w:val="bottom"/>
            <w:hideMark/>
          </w:tcPr>
          <w:p w14:paraId="5FE54F72"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2015-2020 NMSP</w:t>
            </w:r>
          </w:p>
        </w:tc>
        <w:tc>
          <w:tcPr>
            <w:tcW w:w="0" w:type="auto"/>
            <w:tcBorders>
              <w:left w:val="single" w:sz="4" w:space="0" w:color="auto"/>
            </w:tcBorders>
            <w:shd w:val="clear" w:color="auto" w:fill="auto"/>
            <w:noWrap/>
            <w:hideMark/>
          </w:tcPr>
          <w:p w14:paraId="7B25BAE7" w14:textId="34154D74"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59.9</w:t>
            </w:r>
          </w:p>
        </w:tc>
        <w:tc>
          <w:tcPr>
            <w:tcW w:w="0" w:type="auto"/>
            <w:tcBorders>
              <w:right w:val="single" w:sz="4" w:space="0" w:color="auto"/>
            </w:tcBorders>
            <w:shd w:val="clear" w:color="auto" w:fill="auto"/>
            <w:noWrap/>
            <w:hideMark/>
          </w:tcPr>
          <w:p w14:paraId="71801EBC" w14:textId="0459E929"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55</w:t>
            </w:r>
          </w:p>
        </w:tc>
        <w:tc>
          <w:tcPr>
            <w:tcW w:w="0" w:type="auto"/>
            <w:tcBorders>
              <w:left w:val="single" w:sz="4" w:space="0" w:color="auto"/>
            </w:tcBorders>
            <w:shd w:val="clear" w:color="auto" w:fill="auto"/>
            <w:noWrap/>
            <w:hideMark/>
          </w:tcPr>
          <w:p w14:paraId="5B280503" w14:textId="496108F0"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56.9</w:t>
            </w:r>
          </w:p>
        </w:tc>
        <w:tc>
          <w:tcPr>
            <w:tcW w:w="0" w:type="auto"/>
            <w:tcBorders>
              <w:right w:val="single" w:sz="4" w:space="0" w:color="auto"/>
            </w:tcBorders>
            <w:shd w:val="clear" w:color="auto" w:fill="auto"/>
            <w:noWrap/>
            <w:hideMark/>
          </w:tcPr>
          <w:p w14:paraId="29552187" w14:textId="7581F53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51.7</w:t>
            </w:r>
          </w:p>
        </w:tc>
        <w:tc>
          <w:tcPr>
            <w:tcW w:w="0" w:type="auto"/>
            <w:tcBorders>
              <w:left w:val="single" w:sz="4" w:space="0" w:color="auto"/>
            </w:tcBorders>
            <w:shd w:val="clear" w:color="auto" w:fill="auto"/>
            <w:noWrap/>
            <w:hideMark/>
          </w:tcPr>
          <w:p w14:paraId="41F3FEED" w14:textId="11C55F78"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63</w:t>
            </w:r>
          </w:p>
        </w:tc>
        <w:tc>
          <w:tcPr>
            <w:tcW w:w="0" w:type="auto"/>
            <w:tcBorders>
              <w:right w:val="nil"/>
            </w:tcBorders>
            <w:shd w:val="clear" w:color="auto" w:fill="auto"/>
            <w:noWrap/>
            <w:hideMark/>
          </w:tcPr>
          <w:p w14:paraId="48879D7E" w14:textId="11467753"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58.3</w:t>
            </w:r>
          </w:p>
        </w:tc>
      </w:tr>
      <w:tr w:rsidR="00664A31" w:rsidRPr="00F247EF" w14:paraId="7E5EDC1B" w14:textId="31635169" w:rsidTr="00345A6F">
        <w:trPr>
          <w:trHeight w:val="80"/>
        </w:trPr>
        <w:tc>
          <w:tcPr>
            <w:tcW w:w="0" w:type="auto"/>
            <w:tcBorders>
              <w:right w:val="single" w:sz="4" w:space="0" w:color="auto"/>
            </w:tcBorders>
            <w:shd w:val="clear" w:color="auto" w:fill="auto"/>
            <w:noWrap/>
            <w:vAlign w:val="bottom"/>
            <w:hideMark/>
          </w:tcPr>
          <w:p w14:paraId="08FF5D46"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national</w:t>
            </w:r>
          </w:p>
        </w:tc>
        <w:tc>
          <w:tcPr>
            <w:tcW w:w="0" w:type="auto"/>
            <w:tcBorders>
              <w:left w:val="single" w:sz="4" w:space="0" w:color="auto"/>
              <w:bottom w:val="single" w:sz="4" w:space="0" w:color="auto"/>
              <w:right w:val="single" w:sz="4" w:space="0" w:color="auto"/>
            </w:tcBorders>
            <w:shd w:val="clear" w:color="auto" w:fill="auto"/>
            <w:noWrap/>
            <w:vAlign w:val="bottom"/>
            <w:hideMark/>
          </w:tcPr>
          <w:p w14:paraId="60327BF3" w14:textId="77777777" w:rsidR="00664A31" w:rsidRPr="00F247EF" w:rsidRDefault="00664A31" w:rsidP="00664A31">
            <w:pPr>
              <w:spacing w:after="0" w:line="240" w:lineRule="auto"/>
              <w:rPr>
                <w:rFonts w:eastAsia="Times New Roman" w:cstheme="minorHAnsi"/>
                <w:color w:val="000000"/>
                <w:sz w:val="20"/>
                <w:szCs w:val="20"/>
                <w:lang w:val="en-US"/>
              </w:rPr>
            </w:pPr>
            <w:r w:rsidRPr="00F247EF">
              <w:rPr>
                <w:rFonts w:eastAsia="Times New Roman" w:cstheme="minorHAnsi"/>
                <w:color w:val="000000"/>
                <w:sz w:val="20"/>
                <w:szCs w:val="20"/>
                <w:lang w:val="en-US"/>
              </w:rPr>
              <w:t>2018-2020 NMSP</w:t>
            </w:r>
          </w:p>
        </w:tc>
        <w:tc>
          <w:tcPr>
            <w:tcW w:w="0" w:type="auto"/>
            <w:tcBorders>
              <w:left w:val="single" w:sz="4" w:space="0" w:color="auto"/>
              <w:bottom w:val="single" w:sz="4" w:space="0" w:color="auto"/>
            </w:tcBorders>
            <w:shd w:val="clear" w:color="auto" w:fill="auto"/>
            <w:noWrap/>
            <w:hideMark/>
          </w:tcPr>
          <w:p w14:paraId="0BCA075A" w14:textId="5F3BDBB5"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54.3</w:t>
            </w:r>
          </w:p>
        </w:tc>
        <w:tc>
          <w:tcPr>
            <w:tcW w:w="0" w:type="auto"/>
            <w:tcBorders>
              <w:right w:val="single" w:sz="4" w:space="0" w:color="auto"/>
            </w:tcBorders>
            <w:shd w:val="clear" w:color="auto" w:fill="auto"/>
            <w:noWrap/>
            <w:hideMark/>
          </w:tcPr>
          <w:p w14:paraId="6088B4A7" w14:textId="4799EF5C"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50.4</w:t>
            </w:r>
          </w:p>
        </w:tc>
        <w:tc>
          <w:tcPr>
            <w:tcW w:w="0" w:type="auto"/>
            <w:tcBorders>
              <w:left w:val="single" w:sz="4" w:space="0" w:color="auto"/>
              <w:bottom w:val="single" w:sz="4" w:space="0" w:color="auto"/>
            </w:tcBorders>
            <w:shd w:val="clear" w:color="auto" w:fill="auto"/>
            <w:noWrap/>
            <w:hideMark/>
          </w:tcPr>
          <w:p w14:paraId="778743E8" w14:textId="0DCBFFD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50.3</w:t>
            </w:r>
          </w:p>
        </w:tc>
        <w:tc>
          <w:tcPr>
            <w:tcW w:w="0" w:type="auto"/>
            <w:tcBorders>
              <w:right w:val="single" w:sz="4" w:space="0" w:color="auto"/>
            </w:tcBorders>
            <w:shd w:val="clear" w:color="auto" w:fill="auto"/>
            <w:noWrap/>
            <w:hideMark/>
          </w:tcPr>
          <w:p w14:paraId="1B4501F0" w14:textId="70BD70AB"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45.6</w:t>
            </w:r>
          </w:p>
        </w:tc>
        <w:tc>
          <w:tcPr>
            <w:tcW w:w="0" w:type="auto"/>
            <w:tcBorders>
              <w:left w:val="single" w:sz="4" w:space="0" w:color="auto"/>
              <w:bottom w:val="single" w:sz="4" w:space="0" w:color="auto"/>
            </w:tcBorders>
            <w:shd w:val="clear" w:color="auto" w:fill="auto"/>
            <w:noWrap/>
            <w:hideMark/>
          </w:tcPr>
          <w:p w14:paraId="416801F8" w14:textId="0D81B9D8"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58.4</w:t>
            </w:r>
          </w:p>
        </w:tc>
        <w:tc>
          <w:tcPr>
            <w:tcW w:w="0" w:type="auto"/>
            <w:tcBorders>
              <w:bottom w:val="single" w:sz="4" w:space="0" w:color="auto"/>
              <w:right w:val="nil"/>
            </w:tcBorders>
            <w:shd w:val="clear" w:color="auto" w:fill="auto"/>
            <w:noWrap/>
            <w:hideMark/>
          </w:tcPr>
          <w:p w14:paraId="4E206042" w14:textId="14BBCA1D" w:rsidR="00664A31" w:rsidRPr="00F247EF" w:rsidRDefault="00664A31" w:rsidP="00664A31">
            <w:pPr>
              <w:spacing w:after="0" w:line="240" w:lineRule="auto"/>
              <w:jc w:val="center"/>
              <w:rPr>
                <w:rFonts w:eastAsia="Times New Roman" w:cstheme="minorHAnsi"/>
                <w:color w:val="000000"/>
                <w:sz w:val="20"/>
                <w:szCs w:val="20"/>
                <w:lang w:val="en-US"/>
              </w:rPr>
            </w:pPr>
            <w:r w:rsidRPr="00664A31">
              <w:rPr>
                <w:rFonts w:eastAsia="Times New Roman" w:cstheme="minorHAnsi"/>
                <w:color w:val="000000"/>
                <w:sz w:val="20"/>
                <w:szCs w:val="20"/>
                <w:lang w:val="en-US"/>
              </w:rPr>
              <w:t>55.2</w:t>
            </w:r>
          </w:p>
        </w:tc>
      </w:tr>
    </w:tbl>
    <w:p w14:paraId="3AD61488" w14:textId="33B62ED8" w:rsidR="00627322" w:rsidRPr="00627322" w:rsidRDefault="00627322" w:rsidP="004900B5">
      <w:pPr>
        <w:spacing w:after="0"/>
        <w:rPr>
          <w:bCs/>
          <w:sz w:val="20"/>
          <w:szCs w:val="18"/>
        </w:rPr>
      </w:pPr>
      <w:r>
        <w:rPr>
          <w:bCs/>
          <w:sz w:val="20"/>
          <w:szCs w:val="18"/>
        </w:rPr>
        <w:t>w</w:t>
      </w:r>
      <w:r w:rsidRPr="00627322">
        <w:rPr>
          <w:bCs/>
          <w:sz w:val="20"/>
          <w:szCs w:val="18"/>
        </w:rPr>
        <w:t>=population weighted summary statistics</w:t>
      </w:r>
      <w:r w:rsidR="007034AA">
        <w:rPr>
          <w:bCs/>
          <w:sz w:val="20"/>
          <w:szCs w:val="18"/>
        </w:rPr>
        <w:t xml:space="preserve">, </w:t>
      </w:r>
      <w:proofErr w:type="spellStart"/>
      <w:r>
        <w:rPr>
          <w:bCs/>
          <w:sz w:val="20"/>
          <w:szCs w:val="18"/>
        </w:rPr>
        <w:t>u</w:t>
      </w:r>
      <w:r w:rsidRPr="00627322">
        <w:rPr>
          <w:bCs/>
          <w:sz w:val="20"/>
          <w:szCs w:val="18"/>
        </w:rPr>
        <w:t>nw</w:t>
      </w:r>
      <w:proofErr w:type="spellEnd"/>
      <w:r w:rsidRPr="00627322">
        <w:rPr>
          <w:bCs/>
          <w:sz w:val="20"/>
          <w:szCs w:val="18"/>
        </w:rPr>
        <w:t>=unweighted summary statistics</w:t>
      </w:r>
    </w:p>
    <w:p w14:paraId="1B0D197C" w14:textId="77777777" w:rsidR="007034AA" w:rsidRPr="00692FB9" w:rsidRDefault="007034AA" w:rsidP="004900B5">
      <w:pPr>
        <w:spacing w:after="0"/>
        <w:rPr>
          <w:b/>
          <w:sz w:val="24"/>
        </w:rPr>
      </w:pPr>
    </w:p>
    <w:p w14:paraId="146E7DB2" w14:textId="2DE4BC83" w:rsidR="005E2413" w:rsidRPr="005E2413" w:rsidRDefault="005E2413" w:rsidP="005E2413">
      <w:pPr>
        <w:pStyle w:val="Caption"/>
        <w:keepNext/>
        <w:spacing w:after="0"/>
        <w:rPr>
          <w:rFonts w:asciiTheme="minorHAnsi" w:eastAsiaTheme="minorEastAsia" w:hAnsiTheme="minorHAnsi" w:cstheme="minorBidi"/>
          <w:b/>
          <w:bCs w:val="0"/>
          <w:sz w:val="22"/>
          <w:szCs w:val="22"/>
          <w:lang w:eastAsia="en-US"/>
        </w:rPr>
      </w:pPr>
      <w:r w:rsidRPr="005E2413">
        <w:rPr>
          <w:rFonts w:asciiTheme="minorHAnsi" w:eastAsiaTheme="minorEastAsia" w:hAnsiTheme="minorHAnsi" w:cstheme="minorBidi"/>
          <w:b/>
          <w:bCs w:val="0"/>
          <w:sz w:val="22"/>
          <w:szCs w:val="22"/>
          <w:lang w:eastAsia="en-US"/>
        </w:rPr>
        <w:t xml:space="preserve">Table </w:t>
      </w:r>
      <w:r w:rsidR="00EA107E" w:rsidRPr="00EA107E">
        <w:rPr>
          <w:rFonts w:asciiTheme="minorHAnsi" w:eastAsiaTheme="minorEastAsia" w:hAnsiTheme="minorHAnsi" w:cstheme="minorBidi"/>
          <w:b/>
          <w:bCs w:val="0"/>
          <w:sz w:val="22"/>
          <w:szCs w:val="22"/>
          <w:lang w:eastAsia="en-US"/>
        </w:rPr>
        <w:t>A2.</w:t>
      </w:r>
      <w:r w:rsidR="00667562">
        <w:rPr>
          <w:rFonts w:asciiTheme="minorHAnsi" w:eastAsiaTheme="minorEastAsia" w:hAnsiTheme="minorHAnsi" w:cstheme="minorBidi"/>
          <w:b/>
          <w:bCs w:val="0"/>
          <w:sz w:val="22"/>
          <w:szCs w:val="22"/>
          <w:lang w:eastAsia="en-US"/>
        </w:rPr>
        <w:t>2</w:t>
      </w:r>
      <w:r w:rsidRPr="005E2413">
        <w:rPr>
          <w:rFonts w:asciiTheme="minorHAnsi" w:eastAsiaTheme="minorEastAsia" w:hAnsiTheme="minorHAnsi" w:cstheme="minorBidi"/>
          <w:b/>
          <w:bCs w:val="0"/>
          <w:sz w:val="22"/>
          <w:szCs w:val="22"/>
          <w:lang w:eastAsia="en-US"/>
        </w:rPr>
        <w:t xml:space="preserve">: </w:t>
      </w:r>
      <w:r w:rsidR="00EA107E">
        <w:rPr>
          <w:rFonts w:asciiTheme="minorHAnsi" w:eastAsiaTheme="minorEastAsia" w:hAnsiTheme="minorHAnsi" w:cstheme="minorBidi"/>
          <w:b/>
          <w:bCs w:val="0"/>
          <w:sz w:val="22"/>
          <w:szCs w:val="22"/>
          <w:lang w:eastAsia="en-US"/>
        </w:rPr>
        <w:t>Predicted p</w:t>
      </w:r>
      <w:r w:rsidRPr="005E2413">
        <w:rPr>
          <w:rFonts w:asciiTheme="minorHAnsi" w:eastAsiaTheme="minorEastAsia" w:hAnsiTheme="minorHAnsi" w:cstheme="minorBidi"/>
          <w:b/>
          <w:bCs w:val="0"/>
          <w:sz w:val="22"/>
          <w:szCs w:val="22"/>
          <w:lang w:eastAsia="en-US"/>
        </w:rPr>
        <w:t xml:space="preserve">roportion of the population </w:t>
      </w:r>
      <w:r w:rsidR="00EA107E">
        <w:rPr>
          <w:rFonts w:asciiTheme="minorHAnsi" w:eastAsiaTheme="minorEastAsia" w:hAnsiTheme="minorHAnsi" w:cstheme="minorBidi"/>
          <w:b/>
          <w:bCs w:val="0"/>
          <w:sz w:val="22"/>
          <w:szCs w:val="22"/>
          <w:lang w:eastAsia="en-US"/>
        </w:rPr>
        <w:t xml:space="preserve">per prevalence </w:t>
      </w:r>
      <w:proofErr w:type="gramStart"/>
      <w:r w:rsidR="00EA107E">
        <w:rPr>
          <w:rFonts w:asciiTheme="minorHAnsi" w:eastAsiaTheme="minorEastAsia" w:hAnsiTheme="minorHAnsi" w:cstheme="minorBidi"/>
          <w:b/>
          <w:bCs w:val="0"/>
          <w:sz w:val="22"/>
          <w:szCs w:val="22"/>
          <w:lang w:eastAsia="en-US"/>
        </w:rPr>
        <w:t xml:space="preserve">category </w:t>
      </w:r>
      <w:r w:rsidR="00140474">
        <w:rPr>
          <w:rFonts w:asciiTheme="minorHAnsi" w:eastAsiaTheme="minorEastAsia" w:hAnsiTheme="minorHAnsi" w:cstheme="minorBidi"/>
          <w:b/>
          <w:bCs w:val="0"/>
          <w:sz w:val="22"/>
          <w:szCs w:val="22"/>
          <w:lang w:eastAsia="en-US"/>
        </w:rPr>
        <w:t xml:space="preserve"> in</w:t>
      </w:r>
      <w:proofErr w:type="gramEnd"/>
      <w:r w:rsidR="00140474">
        <w:rPr>
          <w:rFonts w:asciiTheme="minorHAnsi" w:eastAsiaTheme="minorEastAsia" w:hAnsiTheme="minorHAnsi" w:cstheme="minorBidi"/>
          <w:b/>
          <w:bCs w:val="0"/>
          <w:sz w:val="22"/>
          <w:szCs w:val="22"/>
          <w:lang w:eastAsia="en-US"/>
        </w:rPr>
        <w:t xml:space="preserve"> 2020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693"/>
        <w:gridCol w:w="3793"/>
      </w:tblGrid>
      <w:tr w:rsidR="00A50C69" w14:paraId="1C92D08B" w14:textId="77777777" w:rsidTr="00A50C69">
        <w:tc>
          <w:tcPr>
            <w:tcW w:w="2802" w:type="dxa"/>
            <w:vMerge w:val="restart"/>
            <w:tcBorders>
              <w:top w:val="single" w:sz="4" w:space="0" w:color="auto"/>
              <w:bottom w:val="nil"/>
            </w:tcBorders>
          </w:tcPr>
          <w:p w14:paraId="7ADAC0B1" w14:textId="77777777" w:rsidR="00CC46F4" w:rsidRDefault="00CC46F4" w:rsidP="00DE5D07">
            <w:pPr>
              <w:rPr>
                <w:b/>
                <w:lang w:eastAsia="de-DE"/>
              </w:rPr>
            </w:pPr>
            <w:r>
              <w:rPr>
                <w:b/>
                <w:lang w:eastAsia="de-DE"/>
              </w:rPr>
              <w:t>P</w:t>
            </w:r>
            <w:r w:rsidR="00A50C69">
              <w:rPr>
                <w:b/>
                <w:lang w:eastAsia="de-DE"/>
              </w:rPr>
              <w:t xml:space="preserve">revalence </w:t>
            </w:r>
          </w:p>
          <w:p w14:paraId="6DD8C8EA" w14:textId="48478589" w:rsidR="00A50C69" w:rsidRPr="005E2413" w:rsidRDefault="00A50C69" w:rsidP="00DE5D07">
            <w:pPr>
              <w:rPr>
                <w:b/>
                <w:lang w:eastAsia="de-DE"/>
              </w:rPr>
            </w:pPr>
            <w:r>
              <w:rPr>
                <w:b/>
                <w:lang w:eastAsia="de-DE"/>
              </w:rPr>
              <w:t>categories (%)</w:t>
            </w:r>
          </w:p>
        </w:tc>
        <w:tc>
          <w:tcPr>
            <w:tcW w:w="6486" w:type="dxa"/>
            <w:gridSpan w:val="2"/>
            <w:tcBorders>
              <w:top w:val="single" w:sz="4" w:space="0" w:color="auto"/>
              <w:bottom w:val="nil"/>
            </w:tcBorders>
          </w:tcPr>
          <w:p w14:paraId="30A09C24" w14:textId="77777777" w:rsidR="00A50C69" w:rsidRPr="005E2413" w:rsidRDefault="00A50C69" w:rsidP="00A50C69">
            <w:pPr>
              <w:jc w:val="center"/>
              <w:rPr>
                <w:b/>
                <w:lang w:eastAsia="de-DE"/>
              </w:rPr>
            </w:pPr>
            <w:r>
              <w:rPr>
                <w:b/>
                <w:lang w:eastAsia="de-DE"/>
              </w:rPr>
              <w:t>Proportion of the population (%)</w:t>
            </w:r>
          </w:p>
        </w:tc>
      </w:tr>
      <w:tr w:rsidR="005E2413" w14:paraId="4E8283AB" w14:textId="77777777" w:rsidTr="00A50C69">
        <w:tc>
          <w:tcPr>
            <w:tcW w:w="2802" w:type="dxa"/>
            <w:vMerge/>
            <w:tcBorders>
              <w:top w:val="nil"/>
              <w:bottom w:val="single" w:sz="4" w:space="0" w:color="auto"/>
            </w:tcBorders>
          </w:tcPr>
          <w:p w14:paraId="47573891" w14:textId="77777777" w:rsidR="005E2413" w:rsidRDefault="005E2413" w:rsidP="00DE5D07">
            <w:pPr>
              <w:rPr>
                <w:b/>
                <w:lang w:eastAsia="de-DE"/>
              </w:rPr>
            </w:pPr>
          </w:p>
        </w:tc>
        <w:tc>
          <w:tcPr>
            <w:tcW w:w="2693" w:type="dxa"/>
            <w:tcBorders>
              <w:top w:val="nil"/>
              <w:bottom w:val="single" w:sz="4" w:space="0" w:color="auto"/>
            </w:tcBorders>
          </w:tcPr>
          <w:p w14:paraId="7821E4DE" w14:textId="074E1565" w:rsidR="005E2413" w:rsidRPr="005E2413" w:rsidRDefault="00FB0465" w:rsidP="00A50C69">
            <w:pPr>
              <w:jc w:val="center"/>
              <w:rPr>
                <w:b/>
                <w:lang w:eastAsia="de-DE"/>
              </w:rPr>
            </w:pPr>
            <w:r>
              <w:rPr>
                <w:b/>
                <w:lang w:eastAsia="de-DE"/>
              </w:rPr>
              <w:t xml:space="preserve">2015-2020 </w:t>
            </w:r>
            <w:r w:rsidR="00A50C69" w:rsidRPr="005E2413">
              <w:rPr>
                <w:b/>
                <w:lang w:eastAsia="de-DE"/>
              </w:rPr>
              <w:t>NMSP</w:t>
            </w:r>
          </w:p>
        </w:tc>
        <w:tc>
          <w:tcPr>
            <w:tcW w:w="3793" w:type="dxa"/>
            <w:tcBorders>
              <w:top w:val="nil"/>
              <w:bottom w:val="single" w:sz="4" w:space="0" w:color="auto"/>
            </w:tcBorders>
          </w:tcPr>
          <w:p w14:paraId="475622D1" w14:textId="36A27248" w:rsidR="005E2413" w:rsidRPr="005E2413" w:rsidRDefault="00FB0465" w:rsidP="00A50C69">
            <w:pPr>
              <w:jc w:val="center"/>
              <w:rPr>
                <w:b/>
                <w:lang w:eastAsia="de-DE"/>
              </w:rPr>
            </w:pPr>
            <w:r>
              <w:rPr>
                <w:b/>
                <w:lang w:eastAsia="de-DE"/>
              </w:rPr>
              <w:t xml:space="preserve">2018-2020 </w:t>
            </w:r>
            <w:r w:rsidRPr="005E2413">
              <w:rPr>
                <w:b/>
                <w:lang w:eastAsia="de-DE"/>
              </w:rPr>
              <w:t>NMSP</w:t>
            </w:r>
          </w:p>
        </w:tc>
      </w:tr>
      <w:tr w:rsidR="005E2413" w14:paraId="7D9DDF3D" w14:textId="77777777" w:rsidTr="00A50C69">
        <w:tc>
          <w:tcPr>
            <w:tcW w:w="2802" w:type="dxa"/>
            <w:tcBorders>
              <w:top w:val="single" w:sz="4" w:space="0" w:color="auto"/>
            </w:tcBorders>
          </w:tcPr>
          <w:p w14:paraId="00020580" w14:textId="77777777" w:rsidR="005E2413" w:rsidRDefault="005E2413" w:rsidP="005E2413">
            <w:pPr>
              <w:rPr>
                <w:lang w:eastAsia="de-DE"/>
              </w:rPr>
            </w:pPr>
            <w:r>
              <w:rPr>
                <w:lang w:eastAsia="de-DE"/>
              </w:rPr>
              <w:t>&lt;=1</w:t>
            </w:r>
          </w:p>
        </w:tc>
        <w:tc>
          <w:tcPr>
            <w:tcW w:w="2693" w:type="dxa"/>
            <w:tcBorders>
              <w:top w:val="single" w:sz="4" w:space="0" w:color="auto"/>
            </w:tcBorders>
          </w:tcPr>
          <w:p w14:paraId="6899B2D3" w14:textId="77777777" w:rsidR="005E2413" w:rsidRDefault="00DB71C5" w:rsidP="00A50C69">
            <w:pPr>
              <w:jc w:val="center"/>
              <w:rPr>
                <w:lang w:eastAsia="de-DE"/>
              </w:rPr>
            </w:pPr>
            <w:r>
              <w:rPr>
                <w:lang w:eastAsia="de-DE"/>
              </w:rPr>
              <w:t>24.7</w:t>
            </w:r>
          </w:p>
        </w:tc>
        <w:tc>
          <w:tcPr>
            <w:tcW w:w="3793" w:type="dxa"/>
            <w:tcBorders>
              <w:top w:val="single" w:sz="4" w:space="0" w:color="auto"/>
            </w:tcBorders>
          </w:tcPr>
          <w:p w14:paraId="6B6E32C0" w14:textId="77777777" w:rsidR="005E2413" w:rsidRDefault="00DB71C5" w:rsidP="00A50C69">
            <w:pPr>
              <w:jc w:val="center"/>
              <w:rPr>
                <w:lang w:eastAsia="de-DE"/>
              </w:rPr>
            </w:pPr>
            <w:r>
              <w:rPr>
                <w:lang w:eastAsia="de-DE"/>
              </w:rPr>
              <w:t>13.4</w:t>
            </w:r>
          </w:p>
        </w:tc>
      </w:tr>
      <w:tr w:rsidR="005E2413" w14:paraId="3A7B2F82" w14:textId="77777777" w:rsidTr="00A50C69">
        <w:tc>
          <w:tcPr>
            <w:tcW w:w="2802" w:type="dxa"/>
          </w:tcPr>
          <w:p w14:paraId="2C8A3227" w14:textId="77777777" w:rsidR="005E2413" w:rsidRDefault="005E2413" w:rsidP="005E2413">
            <w:pPr>
              <w:rPr>
                <w:lang w:eastAsia="de-DE"/>
              </w:rPr>
            </w:pPr>
            <w:r>
              <w:rPr>
                <w:lang w:eastAsia="de-DE"/>
              </w:rPr>
              <w:t>&gt;1-5</w:t>
            </w:r>
          </w:p>
        </w:tc>
        <w:tc>
          <w:tcPr>
            <w:tcW w:w="2693" w:type="dxa"/>
          </w:tcPr>
          <w:p w14:paraId="4CB2D9E9" w14:textId="77777777" w:rsidR="005E2413" w:rsidRDefault="00DB71C5" w:rsidP="00A50C69">
            <w:pPr>
              <w:jc w:val="center"/>
              <w:rPr>
                <w:lang w:eastAsia="de-DE"/>
              </w:rPr>
            </w:pPr>
            <w:r>
              <w:rPr>
                <w:lang w:eastAsia="de-DE"/>
              </w:rPr>
              <w:t>23.6</w:t>
            </w:r>
          </w:p>
        </w:tc>
        <w:tc>
          <w:tcPr>
            <w:tcW w:w="3793" w:type="dxa"/>
          </w:tcPr>
          <w:p w14:paraId="045E8E06" w14:textId="77777777" w:rsidR="005E2413" w:rsidRDefault="00DB71C5" w:rsidP="00A50C69">
            <w:pPr>
              <w:jc w:val="center"/>
              <w:rPr>
                <w:lang w:eastAsia="de-DE"/>
              </w:rPr>
            </w:pPr>
            <w:r>
              <w:rPr>
                <w:lang w:eastAsia="de-DE"/>
              </w:rPr>
              <w:t>29.5</w:t>
            </w:r>
          </w:p>
        </w:tc>
      </w:tr>
      <w:tr w:rsidR="005E2413" w14:paraId="6AD1201D" w14:textId="77777777" w:rsidTr="00A50C69">
        <w:tc>
          <w:tcPr>
            <w:tcW w:w="2802" w:type="dxa"/>
          </w:tcPr>
          <w:p w14:paraId="22DA51F7" w14:textId="77777777" w:rsidR="005E2413" w:rsidRDefault="005E2413" w:rsidP="005E2413">
            <w:pPr>
              <w:rPr>
                <w:lang w:eastAsia="de-DE"/>
              </w:rPr>
            </w:pPr>
            <w:r>
              <w:rPr>
                <w:lang w:eastAsia="de-DE"/>
              </w:rPr>
              <w:t>&gt;5-10</w:t>
            </w:r>
          </w:p>
        </w:tc>
        <w:tc>
          <w:tcPr>
            <w:tcW w:w="2693" w:type="dxa"/>
          </w:tcPr>
          <w:p w14:paraId="2C872C00" w14:textId="77777777" w:rsidR="005E2413" w:rsidRDefault="00DB71C5" w:rsidP="00A50C69">
            <w:pPr>
              <w:jc w:val="center"/>
              <w:rPr>
                <w:lang w:eastAsia="de-DE"/>
              </w:rPr>
            </w:pPr>
            <w:r>
              <w:rPr>
                <w:lang w:eastAsia="de-DE"/>
              </w:rPr>
              <w:t>31.1</w:t>
            </w:r>
          </w:p>
        </w:tc>
        <w:tc>
          <w:tcPr>
            <w:tcW w:w="3793" w:type="dxa"/>
          </w:tcPr>
          <w:p w14:paraId="58AFC97A" w14:textId="77777777" w:rsidR="005E2413" w:rsidRDefault="00DB71C5" w:rsidP="00A50C69">
            <w:pPr>
              <w:jc w:val="center"/>
              <w:rPr>
                <w:lang w:eastAsia="de-DE"/>
              </w:rPr>
            </w:pPr>
            <w:r>
              <w:rPr>
                <w:lang w:eastAsia="de-DE"/>
              </w:rPr>
              <w:t>47.5</w:t>
            </w:r>
          </w:p>
        </w:tc>
      </w:tr>
      <w:tr w:rsidR="005E2413" w14:paraId="5E6A915B" w14:textId="77777777" w:rsidTr="00A50C69">
        <w:tc>
          <w:tcPr>
            <w:tcW w:w="2802" w:type="dxa"/>
          </w:tcPr>
          <w:p w14:paraId="73C9EDB8" w14:textId="77777777" w:rsidR="005E2413" w:rsidRDefault="005E2413" w:rsidP="005E2413">
            <w:pPr>
              <w:rPr>
                <w:lang w:eastAsia="de-DE"/>
              </w:rPr>
            </w:pPr>
            <w:r>
              <w:rPr>
                <w:lang w:eastAsia="de-DE"/>
              </w:rPr>
              <w:t>&gt;10-25</w:t>
            </w:r>
          </w:p>
        </w:tc>
        <w:tc>
          <w:tcPr>
            <w:tcW w:w="2693" w:type="dxa"/>
          </w:tcPr>
          <w:p w14:paraId="24B1AF58" w14:textId="77777777" w:rsidR="005E2413" w:rsidRDefault="005E2413" w:rsidP="00DB71C5">
            <w:pPr>
              <w:jc w:val="center"/>
              <w:rPr>
                <w:lang w:eastAsia="de-DE"/>
              </w:rPr>
            </w:pPr>
            <w:r>
              <w:rPr>
                <w:lang w:eastAsia="de-DE"/>
              </w:rPr>
              <w:t>19</w:t>
            </w:r>
          </w:p>
        </w:tc>
        <w:tc>
          <w:tcPr>
            <w:tcW w:w="3793" w:type="dxa"/>
          </w:tcPr>
          <w:p w14:paraId="4FA0946A" w14:textId="77777777" w:rsidR="005E2413" w:rsidRDefault="005E2413" w:rsidP="00DB71C5">
            <w:pPr>
              <w:jc w:val="center"/>
              <w:rPr>
                <w:lang w:eastAsia="de-DE"/>
              </w:rPr>
            </w:pPr>
            <w:r>
              <w:rPr>
                <w:lang w:eastAsia="de-DE"/>
              </w:rPr>
              <w:t>8.</w:t>
            </w:r>
            <w:r w:rsidR="00DB71C5">
              <w:rPr>
                <w:lang w:eastAsia="de-DE"/>
              </w:rPr>
              <w:t>7</w:t>
            </w:r>
          </w:p>
        </w:tc>
      </w:tr>
      <w:tr w:rsidR="005E2413" w14:paraId="7F29DF1E" w14:textId="77777777" w:rsidTr="00A50C69">
        <w:tc>
          <w:tcPr>
            <w:tcW w:w="2802" w:type="dxa"/>
            <w:tcBorders>
              <w:bottom w:val="single" w:sz="4" w:space="0" w:color="auto"/>
            </w:tcBorders>
          </w:tcPr>
          <w:p w14:paraId="39572AA6" w14:textId="77777777" w:rsidR="005E2413" w:rsidRDefault="005E2413" w:rsidP="005E2413">
            <w:pPr>
              <w:rPr>
                <w:lang w:eastAsia="de-DE"/>
              </w:rPr>
            </w:pPr>
            <w:r>
              <w:rPr>
                <w:lang w:eastAsia="de-DE"/>
              </w:rPr>
              <w:t>&gt;25-50</w:t>
            </w:r>
          </w:p>
        </w:tc>
        <w:tc>
          <w:tcPr>
            <w:tcW w:w="2693" w:type="dxa"/>
            <w:tcBorders>
              <w:bottom w:val="single" w:sz="4" w:space="0" w:color="auto"/>
            </w:tcBorders>
          </w:tcPr>
          <w:p w14:paraId="600BECEE" w14:textId="77777777" w:rsidR="005E2413" w:rsidRDefault="005E2413" w:rsidP="00A50C69">
            <w:pPr>
              <w:jc w:val="center"/>
              <w:rPr>
                <w:lang w:eastAsia="de-DE"/>
              </w:rPr>
            </w:pPr>
            <w:r>
              <w:rPr>
                <w:lang w:eastAsia="de-DE"/>
              </w:rPr>
              <w:t>1.7</w:t>
            </w:r>
          </w:p>
        </w:tc>
        <w:tc>
          <w:tcPr>
            <w:tcW w:w="3793" w:type="dxa"/>
            <w:tcBorders>
              <w:bottom w:val="single" w:sz="4" w:space="0" w:color="auto"/>
            </w:tcBorders>
          </w:tcPr>
          <w:p w14:paraId="448D635E" w14:textId="77777777" w:rsidR="005E2413" w:rsidRDefault="00DB71C5" w:rsidP="00A50C69">
            <w:pPr>
              <w:jc w:val="center"/>
              <w:rPr>
                <w:lang w:eastAsia="de-DE"/>
              </w:rPr>
            </w:pPr>
            <w:r>
              <w:rPr>
                <w:lang w:eastAsia="de-DE"/>
              </w:rPr>
              <w:t>1.0</w:t>
            </w:r>
          </w:p>
        </w:tc>
      </w:tr>
      <w:tr w:rsidR="005E2413" w14:paraId="19E7C266" w14:textId="77777777" w:rsidTr="00A50C69">
        <w:tc>
          <w:tcPr>
            <w:tcW w:w="2802" w:type="dxa"/>
            <w:tcBorders>
              <w:top w:val="single" w:sz="4" w:space="0" w:color="auto"/>
              <w:bottom w:val="single" w:sz="4" w:space="0" w:color="auto"/>
            </w:tcBorders>
          </w:tcPr>
          <w:p w14:paraId="0461772A" w14:textId="77777777" w:rsidR="005E2413" w:rsidRDefault="005E2413" w:rsidP="005E2413">
            <w:pPr>
              <w:rPr>
                <w:lang w:eastAsia="de-DE"/>
              </w:rPr>
            </w:pPr>
            <w:r>
              <w:rPr>
                <w:lang w:eastAsia="de-DE"/>
              </w:rPr>
              <w:t>Total</w:t>
            </w:r>
          </w:p>
        </w:tc>
        <w:tc>
          <w:tcPr>
            <w:tcW w:w="2693" w:type="dxa"/>
            <w:tcBorders>
              <w:top w:val="single" w:sz="4" w:space="0" w:color="auto"/>
              <w:bottom w:val="single" w:sz="4" w:space="0" w:color="auto"/>
            </w:tcBorders>
          </w:tcPr>
          <w:p w14:paraId="2A254413" w14:textId="77777777" w:rsidR="005E2413" w:rsidRDefault="005E2413" w:rsidP="00A50C69">
            <w:pPr>
              <w:jc w:val="center"/>
              <w:rPr>
                <w:lang w:eastAsia="de-DE"/>
              </w:rPr>
            </w:pPr>
            <w:r>
              <w:rPr>
                <w:lang w:eastAsia="de-DE"/>
              </w:rPr>
              <w:t>100</w:t>
            </w:r>
          </w:p>
        </w:tc>
        <w:tc>
          <w:tcPr>
            <w:tcW w:w="3793" w:type="dxa"/>
            <w:tcBorders>
              <w:top w:val="single" w:sz="4" w:space="0" w:color="auto"/>
              <w:bottom w:val="single" w:sz="4" w:space="0" w:color="auto"/>
            </w:tcBorders>
          </w:tcPr>
          <w:p w14:paraId="72B1611E" w14:textId="77777777" w:rsidR="005E2413" w:rsidRDefault="005E2413" w:rsidP="00A50C69">
            <w:pPr>
              <w:jc w:val="center"/>
              <w:rPr>
                <w:lang w:eastAsia="de-DE"/>
              </w:rPr>
            </w:pPr>
            <w:r>
              <w:rPr>
                <w:lang w:eastAsia="de-DE"/>
              </w:rPr>
              <w:t>100</w:t>
            </w:r>
          </w:p>
        </w:tc>
      </w:tr>
      <w:bookmarkEnd w:id="5"/>
    </w:tbl>
    <w:p w14:paraId="4B2A0DF9" w14:textId="2B7DFA91" w:rsidR="002A4F31" w:rsidRDefault="002A4F31" w:rsidP="00274FAF">
      <w:pPr>
        <w:pStyle w:val="Bibliography"/>
        <w:rPr>
          <w:lang w:eastAsia="de-DE"/>
        </w:rPr>
      </w:pPr>
    </w:p>
    <w:p w14:paraId="1B02500A" w14:textId="044559B7" w:rsidR="00331FCD" w:rsidRDefault="00C44E1B" w:rsidP="0059714F">
      <w:pPr>
        <w:spacing w:after="0"/>
        <w:rPr>
          <w:lang w:eastAsia="de-DE"/>
        </w:rPr>
      </w:pPr>
      <w:r>
        <w:rPr>
          <w:noProof/>
        </w:rPr>
        <w:lastRenderedPageBreak/>
        <w:drawing>
          <wp:inline distT="0" distB="0" distL="0" distR="0" wp14:anchorId="17F3C153" wp14:editId="79F148F1">
            <wp:extent cx="4591050" cy="4017169"/>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7749" cy="4023030"/>
                    </a:xfrm>
                    <a:prstGeom prst="rect">
                      <a:avLst/>
                    </a:prstGeom>
                    <a:noFill/>
                    <a:ln>
                      <a:noFill/>
                    </a:ln>
                  </pic:spPr>
                </pic:pic>
              </a:graphicData>
            </a:graphic>
          </wp:inline>
        </w:drawing>
      </w:r>
    </w:p>
    <w:p w14:paraId="113E24BB" w14:textId="5A399118" w:rsidR="00331FCD" w:rsidRDefault="00331FCD" w:rsidP="00331FCD">
      <w:pPr>
        <w:rPr>
          <w:b/>
        </w:rPr>
      </w:pPr>
      <w:r w:rsidRPr="00DB64E5">
        <w:rPr>
          <w:b/>
        </w:rPr>
        <w:t xml:space="preserve">Figure </w:t>
      </w:r>
      <w:r>
        <w:rPr>
          <w:b/>
        </w:rPr>
        <w:t>A2.</w:t>
      </w:r>
      <w:r w:rsidR="00627322">
        <w:rPr>
          <w:b/>
        </w:rPr>
        <w:t>5</w:t>
      </w:r>
      <w:r w:rsidRPr="00DB64E5">
        <w:rPr>
          <w:b/>
        </w:rPr>
        <w:t>:</w:t>
      </w:r>
      <w:r w:rsidR="00C44E1B">
        <w:rPr>
          <w:b/>
        </w:rPr>
        <w:t xml:space="preserve"> Predicted prevalence trend and pre-intervention EIR for councils in the high region grouped by ITN parameter used in model fitting</w:t>
      </w:r>
      <w:r w:rsidR="00727299">
        <w:rPr>
          <w:b/>
        </w:rPr>
        <w:t xml:space="preserve"> and predicted prevalence reduction</w:t>
      </w:r>
      <w:r w:rsidR="00C44E1B">
        <w:rPr>
          <w:b/>
        </w:rPr>
        <w:t>.</w:t>
      </w:r>
      <w:r w:rsidR="00C44E1B" w:rsidRPr="0059714F">
        <w:rPr>
          <w:bCs/>
        </w:rPr>
        <w:t xml:space="preserve"> </w:t>
      </w:r>
      <w:r w:rsidR="004900B5">
        <w:rPr>
          <w:bCs/>
        </w:rPr>
        <w:t xml:space="preserve">The orange colour highlights 13 councils in which the maximum prevalence reduction between 2016 and 2020 was less than 50% even when combining all interventions. </w:t>
      </w:r>
      <w:r w:rsidR="00C44E1B" w:rsidRPr="0059714F">
        <w:rPr>
          <w:bCs/>
        </w:rPr>
        <w:t>For high-risk councils that received a school campaign</w:t>
      </w:r>
      <w:r w:rsidR="0059714F" w:rsidRPr="0059714F">
        <w:rPr>
          <w:bCs/>
        </w:rPr>
        <w:t xml:space="preserve"> (in Mtwara, Ruvuma, </w:t>
      </w:r>
      <w:proofErr w:type="spellStart"/>
      <w:r w:rsidR="0059714F" w:rsidRPr="0059714F">
        <w:rPr>
          <w:bCs/>
        </w:rPr>
        <w:t>Lindi</w:t>
      </w:r>
      <w:proofErr w:type="spellEnd"/>
      <w:r w:rsidR="0059714F" w:rsidRPr="0059714F">
        <w:rPr>
          <w:bCs/>
        </w:rPr>
        <w:t xml:space="preserve"> region, Southern Tanzania), the ITN coverage between 2012 and 2016 was fitted compared to the ITN decay. These councils were also the </w:t>
      </w:r>
      <w:proofErr w:type="spellStart"/>
      <w:r w:rsidR="0059714F" w:rsidRPr="0059714F">
        <w:rPr>
          <w:bCs/>
        </w:rPr>
        <w:t>concils</w:t>
      </w:r>
      <w:proofErr w:type="spellEnd"/>
      <w:r w:rsidR="0059714F" w:rsidRPr="0059714F">
        <w:rPr>
          <w:bCs/>
        </w:rPr>
        <w:t xml:space="preserve"> with highest transmission (see Runge et al 2020</w:t>
      </w:r>
      <w:r w:rsidR="0059714F" w:rsidRPr="0059714F">
        <w:rPr>
          <w:rStyle w:val="FootnoteReference"/>
          <w:bCs/>
        </w:rPr>
        <w:footnoteReference w:id="2"/>
      </w:r>
      <w:r w:rsidR="00727299">
        <w:rPr>
          <w:bCs/>
        </w:rPr>
        <w:t xml:space="preserve"> for detailed description of model calibration</w:t>
      </w:r>
      <w:r w:rsidR="0059714F" w:rsidRPr="0059714F">
        <w:rPr>
          <w:bCs/>
        </w:rPr>
        <w:t xml:space="preserve">).  </w:t>
      </w:r>
    </w:p>
    <w:p w14:paraId="686D08DF" w14:textId="4256196E" w:rsidR="00C44E1B" w:rsidRPr="00331FCD" w:rsidRDefault="00C44E1B" w:rsidP="00331FCD">
      <w:pPr>
        <w:rPr>
          <w:lang w:eastAsia="de-DE"/>
        </w:rPr>
      </w:pPr>
    </w:p>
    <w:sectPr w:rsidR="00C44E1B" w:rsidRPr="00331FCD">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DDA52" w14:textId="77777777" w:rsidR="00C32821" w:rsidRDefault="00C32821" w:rsidP="00204D7F">
      <w:pPr>
        <w:spacing w:after="0" w:line="240" w:lineRule="auto"/>
      </w:pPr>
      <w:r>
        <w:separator/>
      </w:r>
    </w:p>
  </w:endnote>
  <w:endnote w:type="continuationSeparator" w:id="0">
    <w:p w14:paraId="2A9A0A2A" w14:textId="77777777" w:rsidR="00C32821" w:rsidRDefault="00C32821" w:rsidP="00204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779082"/>
      <w:docPartObj>
        <w:docPartGallery w:val="Page Numbers (Bottom of Page)"/>
        <w:docPartUnique/>
      </w:docPartObj>
    </w:sdtPr>
    <w:sdtEndPr>
      <w:rPr>
        <w:noProof/>
      </w:rPr>
    </w:sdtEndPr>
    <w:sdtContent>
      <w:p w14:paraId="57B71643" w14:textId="77777777" w:rsidR="00204D7F" w:rsidRDefault="00204D7F">
        <w:pPr>
          <w:pStyle w:val="Footer"/>
          <w:jc w:val="right"/>
        </w:pPr>
        <w:r>
          <w:fldChar w:fldCharType="begin"/>
        </w:r>
        <w:r>
          <w:instrText xml:space="preserve"> PAGE   \* MERGEFORMAT </w:instrText>
        </w:r>
        <w:r>
          <w:fldChar w:fldCharType="separate"/>
        </w:r>
        <w:r w:rsidR="008C75A0">
          <w:rPr>
            <w:noProof/>
          </w:rPr>
          <w:t>1</w:t>
        </w:r>
        <w:r>
          <w:rPr>
            <w:noProof/>
          </w:rPr>
          <w:fldChar w:fldCharType="end"/>
        </w:r>
      </w:p>
    </w:sdtContent>
  </w:sdt>
  <w:p w14:paraId="25DDE09B" w14:textId="77777777" w:rsidR="00204D7F" w:rsidRDefault="00204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490A" w14:textId="77777777" w:rsidR="00C32821" w:rsidRDefault="00C32821" w:rsidP="00204D7F">
      <w:pPr>
        <w:spacing w:after="0" w:line="240" w:lineRule="auto"/>
      </w:pPr>
      <w:r>
        <w:separator/>
      </w:r>
    </w:p>
  </w:footnote>
  <w:footnote w:type="continuationSeparator" w:id="0">
    <w:p w14:paraId="1D5B84E2" w14:textId="77777777" w:rsidR="00C32821" w:rsidRDefault="00C32821" w:rsidP="00204D7F">
      <w:pPr>
        <w:spacing w:after="0" w:line="240" w:lineRule="auto"/>
      </w:pPr>
      <w:r>
        <w:continuationSeparator/>
      </w:r>
    </w:p>
  </w:footnote>
  <w:footnote w:id="1">
    <w:p w14:paraId="3ADE023E" w14:textId="77777777" w:rsidR="00692FB9" w:rsidRPr="00692FB9" w:rsidRDefault="00692FB9">
      <w:pPr>
        <w:pStyle w:val="FootnoteText"/>
        <w:rPr>
          <w:lang w:val="de-CH"/>
        </w:rPr>
      </w:pPr>
      <w:r w:rsidRPr="008E5C54">
        <w:rPr>
          <w:rStyle w:val="FootnoteReference"/>
        </w:rPr>
        <w:footnoteRef/>
      </w:r>
      <w:r>
        <w:t xml:space="preserve"> </w:t>
      </w:r>
      <w:r w:rsidRPr="00692FB9">
        <w:t>Lin LI-K. A Concordance Correlation Coefficient to Evaluate Reproducibility. Biometrics. 1989;45: 255–268. doi:10.2307/2532051</w:t>
      </w:r>
    </w:p>
  </w:footnote>
  <w:footnote w:id="2">
    <w:p w14:paraId="7CF8D619" w14:textId="7DDC3DAE" w:rsidR="0059714F" w:rsidRPr="0059714F" w:rsidRDefault="0059714F">
      <w:pPr>
        <w:pStyle w:val="FootnoteText"/>
        <w:rPr>
          <w:lang w:val="en-US"/>
        </w:rPr>
      </w:pPr>
      <w:r>
        <w:rPr>
          <w:rStyle w:val="FootnoteReference"/>
        </w:rPr>
        <w:footnoteRef/>
      </w:r>
      <w:r>
        <w:t xml:space="preserve"> </w:t>
      </w:r>
      <w:r w:rsidRPr="0059714F">
        <w:t xml:space="preserve">Runge, M., Snow, R.W., </w:t>
      </w:r>
      <w:proofErr w:type="spellStart"/>
      <w:r w:rsidRPr="0059714F">
        <w:t>Molteni</w:t>
      </w:r>
      <w:proofErr w:type="spellEnd"/>
      <w:r w:rsidRPr="0059714F">
        <w:t xml:space="preserve">, F., Thawer, S., Mohamed, A., </w:t>
      </w:r>
      <w:proofErr w:type="spellStart"/>
      <w:r w:rsidRPr="0059714F">
        <w:t>Mandike</w:t>
      </w:r>
      <w:proofErr w:type="spellEnd"/>
      <w:r w:rsidRPr="0059714F">
        <w:t xml:space="preserve">, R., Giorgi, E., Macharia, P.M., Smith, T.A., </w:t>
      </w:r>
      <w:proofErr w:type="spellStart"/>
      <w:r w:rsidRPr="0059714F">
        <w:t>Lengeler</w:t>
      </w:r>
      <w:proofErr w:type="spellEnd"/>
      <w:r w:rsidRPr="0059714F">
        <w:t xml:space="preserve">, C., </w:t>
      </w:r>
      <w:proofErr w:type="spellStart"/>
      <w:r w:rsidRPr="0059714F">
        <w:t>Pothin</w:t>
      </w:r>
      <w:proofErr w:type="spellEnd"/>
      <w:r w:rsidRPr="0059714F">
        <w:t xml:space="preserve">, E., 2020b. Simulating the council-specific impact of anti-malaria interventions: A tool to support malaria strategic planning in Tanzania. </w:t>
      </w:r>
      <w:proofErr w:type="spellStart"/>
      <w:r w:rsidRPr="0059714F">
        <w:t>PloS</w:t>
      </w:r>
      <w:proofErr w:type="spellEnd"/>
      <w:r w:rsidRPr="0059714F">
        <w:t xml:space="preserve"> One 15, e0228469.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40356"/>
    <w:multiLevelType w:val="hybridMultilevel"/>
    <w:tmpl w:val="E4147D3C"/>
    <w:lvl w:ilvl="0" w:tplc="1946D1D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3MzW2tDSzNDQzMzBS0lEKTi0uzszPAykwNKwFAFver98tAAAA"/>
  </w:docVars>
  <w:rsids>
    <w:rsidRoot w:val="00EB6665"/>
    <w:rsid w:val="00035F0C"/>
    <w:rsid w:val="000454D6"/>
    <w:rsid w:val="000477C5"/>
    <w:rsid w:val="00091B60"/>
    <w:rsid w:val="0009753F"/>
    <w:rsid w:val="000C37B7"/>
    <w:rsid w:val="000D7092"/>
    <w:rsid w:val="000E07C9"/>
    <w:rsid w:val="000F4A30"/>
    <w:rsid w:val="00117F1A"/>
    <w:rsid w:val="00120CBC"/>
    <w:rsid w:val="00123858"/>
    <w:rsid w:val="00124078"/>
    <w:rsid w:val="00140474"/>
    <w:rsid w:val="001714BD"/>
    <w:rsid w:val="001719A7"/>
    <w:rsid w:val="001727AD"/>
    <w:rsid w:val="00186147"/>
    <w:rsid w:val="00187769"/>
    <w:rsid w:val="001A3FC1"/>
    <w:rsid w:val="001E42B1"/>
    <w:rsid w:val="001E4CA3"/>
    <w:rsid w:val="00204D7F"/>
    <w:rsid w:val="00211D0C"/>
    <w:rsid w:val="00254B8D"/>
    <w:rsid w:val="00260E60"/>
    <w:rsid w:val="0026156E"/>
    <w:rsid w:val="00264733"/>
    <w:rsid w:val="00274FAF"/>
    <w:rsid w:val="002A4F31"/>
    <w:rsid w:val="002D051C"/>
    <w:rsid w:val="00302042"/>
    <w:rsid w:val="003073C0"/>
    <w:rsid w:val="00311224"/>
    <w:rsid w:val="00325C22"/>
    <w:rsid w:val="00331FCD"/>
    <w:rsid w:val="003A19DE"/>
    <w:rsid w:val="003B4245"/>
    <w:rsid w:val="003B5AD4"/>
    <w:rsid w:val="003C12ED"/>
    <w:rsid w:val="003C37A7"/>
    <w:rsid w:val="003C72B6"/>
    <w:rsid w:val="003D6530"/>
    <w:rsid w:val="003E2053"/>
    <w:rsid w:val="00402AAD"/>
    <w:rsid w:val="00406FC6"/>
    <w:rsid w:val="00432B5D"/>
    <w:rsid w:val="004375A7"/>
    <w:rsid w:val="0044582B"/>
    <w:rsid w:val="00484017"/>
    <w:rsid w:val="004900B5"/>
    <w:rsid w:val="00516C57"/>
    <w:rsid w:val="00522992"/>
    <w:rsid w:val="005250CA"/>
    <w:rsid w:val="00533AE6"/>
    <w:rsid w:val="00550D2A"/>
    <w:rsid w:val="005900F5"/>
    <w:rsid w:val="0059714F"/>
    <w:rsid w:val="005B2726"/>
    <w:rsid w:val="005B5B72"/>
    <w:rsid w:val="005D60C6"/>
    <w:rsid w:val="005E2413"/>
    <w:rsid w:val="00627322"/>
    <w:rsid w:val="00641F59"/>
    <w:rsid w:val="00664A31"/>
    <w:rsid w:val="00667562"/>
    <w:rsid w:val="00674C99"/>
    <w:rsid w:val="00675146"/>
    <w:rsid w:val="00690890"/>
    <w:rsid w:val="00692FB9"/>
    <w:rsid w:val="006A6E8D"/>
    <w:rsid w:val="006C565A"/>
    <w:rsid w:val="006D01CC"/>
    <w:rsid w:val="006F018A"/>
    <w:rsid w:val="007034AA"/>
    <w:rsid w:val="00727299"/>
    <w:rsid w:val="00732F8B"/>
    <w:rsid w:val="0074747D"/>
    <w:rsid w:val="0075155C"/>
    <w:rsid w:val="00784812"/>
    <w:rsid w:val="0079175F"/>
    <w:rsid w:val="007B5BD9"/>
    <w:rsid w:val="007D685C"/>
    <w:rsid w:val="007F535F"/>
    <w:rsid w:val="00800B7C"/>
    <w:rsid w:val="00831E47"/>
    <w:rsid w:val="008423EE"/>
    <w:rsid w:val="00874669"/>
    <w:rsid w:val="008815CD"/>
    <w:rsid w:val="008A7103"/>
    <w:rsid w:val="008B527B"/>
    <w:rsid w:val="008C11E2"/>
    <w:rsid w:val="008C75A0"/>
    <w:rsid w:val="008E5C54"/>
    <w:rsid w:val="008F2E58"/>
    <w:rsid w:val="00901958"/>
    <w:rsid w:val="0092141C"/>
    <w:rsid w:val="00921932"/>
    <w:rsid w:val="00933D69"/>
    <w:rsid w:val="009602C1"/>
    <w:rsid w:val="0096754F"/>
    <w:rsid w:val="009816AC"/>
    <w:rsid w:val="00985ED7"/>
    <w:rsid w:val="00991E04"/>
    <w:rsid w:val="009A339A"/>
    <w:rsid w:val="009B798A"/>
    <w:rsid w:val="009D0560"/>
    <w:rsid w:val="009E475E"/>
    <w:rsid w:val="009F4D73"/>
    <w:rsid w:val="00A066E6"/>
    <w:rsid w:val="00A12835"/>
    <w:rsid w:val="00A26989"/>
    <w:rsid w:val="00A309FD"/>
    <w:rsid w:val="00A50C69"/>
    <w:rsid w:val="00A52749"/>
    <w:rsid w:val="00A67F61"/>
    <w:rsid w:val="00A73768"/>
    <w:rsid w:val="00A757AD"/>
    <w:rsid w:val="00A7745D"/>
    <w:rsid w:val="00A900E1"/>
    <w:rsid w:val="00AD00AF"/>
    <w:rsid w:val="00AE6844"/>
    <w:rsid w:val="00AF7DE5"/>
    <w:rsid w:val="00B667D7"/>
    <w:rsid w:val="00B8271F"/>
    <w:rsid w:val="00B828EA"/>
    <w:rsid w:val="00B93C68"/>
    <w:rsid w:val="00BB3150"/>
    <w:rsid w:val="00BB6714"/>
    <w:rsid w:val="00BC5135"/>
    <w:rsid w:val="00BC5738"/>
    <w:rsid w:val="00BD0B47"/>
    <w:rsid w:val="00BE047F"/>
    <w:rsid w:val="00BE50E3"/>
    <w:rsid w:val="00C27136"/>
    <w:rsid w:val="00C32821"/>
    <w:rsid w:val="00C44E1B"/>
    <w:rsid w:val="00C47092"/>
    <w:rsid w:val="00C66091"/>
    <w:rsid w:val="00C74E37"/>
    <w:rsid w:val="00C9182F"/>
    <w:rsid w:val="00CA371A"/>
    <w:rsid w:val="00CC0F5C"/>
    <w:rsid w:val="00CC46F4"/>
    <w:rsid w:val="00CE4F20"/>
    <w:rsid w:val="00CF01C9"/>
    <w:rsid w:val="00CF4220"/>
    <w:rsid w:val="00D124B4"/>
    <w:rsid w:val="00D41B50"/>
    <w:rsid w:val="00D732D3"/>
    <w:rsid w:val="00D86C27"/>
    <w:rsid w:val="00DB64E5"/>
    <w:rsid w:val="00DB71C5"/>
    <w:rsid w:val="00DD050B"/>
    <w:rsid w:val="00DD1F85"/>
    <w:rsid w:val="00DD5511"/>
    <w:rsid w:val="00DE5D07"/>
    <w:rsid w:val="00E220D8"/>
    <w:rsid w:val="00E42BF5"/>
    <w:rsid w:val="00E55DF9"/>
    <w:rsid w:val="00EA107E"/>
    <w:rsid w:val="00EB6665"/>
    <w:rsid w:val="00EF6B5E"/>
    <w:rsid w:val="00F038ED"/>
    <w:rsid w:val="00F247EF"/>
    <w:rsid w:val="00F4076D"/>
    <w:rsid w:val="00F5066F"/>
    <w:rsid w:val="00F71FA8"/>
    <w:rsid w:val="00F77ACD"/>
    <w:rsid w:val="00F90ED6"/>
    <w:rsid w:val="00FB0465"/>
    <w:rsid w:val="00FE54C3"/>
    <w:rsid w:val="00FE6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C2589"/>
  <w15:docId w15:val="{0E06B736-47F1-4805-9179-42989731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75F"/>
  </w:style>
  <w:style w:type="paragraph" w:styleId="Heading1">
    <w:name w:val="heading 1"/>
    <w:basedOn w:val="Normal"/>
    <w:next w:val="Normal"/>
    <w:link w:val="Heading1Char"/>
    <w:uiPriority w:val="9"/>
    <w:qFormat/>
    <w:rsid w:val="0044582B"/>
    <w:pPr>
      <w:spacing w:after="0"/>
      <w:contextualSpacing/>
      <w:outlineLvl w:val="0"/>
    </w:pPr>
    <w:rPr>
      <w:rFonts w:eastAsiaTheme="majorEastAsia" w:cstheme="majorBidi"/>
      <w:b/>
      <w:bCs/>
      <w:sz w:val="24"/>
      <w:szCs w:val="28"/>
      <w:lang w:eastAsia="de-DE"/>
    </w:rPr>
  </w:style>
  <w:style w:type="paragraph" w:styleId="Heading2">
    <w:name w:val="heading 2"/>
    <w:basedOn w:val="Normal"/>
    <w:next w:val="Normal"/>
    <w:link w:val="Heading2Char"/>
    <w:uiPriority w:val="9"/>
    <w:unhideWhenUsed/>
    <w:qFormat/>
    <w:rsid w:val="00A757AD"/>
    <w:pPr>
      <w:spacing w:after="0"/>
      <w:outlineLvl w:val="1"/>
    </w:pPr>
    <w:rPr>
      <w:rFonts w:eastAsiaTheme="majorEastAsia" w:cstheme="majorBidi"/>
      <w:b/>
      <w:bCs/>
    </w:rPr>
  </w:style>
  <w:style w:type="paragraph" w:styleId="Heading3">
    <w:name w:val="heading 3"/>
    <w:basedOn w:val="Normal"/>
    <w:next w:val="Normal"/>
    <w:link w:val="Heading3Char"/>
    <w:uiPriority w:val="9"/>
    <w:unhideWhenUsed/>
    <w:qFormat/>
    <w:rsid w:val="0079175F"/>
    <w:pPr>
      <w:spacing w:before="200" w:after="0" w:line="271" w:lineRule="auto"/>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79175F"/>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79175F"/>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79175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9175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9175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9175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82B"/>
    <w:rPr>
      <w:rFonts w:eastAsiaTheme="majorEastAsia" w:cstheme="majorBidi"/>
      <w:b/>
      <w:bCs/>
      <w:sz w:val="24"/>
      <w:szCs w:val="28"/>
      <w:lang w:eastAsia="de-DE"/>
    </w:rPr>
  </w:style>
  <w:style w:type="paragraph" w:styleId="Caption">
    <w:name w:val="caption"/>
    <w:basedOn w:val="Normal"/>
    <w:next w:val="Normal"/>
    <w:uiPriority w:val="35"/>
    <w:rsid w:val="00F71FA8"/>
    <w:pPr>
      <w:tabs>
        <w:tab w:val="left" w:pos="851"/>
      </w:tabs>
      <w:spacing w:before="120" w:after="240" w:line="288" w:lineRule="auto"/>
      <w:jc w:val="both"/>
    </w:pPr>
    <w:rPr>
      <w:rFonts w:ascii="Arial" w:eastAsia="Times New Roman" w:hAnsi="Arial" w:cs="Times New Roman"/>
      <w:bCs/>
      <w:sz w:val="20"/>
      <w:szCs w:val="20"/>
      <w:lang w:eastAsia="de-DE"/>
    </w:rPr>
  </w:style>
  <w:style w:type="paragraph" w:styleId="BalloonText">
    <w:name w:val="Balloon Text"/>
    <w:basedOn w:val="Normal"/>
    <w:link w:val="BalloonTextChar"/>
    <w:uiPriority w:val="99"/>
    <w:semiHidden/>
    <w:unhideWhenUsed/>
    <w:rsid w:val="00F71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FA8"/>
    <w:rPr>
      <w:rFonts w:ascii="Tahoma" w:hAnsi="Tahoma" w:cs="Tahoma"/>
      <w:sz w:val="16"/>
      <w:szCs w:val="16"/>
    </w:rPr>
  </w:style>
  <w:style w:type="paragraph" w:styleId="Header">
    <w:name w:val="header"/>
    <w:basedOn w:val="Normal"/>
    <w:link w:val="HeaderChar"/>
    <w:uiPriority w:val="99"/>
    <w:unhideWhenUsed/>
    <w:rsid w:val="00204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D7F"/>
  </w:style>
  <w:style w:type="paragraph" w:styleId="Footer">
    <w:name w:val="footer"/>
    <w:basedOn w:val="Normal"/>
    <w:link w:val="FooterChar"/>
    <w:uiPriority w:val="99"/>
    <w:unhideWhenUsed/>
    <w:rsid w:val="00204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D7F"/>
  </w:style>
  <w:style w:type="character" w:customStyle="1" w:styleId="Heading2Char">
    <w:name w:val="Heading 2 Char"/>
    <w:basedOn w:val="DefaultParagraphFont"/>
    <w:link w:val="Heading2"/>
    <w:uiPriority w:val="9"/>
    <w:rsid w:val="00A757AD"/>
    <w:rPr>
      <w:rFonts w:eastAsiaTheme="majorEastAsia" w:cstheme="majorBidi"/>
      <w:b/>
      <w:bCs/>
    </w:rPr>
  </w:style>
  <w:style w:type="character" w:customStyle="1" w:styleId="Heading3Char">
    <w:name w:val="Heading 3 Char"/>
    <w:basedOn w:val="DefaultParagraphFont"/>
    <w:link w:val="Heading3"/>
    <w:uiPriority w:val="9"/>
    <w:rsid w:val="0079175F"/>
    <w:rPr>
      <w:rFonts w:ascii="Calibri" w:eastAsiaTheme="majorEastAsia" w:hAnsi="Calibri" w:cstheme="majorBidi"/>
      <w:b/>
      <w:bCs/>
    </w:rPr>
  </w:style>
  <w:style w:type="character" w:customStyle="1" w:styleId="Heading4Char">
    <w:name w:val="Heading 4 Char"/>
    <w:basedOn w:val="DefaultParagraphFont"/>
    <w:link w:val="Heading4"/>
    <w:uiPriority w:val="9"/>
    <w:rsid w:val="0079175F"/>
    <w:rPr>
      <w:rFonts w:eastAsiaTheme="majorEastAsia" w:cstheme="majorBidi"/>
      <w:b/>
      <w:bCs/>
      <w:i/>
      <w:iCs/>
    </w:rPr>
  </w:style>
  <w:style w:type="character" w:customStyle="1" w:styleId="Heading5Char">
    <w:name w:val="Heading 5 Char"/>
    <w:basedOn w:val="DefaultParagraphFont"/>
    <w:link w:val="Heading5"/>
    <w:uiPriority w:val="9"/>
    <w:rsid w:val="0079175F"/>
    <w:rPr>
      <w:rFonts w:eastAsiaTheme="majorEastAsia" w:cstheme="majorBidi"/>
      <w:b/>
      <w:bCs/>
      <w:color w:val="7F7F7F" w:themeColor="text1" w:themeTint="80"/>
    </w:rPr>
  </w:style>
  <w:style w:type="character" w:customStyle="1" w:styleId="Heading6Char">
    <w:name w:val="Heading 6 Char"/>
    <w:basedOn w:val="DefaultParagraphFont"/>
    <w:link w:val="Heading6"/>
    <w:uiPriority w:val="9"/>
    <w:semiHidden/>
    <w:rsid w:val="0079175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9175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9175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9175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9175F"/>
    <w:pPr>
      <w:pBdr>
        <w:bottom w:val="single" w:sz="4" w:space="1" w:color="auto"/>
      </w:pBdr>
      <w:spacing w:line="240" w:lineRule="auto"/>
      <w:contextualSpacing/>
    </w:pPr>
    <w:rPr>
      <w:rFonts w:eastAsiaTheme="majorEastAsia" w:cstheme="majorBidi"/>
      <w:spacing w:val="5"/>
      <w:sz w:val="52"/>
      <w:szCs w:val="52"/>
      <w:lang w:eastAsia="de-DE"/>
    </w:rPr>
  </w:style>
  <w:style w:type="character" w:customStyle="1" w:styleId="TitleChar">
    <w:name w:val="Title Char"/>
    <w:basedOn w:val="DefaultParagraphFont"/>
    <w:link w:val="Title"/>
    <w:uiPriority w:val="10"/>
    <w:rsid w:val="0079175F"/>
    <w:rPr>
      <w:rFonts w:eastAsiaTheme="majorEastAsia" w:cstheme="majorBidi"/>
      <w:spacing w:val="5"/>
      <w:sz w:val="52"/>
      <w:szCs w:val="52"/>
      <w:lang w:eastAsia="de-DE"/>
    </w:rPr>
  </w:style>
  <w:style w:type="paragraph" w:styleId="Subtitle">
    <w:name w:val="Subtitle"/>
    <w:basedOn w:val="Normal"/>
    <w:next w:val="Normal"/>
    <w:link w:val="SubtitleChar"/>
    <w:uiPriority w:val="11"/>
    <w:qFormat/>
    <w:rsid w:val="0079175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9175F"/>
    <w:rPr>
      <w:rFonts w:asciiTheme="majorHAnsi" w:eastAsiaTheme="majorEastAsia" w:hAnsiTheme="majorHAnsi" w:cstheme="majorBidi"/>
      <w:i/>
      <w:iCs/>
      <w:spacing w:val="13"/>
      <w:sz w:val="24"/>
      <w:szCs w:val="24"/>
    </w:rPr>
  </w:style>
  <w:style w:type="character" w:styleId="Strong">
    <w:name w:val="Strong"/>
    <w:uiPriority w:val="22"/>
    <w:qFormat/>
    <w:rsid w:val="0079175F"/>
    <w:rPr>
      <w:b/>
      <w:bCs/>
    </w:rPr>
  </w:style>
  <w:style w:type="character" w:styleId="Emphasis">
    <w:name w:val="Emphasis"/>
    <w:uiPriority w:val="20"/>
    <w:qFormat/>
    <w:rsid w:val="0079175F"/>
    <w:rPr>
      <w:b/>
      <w:bCs/>
      <w:i/>
      <w:iCs/>
      <w:spacing w:val="10"/>
      <w:bdr w:val="none" w:sz="0" w:space="0" w:color="auto"/>
      <w:shd w:val="clear" w:color="auto" w:fill="auto"/>
    </w:rPr>
  </w:style>
  <w:style w:type="paragraph" w:styleId="NoSpacing">
    <w:name w:val="No Spacing"/>
    <w:basedOn w:val="Normal"/>
    <w:uiPriority w:val="1"/>
    <w:qFormat/>
    <w:rsid w:val="0079175F"/>
    <w:pPr>
      <w:spacing w:after="0" w:line="240" w:lineRule="auto"/>
    </w:pPr>
  </w:style>
  <w:style w:type="paragraph" w:styleId="ListParagraph">
    <w:name w:val="List Paragraph"/>
    <w:basedOn w:val="Normal"/>
    <w:uiPriority w:val="34"/>
    <w:qFormat/>
    <w:rsid w:val="0079175F"/>
    <w:pPr>
      <w:ind w:left="720"/>
      <w:contextualSpacing/>
    </w:pPr>
  </w:style>
  <w:style w:type="paragraph" w:styleId="Quote">
    <w:name w:val="Quote"/>
    <w:basedOn w:val="Normal"/>
    <w:next w:val="Normal"/>
    <w:link w:val="QuoteChar"/>
    <w:uiPriority w:val="29"/>
    <w:qFormat/>
    <w:rsid w:val="0079175F"/>
    <w:pPr>
      <w:spacing w:before="200" w:after="0"/>
      <w:ind w:left="360" w:right="360"/>
    </w:pPr>
    <w:rPr>
      <w:i/>
      <w:iCs/>
    </w:rPr>
  </w:style>
  <w:style w:type="character" w:customStyle="1" w:styleId="QuoteChar">
    <w:name w:val="Quote Char"/>
    <w:basedOn w:val="DefaultParagraphFont"/>
    <w:link w:val="Quote"/>
    <w:uiPriority w:val="29"/>
    <w:rsid w:val="0079175F"/>
    <w:rPr>
      <w:i/>
      <w:iCs/>
    </w:rPr>
  </w:style>
  <w:style w:type="paragraph" w:styleId="IntenseQuote">
    <w:name w:val="Intense Quote"/>
    <w:basedOn w:val="Normal"/>
    <w:next w:val="Normal"/>
    <w:link w:val="IntenseQuoteChar"/>
    <w:uiPriority w:val="30"/>
    <w:qFormat/>
    <w:rsid w:val="0079175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9175F"/>
    <w:rPr>
      <w:b/>
      <w:bCs/>
      <w:i/>
      <w:iCs/>
    </w:rPr>
  </w:style>
  <w:style w:type="character" w:styleId="SubtleEmphasis">
    <w:name w:val="Subtle Emphasis"/>
    <w:uiPriority w:val="19"/>
    <w:qFormat/>
    <w:rsid w:val="0079175F"/>
    <w:rPr>
      <w:i/>
      <w:iCs/>
    </w:rPr>
  </w:style>
  <w:style w:type="character" w:styleId="IntenseEmphasis">
    <w:name w:val="Intense Emphasis"/>
    <w:uiPriority w:val="21"/>
    <w:qFormat/>
    <w:rsid w:val="0079175F"/>
    <w:rPr>
      <w:b/>
      <w:bCs/>
    </w:rPr>
  </w:style>
  <w:style w:type="character" w:styleId="SubtleReference">
    <w:name w:val="Subtle Reference"/>
    <w:uiPriority w:val="31"/>
    <w:qFormat/>
    <w:rsid w:val="0079175F"/>
    <w:rPr>
      <w:smallCaps/>
    </w:rPr>
  </w:style>
  <w:style w:type="character" w:styleId="IntenseReference">
    <w:name w:val="Intense Reference"/>
    <w:uiPriority w:val="32"/>
    <w:qFormat/>
    <w:rsid w:val="0079175F"/>
    <w:rPr>
      <w:smallCaps/>
      <w:spacing w:val="5"/>
      <w:u w:val="single"/>
    </w:rPr>
  </w:style>
  <w:style w:type="character" w:styleId="BookTitle">
    <w:name w:val="Book Title"/>
    <w:uiPriority w:val="33"/>
    <w:qFormat/>
    <w:rsid w:val="0079175F"/>
    <w:rPr>
      <w:i/>
      <w:iCs/>
      <w:smallCaps/>
      <w:spacing w:val="5"/>
    </w:rPr>
  </w:style>
  <w:style w:type="paragraph" w:styleId="TOCHeading">
    <w:name w:val="TOC Heading"/>
    <w:basedOn w:val="Heading1"/>
    <w:next w:val="Normal"/>
    <w:uiPriority w:val="39"/>
    <w:unhideWhenUsed/>
    <w:qFormat/>
    <w:rsid w:val="0079175F"/>
    <w:pPr>
      <w:outlineLvl w:val="9"/>
    </w:pPr>
    <w:rPr>
      <w:lang w:bidi="en-US"/>
    </w:rPr>
  </w:style>
  <w:style w:type="paragraph" w:styleId="TOC1">
    <w:name w:val="toc 1"/>
    <w:basedOn w:val="Normal"/>
    <w:next w:val="Normal"/>
    <w:autoRedefine/>
    <w:uiPriority w:val="39"/>
    <w:unhideWhenUsed/>
    <w:rsid w:val="008B527B"/>
    <w:pPr>
      <w:tabs>
        <w:tab w:val="right" w:leader="dot" w:pos="9062"/>
      </w:tabs>
      <w:spacing w:after="100"/>
    </w:pPr>
    <w:rPr>
      <w:b/>
      <w:noProof/>
    </w:rPr>
  </w:style>
  <w:style w:type="paragraph" w:styleId="TOC2">
    <w:name w:val="toc 2"/>
    <w:basedOn w:val="Normal"/>
    <w:next w:val="Normal"/>
    <w:autoRedefine/>
    <w:uiPriority w:val="39"/>
    <w:unhideWhenUsed/>
    <w:rsid w:val="00874669"/>
    <w:pPr>
      <w:spacing w:after="100"/>
      <w:ind w:left="220"/>
    </w:pPr>
  </w:style>
  <w:style w:type="character" w:styleId="Hyperlink">
    <w:name w:val="Hyperlink"/>
    <w:basedOn w:val="DefaultParagraphFont"/>
    <w:uiPriority w:val="99"/>
    <w:unhideWhenUsed/>
    <w:rsid w:val="00874669"/>
    <w:rPr>
      <w:color w:val="0000FF" w:themeColor="hyperlink"/>
      <w:u w:val="single"/>
    </w:rPr>
  </w:style>
  <w:style w:type="character" w:styleId="CommentReference">
    <w:name w:val="annotation reference"/>
    <w:basedOn w:val="DefaultParagraphFont"/>
    <w:uiPriority w:val="99"/>
    <w:semiHidden/>
    <w:unhideWhenUsed/>
    <w:rsid w:val="00DD1F85"/>
    <w:rPr>
      <w:sz w:val="16"/>
      <w:szCs w:val="16"/>
    </w:rPr>
  </w:style>
  <w:style w:type="paragraph" w:styleId="CommentText">
    <w:name w:val="annotation text"/>
    <w:basedOn w:val="Normal"/>
    <w:link w:val="CommentTextChar"/>
    <w:uiPriority w:val="99"/>
    <w:unhideWhenUsed/>
    <w:rsid w:val="00DD1F85"/>
    <w:pPr>
      <w:spacing w:line="240" w:lineRule="auto"/>
    </w:pPr>
    <w:rPr>
      <w:sz w:val="20"/>
      <w:szCs w:val="20"/>
    </w:rPr>
  </w:style>
  <w:style w:type="character" w:customStyle="1" w:styleId="CommentTextChar">
    <w:name w:val="Comment Text Char"/>
    <w:basedOn w:val="DefaultParagraphFont"/>
    <w:link w:val="CommentText"/>
    <w:uiPriority w:val="99"/>
    <w:rsid w:val="00DD1F85"/>
    <w:rPr>
      <w:sz w:val="20"/>
      <w:szCs w:val="20"/>
    </w:rPr>
  </w:style>
  <w:style w:type="paragraph" w:styleId="CommentSubject">
    <w:name w:val="annotation subject"/>
    <w:basedOn w:val="CommentText"/>
    <w:next w:val="CommentText"/>
    <w:link w:val="CommentSubjectChar"/>
    <w:uiPriority w:val="99"/>
    <w:semiHidden/>
    <w:unhideWhenUsed/>
    <w:rsid w:val="00DD1F85"/>
    <w:rPr>
      <w:b/>
      <w:bCs/>
    </w:rPr>
  </w:style>
  <w:style w:type="character" w:customStyle="1" w:styleId="CommentSubjectChar">
    <w:name w:val="Comment Subject Char"/>
    <w:basedOn w:val="CommentTextChar"/>
    <w:link w:val="CommentSubject"/>
    <w:uiPriority w:val="99"/>
    <w:semiHidden/>
    <w:rsid w:val="00DD1F85"/>
    <w:rPr>
      <w:b/>
      <w:bCs/>
      <w:sz w:val="20"/>
      <w:szCs w:val="20"/>
    </w:rPr>
  </w:style>
  <w:style w:type="paragraph" w:styleId="Bibliography">
    <w:name w:val="Bibliography"/>
    <w:basedOn w:val="Normal"/>
    <w:next w:val="Normal"/>
    <w:uiPriority w:val="37"/>
    <w:unhideWhenUsed/>
    <w:rsid w:val="00A757AD"/>
    <w:pPr>
      <w:tabs>
        <w:tab w:val="left" w:pos="384"/>
      </w:tabs>
      <w:spacing w:after="240" w:line="240" w:lineRule="auto"/>
      <w:ind w:left="384" w:hanging="384"/>
    </w:pPr>
  </w:style>
  <w:style w:type="paragraph" w:customStyle="1" w:styleId="Description">
    <w:name w:val="Description"/>
    <w:basedOn w:val="Normal"/>
    <w:qFormat/>
    <w:rsid w:val="00FE54C3"/>
    <w:pPr>
      <w:tabs>
        <w:tab w:val="left" w:pos="1531"/>
      </w:tabs>
      <w:spacing w:before="40" w:after="40"/>
    </w:pPr>
    <w:rPr>
      <w:rFonts w:ascii="Calibri" w:eastAsiaTheme="minorHAnsi" w:hAnsi="Calibri"/>
      <w:noProof/>
    </w:rPr>
  </w:style>
  <w:style w:type="table" w:styleId="TableGrid">
    <w:name w:val="Table Grid"/>
    <w:basedOn w:val="TableNormal"/>
    <w:uiPriority w:val="59"/>
    <w:rsid w:val="005E2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92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2FB9"/>
    <w:rPr>
      <w:sz w:val="20"/>
      <w:szCs w:val="20"/>
    </w:rPr>
  </w:style>
  <w:style w:type="character" w:styleId="FootnoteReference">
    <w:name w:val="footnote reference"/>
    <w:basedOn w:val="DefaultParagraphFont"/>
    <w:uiPriority w:val="99"/>
    <w:semiHidden/>
    <w:unhideWhenUsed/>
    <w:rsid w:val="00692FB9"/>
    <w:rPr>
      <w:vertAlign w:val="superscript"/>
    </w:rPr>
  </w:style>
  <w:style w:type="character" w:styleId="EndnoteReference">
    <w:name w:val="endnote reference"/>
    <w:basedOn w:val="DefaultParagraphFont"/>
    <w:uiPriority w:val="99"/>
    <w:semiHidden/>
    <w:unhideWhenUsed/>
    <w:rsid w:val="008E5C54"/>
    <w:rPr>
      <w:vertAlign w:val="superscript"/>
    </w:rPr>
  </w:style>
  <w:style w:type="paragraph" w:styleId="Revision">
    <w:name w:val="Revision"/>
    <w:hidden/>
    <w:uiPriority w:val="99"/>
    <w:semiHidden/>
    <w:rsid w:val="008E5C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5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B85BE-C8CB-45E1-A370-47CBE0B0C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Runge</dc:creator>
  <cp:lastModifiedBy>Manuela Runge</cp:lastModifiedBy>
  <cp:revision>39</cp:revision>
  <dcterms:created xsi:type="dcterms:W3CDTF">2019-09-29T20:50:00Z</dcterms:created>
  <dcterms:modified xsi:type="dcterms:W3CDTF">2022-01-27T10:56:00Z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id="L37IsOYV"/&gt;&lt;style id="http://www.zotero.org/styles/plos-one"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