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06D51" w14:textId="2B7E1313" w:rsidR="0082046E" w:rsidRPr="004628C3" w:rsidRDefault="0082046E" w:rsidP="0082046E">
      <w:pPr>
        <w:pStyle w:val="Caption"/>
        <w:spacing w:before="0" w:after="0" w:line="360" w:lineRule="auto"/>
        <w:rPr>
          <w:rFonts w:asciiTheme="minorHAnsi" w:eastAsiaTheme="minorHAnsi" w:hAnsiTheme="minorHAnsi" w:cstheme="minorBidi"/>
          <w:b/>
          <w:bCs w:val="0"/>
          <w:sz w:val="22"/>
          <w:szCs w:val="22"/>
          <w:lang w:eastAsia="en-US"/>
        </w:rPr>
      </w:pPr>
      <w:r w:rsidRPr="004628C3">
        <w:rPr>
          <w:rFonts w:asciiTheme="minorHAnsi" w:eastAsiaTheme="minorHAnsi" w:hAnsiTheme="minorHAnsi" w:cstheme="minorBidi"/>
          <w:b/>
          <w:bCs w:val="0"/>
          <w:sz w:val="22"/>
          <w:szCs w:val="22"/>
          <w:lang w:eastAsia="en-US"/>
        </w:rPr>
        <w:t xml:space="preserve">Table </w:t>
      </w:r>
      <w:r w:rsidR="00971FE7">
        <w:rPr>
          <w:rFonts w:asciiTheme="minorHAnsi" w:eastAsiaTheme="minorHAnsi" w:hAnsiTheme="minorHAnsi" w:cstheme="minorBidi"/>
          <w:b/>
          <w:bCs w:val="0"/>
          <w:sz w:val="22"/>
          <w:szCs w:val="22"/>
          <w:lang w:eastAsia="en-US"/>
        </w:rPr>
        <w:t>A3.1</w:t>
      </w:r>
      <w:r w:rsidRPr="004628C3">
        <w:rPr>
          <w:rFonts w:asciiTheme="minorHAnsi" w:eastAsiaTheme="minorHAnsi" w:hAnsiTheme="minorHAnsi" w:cstheme="minorBidi"/>
          <w:b/>
          <w:bCs w:val="0"/>
          <w:sz w:val="22"/>
          <w:szCs w:val="22"/>
          <w:lang w:eastAsia="en-US"/>
        </w:rPr>
        <w:t xml:space="preserve">: </w:t>
      </w:r>
      <w:r>
        <w:rPr>
          <w:rFonts w:asciiTheme="minorHAnsi" w:eastAsiaTheme="minorHAnsi" w:hAnsiTheme="minorHAnsi" w:cstheme="minorBidi"/>
          <w:b/>
          <w:bCs w:val="0"/>
          <w:sz w:val="22"/>
          <w:szCs w:val="22"/>
          <w:lang w:eastAsia="en-US"/>
        </w:rPr>
        <w:t>R</w:t>
      </w:r>
      <w:r w:rsidRPr="004628C3">
        <w:rPr>
          <w:rFonts w:asciiTheme="minorHAnsi" w:eastAsiaTheme="minorHAnsi" w:hAnsiTheme="minorHAnsi" w:cstheme="minorBidi"/>
          <w:b/>
          <w:bCs w:val="0"/>
          <w:sz w:val="22"/>
          <w:szCs w:val="22"/>
          <w:lang w:eastAsia="en-US"/>
        </w:rPr>
        <w:t xml:space="preserve">esults table as included in the </w:t>
      </w:r>
      <w:r>
        <w:rPr>
          <w:rFonts w:asciiTheme="minorHAnsi" w:eastAsiaTheme="minorHAnsi" w:hAnsiTheme="minorHAnsi" w:cstheme="minorBidi"/>
          <w:b/>
          <w:bCs w:val="0"/>
          <w:sz w:val="22"/>
          <w:szCs w:val="22"/>
          <w:lang w:eastAsia="en-US"/>
        </w:rPr>
        <w:t xml:space="preserve">revised </w:t>
      </w:r>
      <w:r w:rsidRPr="004628C3">
        <w:rPr>
          <w:rFonts w:asciiTheme="minorHAnsi" w:eastAsiaTheme="minorHAnsi" w:hAnsiTheme="minorHAnsi" w:cstheme="minorBidi"/>
          <w:b/>
          <w:bCs w:val="0"/>
          <w:sz w:val="22"/>
          <w:szCs w:val="22"/>
          <w:lang w:eastAsia="en-US"/>
        </w:rPr>
        <w:t>strategic plan*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237"/>
        <w:gridCol w:w="4711"/>
        <w:gridCol w:w="3340"/>
      </w:tblGrid>
      <w:tr w:rsidR="0082046E" w:rsidRPr="004628C3" w14:paraId="7C9B3BB3" w14:textId="77777777" w:rsidTr="004064FC">
        <w:trPr>
          <w:trHeight w:val="218"/>
          <w:tblHeader/>
        </w:trPr>
        <w:tc>
          <w:tcPr>
            <w:tcW w:w="666" w:type="pct"/>
            <w:vAlign w:val="center"/>
          </w:tcPr>
          <w:p w14:paraId="738E731F" w14:textId="77777777" w:rsidR="0082046E" w:rsidRPr="004628C3" w:rsidRDefault="0082046E" w:rsidP="004064FC">
            <w:pPr>
              <w:spacing w:after="0"/>
              <w:rPr>
                <w:b/>
              </w:rPr>
            </w:pPr>
            <w:r w:rsidRPr="004628C3">
              <w:rPr>
                <w:b/>
              </w:rPr>
              <w:t>Stratum</w:t>
            </w:r>
          </w:p>
        </w:tc>
        <w:tc>
          <w:tcPr>
            <w:tcW w:w="2536" w:type="pct"/>
            <w:vAlign w:val="center"/>
          </w:tcPr>
          <w:p w14:paraId="3AE35D08" w14:textId="77777777" w:rsidR="0082046E" w:rsidRPr="004628C3" w:rsidRDefault="0082046E" w:rsidP="004064FC">
            <w:pPr>
              <w:spacing w:after="0"/>
              <w:rPr>
                <w:b/>
              </w:rPr>
            </w:pPr>
            <w:r w:rsidRPr="004628C3">
              <w:rPr>
                <w:b/>
              </w:rPr>
              <w:t>Modelling Results</w:t>
            </w:r>
          </w:p>
        </w:tc>
        <w:tc>
          <w:tcPr>
            <w:tcW w:w="1798" w:type="pct"/>
            <w:vAlign w:val="center"/>
          </w:tcPr>
          <w:p w14:paraId="3F74BD9E" w14:textId="77777777" w:rsidR="0082046E" w:rsidRPr="004628C3" w:rsidRDefault="0082046E" w:rsidP="004064FC">
            <w:pPr>
              <w:spacing w:after="0"/>
              <w:rPr>
                <w:b/>
              </w:rPr>
            </w:pPr>
            <w:r w:rsidRPr="004628C3">
              <w:rPr>
                <w:b/>
              </w:rPr>
              <w:t>Strategic response and mitigation</w:t>
            </w:r>
          </w:p>
        </w:tc>
      </w:tr>
      <w:tr w:rsidR="0082046E" w:rsidRPr="004628C3" w14:paraId="2FE4FD34" w14:textId="77777777" w:rsidTr="003911CA">
        <w:trPr>
          <w:trHeight w:val="1876"/>
          <w:tblHeader/>
        </w:trPr>
        <w:tc>
          <w:tcPr>
            <w:tcW w:w="666" w:type="pct"/>
            <w:vAlign w:val="center"/>
          </w:tcPr>
          <w:p w14:paraId="6A4E320B" w14:textId="77777777" w:rsidR="0082046E" w:rsidRPr="004628C3" w:rsidRDefault="0082046E" w:rsidP="004064FC">
            <w:pPr>
              <w:rPr>
                <w:b/>
              </w:rPr>
            </w:pPr>
            <w:r w:rsidRPr="004628C3">
              <w:rPr>
                <w:b/>
              </w:rPr>
              <w:t>Very low</w:t>
            </w:r>
          </w:p>
        </w:tc>
        <w:tc>
          <w:tcPr>
            <w:tcW w:w="2536" w:type="pct"/>
          </w:tcPr>
          <w:p w14:paraId="54E2BF1D"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 xml:space="preserve">Without </w:t>
            </w:r>
            <w:r>
              <w:rPr>
                <w:sz w:val="20"/>
              </w:rPr>
              <w:t>ITN</w:t>
            </w:r>
            <w:r w:rsidRPr="004628C3">
              <w:rPr>
                <w:sz w:val="20"/>
              </w:rPr>
              <w:t xml:space="preserve"> replacements but with high effective treatment rate</w:t>
            </w:r>
            <w:r>
              <w:rPr>
                <w:sz w:val="20"/>
              </w:rPr>
              <w:t>,</w:t>
            </w:r>
            <w:r w:rsidRPr="004628C3">
              <w:rPr>
                <w:sz w:val="20"/>
              </w:rPr>
              <w:t xml:space="preserve"> the prevalence was predicted to be maintained until 2020. </w:t>
            </w:r>
          </w:p>
          <w:p w14:paraId="0DF65CD9" w14:textId="009E132A" w:rsidR="0082046E" w:rsidRPr="003911CA" w:rsidRDefault="0082046E" w:rsidP="003911CA">
            <w:pPr>
              <w:pStyle w:val="ListParagraph"/>
              <w:numPr>
                <w:ilvl w:val="0"/>
                <w:numId w:val="3"/>
              </w:numPr>
              <w:tabs>
                <w:tab w:val="left" w:pos="851"/>
              </w:tabs>
              <w:spacing w:after="120" w:line="240" w:lineRule="auto"/>
              <w:rPr>
                <w:sz w:val="20"/>
              </w:rPr>
            </w:pPr>
            <w:r>
              <w:rPr>
                <w:sz w:val="20"/>
              </w:rPr>
              <w:t>D</w:t>
            </w:r>
            <w:r w:rsidRPr="004628C3">
              <w:rPr>
                <w:sz w:val="20"/>
              </w:rPr>
              <w:t xml:space="preserve">epending on the pre-intervention EIR, a slight increase in prevalence was predicted after the effect of the last MRC (2016) decayed, while prevalence in 2020 remained lower as the baseline prevalence in 2016. </w:t>
            </w:r>
          </w:p>
        </w:tc>
        <w:tc>
          <w:tcPr>
            <w:tcW w:w="1798" w:type="pct"/>
          </w:tcPr>
          <w:p w14:paraId="3F54B65E"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 xml:space="preserve">Establishment of </w:t>
            </w:r>
            <w:r w:rsidRPr="004628C3">
              <w:rPr>
                <w:sz w:val="20"/>
                <w:u w:val="single"/>
              </w:rPr>
              <w:t>improved surveillance and response</w:t>
            </w:r>
            <w:r w:rsidRPr="004628C3">
              <w:rPr>
                <w:sz w:val="20"/>
              </w:rPr>
              <w:t>, including case-based surveillance with reactive case detection; Foci investigation and response with reactive vector control interventions; Epidemic detection and response</w:t>
            </w:r>
          </w:p>
        </w:tc>
      </w:tr>
      <w:tr w:rsidR="0082046E" w:rsidRPr="004628C3" w14:paraId="146A8D73" w14:textId="77777777" w:rsidTr="004064FC">
        <w:trPr>
          <w:trHeight w:val="2173"/>
          <w:tblHeader/>
        </w:trPr>
        <w:tc>
          <w:tcPr>
            <w:tcW w:w="666" w:type="pct"/>
            <w:vAlign w:val="center"/>
          </w:tcPr>
          <w:p w14:paraId="7ED2918C" w14:textId="77777777" w:rsidR="0082046E" w:rsidRPr="004628C3" w:rsidRDefault="0082046E" w:rsidP="004064FC">
            <w:pPr>
              <w:rPr>
                <w:b/>
              </w:rPr>
            </w:pPr>
            <w:r w:rsidRPr="004628C3">
              <w:rPr>
                <w:b/>
              </w:rPr>
              <w:t>Low</w:t>
            </w:r>
          </w:p>
        </w:tc>
        <w:tc>
          <w:tcPr>
            <w:tcW w:w="2536" w:type="pct"/>
          </w:tcPr>
          <w:p w14:paraId="6F26AA02" w14:textId="77777777" w:rsidR="0082046E" w:rsidRPr="004628C3" w:rsidRDefault="0082046E" w:rsidP="0082046E">
            <w:pPr>
              <w:pStyle w:val="ListParagraph"/>
              <w:numPr>
                <w:ilvl w:val="0"/>
                <w:numId w:val="4"/>
              </w:numPr>
              <w:tabs>
                <w:tab w:val="left" w:pos="851"/>
              </w:tabs>
              <w:spacing w:after="120" w:line="240" w:lineRule="auto"/>
              <w:rPr>
                <w:sz w:val="20"/>
              </w:rPr>
            </w:pPr>
            <w:r w:rsidRPr="004628C3">
              <w:rPr>
                <w:sz w:val="20"/>
              </w:rPr>
              <w:t xml:space="preserve">LLINs were </w:t>
            </w:r>
            <w:r>
              <w:rPr>
                <w:sz w:val="20"/>
              </w:rPr>
              <w:t>assumed to be</w:t>
            </w:r>
            <w:r w:rsidRPr="004628C3">
              <w:rPr>
                <w:sz w:val="20"/>
              </w:rPr>
              <w:t xml:space="preserve"> maintain</w:t>
            </w:r>
            <w:r>
              <w:rPr>
                <w:sz w:val="20"/>
              </w:rPr>
              <w:t>ed</w:t>
            </w:r>
            <w:r w:rsidRPr="004628C3">
              <w:rPr>
                <w:sz w:val="20"/>
              </w:rPr>
              <w:t xml:space="preserve"> at least 40% coverage in the population (e.g. through continuous distributions)</w:t>
            </w:r>
            <w:r>
              <w:rPr>
                <w:sz w:val="20"/>
              </w:rPr>
              <w:t xml:space="preserve"> with improved CM at least 80% and</w:t>
            </w:r>
            <w:r w:rsidRPr="004628C3">
              <w:rPr>
                <w:sz w:val="20"/>
              </w:rPr>
              <w:t xml:space="preserve"> </w:t>
            </w:r>
            <w:r>
              <w:rPr>
                <w:sz w:val="20"/>
              </w:rPr>
              <w:t xml:space="preserve">results </w:t>
            </w:r>
            <w:r w:rsidRPr="004628C3">
              <w:rPr>
                <w:sz w:val="20"/>
              </w:rPr>
              <w:t xml:space="preserve">predicted to maintain the baseline prevalence in 2016 until 2020. </w:t>
            </w:r>
          </w:p>
          <w:p w14:paraId="3954FC33" w14:textId="77777777" w:rsidR="0082046E" w:rsidRPr="004628C3" w:rsidRDefault="0082046E" w:rsidP="0082046E">
            <w:pPr>
              <w:pStyle w:val="ListParagraph"/>
              <w:numPr>
                <w:ilvl w:val="0"/>
                <w:numId w:val="4"/>
              </w:numPr>
              <w:tabs>
                <w:tab w:val="left" w:pos="851"/>
              </w:tabs>
              <w:spacing w:after="120" w:line="240" w:lineRule="auto"/>
              <w:rPr>
                <w:sz w:val="20"/>
              </w:rPr>
            </w:pPr>
            <w:r w:rsidRPr="004628C3">
              <w:rPr>
                <w:sz w:val="20"/>
              </w:rPr>
              <w:t xml:space="preserve">In the scenario without additional </w:t>
            </w:r>
            <w:r>
              <w:rPr>
                <w:sz w:val="20"/>
              </w:rPr>
              <w:t>implementation of ITNs</w:t>
            </w:r>
            <w:r w:rsidRPr="004628C3">
              <w:rPr>
                <w:sz w:val="20"/>
              </w:rPr>
              <w:t>, the prevalence was predicted to increase in 2020</w:t>
            </w:r>
            <w:r>
              <w:rPr>
                <w:sz w:val="20"/>
              </w:rPr>
              <w:t>.</w:t>
            </w:r>
            <w:r w:rsidRPr="004628C3">
              <w:rPr>
                <w:sz w:val="20"/>
              </w:rPr>
              <w:t xml:space="preserve"> </w:t>
            </w:r>
          </w:p>
        </w:tc>
        <w:tc>
          <w:tcPr>
            <w:tcW w:w="1798" w:type="pct"/>
          </w:tcPr>
          <w:p w14:paraId="0C5BF28B"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 xml:space="preserve">Establishment of </w:t>
            </w:r>
            <w:r>
              <w:rPr>
                <w:sz w:val="20"/>
              </w:rPr>
              <w:t>ITN</w:t>
            </w:r>
            <w:r w:rsidRPr="004628C3">
              <w:rPr>
                <w:sz w:val="20"/>
              </w:rPr>
              <w:t xml:space="preserve"> coverage surveillance for optimizing </w:t>
            </w:r>
            <w:r>
              <w:rPr>
                <w:sz w:val="20"/>
              </w:rPr>
              <w:t>ITN</w:t>
            </w:r>
            <w:r w:rsidRPr="004628C3">
              <w:rPr>
                <w:sz w:val="20"/>
              </w:rPr>
              <w:t xml:space="preserve"> distribution mechanisms.</w:t>
            </w:r>
          </w:p>
          <w:p w14:paraId="3E7472F2"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Improved malaria surveillance and response including epidemic detection and response</w:t>
            </w:r>
          </w:p>
        </w:tc>
      </w:tr>
      <w:tr w:rsidR="0082046E" w:rsidRPr="004628C3" w14:paraId="104BBA50" w14:textId="77777777" w:rsidTr="004064FC">
        <w:trPr>
          <w:trHeight w:val="994"/>
          <w:tblHeader/>
        </w:trPr>
        <w:tc>
          <w:tcPr>
            <w:tcW w:w="666" w:type="pct"/>
            <w:vAlign w:val="center"/>
          </w:tcPr>
          <w:p w14:paraId="56C13EF5" w14:textId="77777777" w:rsidR="0082046E" w:rsidRPr="004628C3" w:rsidRDefault="0082046E" w:rsidP="004064FC">
            <w:pPr>
              <w:rPr>
                <w:b/>
              </w:rPr>
            </w:pPr>
            <w:r w:rsidRPr="004628C3">
              <w:rPr>
                <w:b/>
              </w:rPr>
              <w:t>Moderate</w:t>
            </w:r>
          </w:p>
        </w:tc>
        <w:tc>
          <w:tcPr>
            <w:tcW w:w="2536" w:type="pct"/>
          </w:tcPr>
          <w:p w14:paraId="4E991019" w14:textId="77777777" w:rsidR="0082046E" w:rsidRPr="004628C3" w:rsidRDefault="0082046E" w:rsidP="0082046E">
            <w:pPr>
              <w:pStyle w:val="ListParagraph"/>
              <w:numPr>
                <w:ilvl w:val="0"/>
                <w:numId w:val="5"/>
              </w:numPr>
              <w:tabs>
                <w:tab w:val="left" w:pos="851"/>
              </w:tabs>
              <w:spacing w:after="120" w:line="240" w:lineRule="auto"/>
              <w:rPr>
                <w:sz w:val="20"/>
              </w:rPr>
            </w:pPr>
            <w:r w:rsidRPr="004628C3">
              <w:rPr>
                <w:sz w:val="20"/>
              </w:rPr>
              <w:t xml:space="preserve">ITN mass campaign followed by continuous </w:t>
            </w:r>
            <w:r>
              <w:rPr>
                <w:sz w:val="20"/>
              </w:rPr>
              <w:t>ITN</w:t>
            </w:r>
            <w:r w:rsidRPr="004628C3">
              <w:rPr>
                <w:sz w:val="20"/>
              </w:rPr>
              <w:t xml:space="preserve"> distributions (e.g. SNP), was predicted to result in a large decrease in prevalence until 2020 if no other control measure was in place. </w:t>
            </w:r>
          </w:p>
        </w:tc>
        <w:tc>
          <w:tcPr>
            <w:tcW w:w="1798" w:type="pct"/>
          </w:tcPr>
          <w:p w14:paraId="610B79C7" w14:textId="77777777" w:rsidR="0082046E" w:rsidRPr="007138FF" w:rsidRDefault="0082046E" w:rsidP="0082046E">
            <w:pPr>
              <w:pStyle w:val="ListParagraph"/>
              <w:numPr>
                <w:ilvl w:val="0"/>
                <w:numId w:val="3"/>
              </w:numPr>
              <w:tabs>
                <w:tab w:val="left" w:pos="851"/>
              </w:tabs>
              <w:spacing w:after="120" w:line="240" w:lineRule="auto"/>
              <w:rPr>
                <w:sz w:val="20"/>
              </w:rPr>
            </w:pPr>
            <w:r w:rsidRPr="004628C3">
              <w:rPr>
                <w:sz w:val="20"/>
              </w:rPr>
              <w:t xml:space="preserve">Establishment of </w:t>
            </w:r>
            <w:r>
              <w:rPr>
                <w:sz w:val="20"/>
              </w:rPr>
              <w:t>ITN</w:t>
            </w:r>
            <w:r w:rsidRPr="004628C3">
              <w:rPr>
                <w:sz w:val="20"/>
              </w:rPr>
              <w:t xml:space="preserve"> coverage surveillance for optimizing </w:t>
            </w:r>
            <w:r>
              <w:rPr>
                <w:sz w:val="20"/>
              </w:rPr>
              <w:t>ITN</w:t>
            </w:r>
            <w:r w:rsidRPr="004628C3">
              <w:rPr>
                <w:sz w:val="20"/>
              </w:rPr>
              <w:t xml:space="preserve"> distribution mechanisms.</w:t>
            </w:r>
          </w:p>
        </w:tc>
      </w:tr>
      <w:tr w:rsidR="0082046E" w:rsidRPr="004628C3" w14:paraId="7CBA231E" w14:textId="77777777" w:rsidTr="004064FC">
        <w:trPr>
          <w:trHeight w:val="3211"/>
          <w:tblHeader/>
        </w:trPr>
        <w:tc>
          <w:tcPr>
            <w:tcW w:w="666" w:type="pct"/>
            <w:vAlign w:val="center"/>
          </w:tcPr>
          <w:p w14:paraId="44373B92" w14:textId="77777777" w:rsidR="0082046E" w:rsidRPr="004628C3" w:rsidRDefault="0082046E" w:rsidP="004064FC">
            <w:pPr>
              <w:rPr>
                <w:b/>
              </w:rPr>
            </w:pPr>
            <w:r w:rsidRPr="004628C3">
              <w:rPr>
                <w:b/>
              </w:rPr>
              <w:t>High</w:t>
            </w:r>
          </w:p>
        </w:tc>
        <w:tc>
          <w:tcPr>
            <w:tcW w:w="2536" w:type="pct"/>
          </w:tcPr>
          <w:p w14:paraId="15F525D6"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The combination of annual ITN distributions, maintaining a</w:t>
            </w:r>
            <w:r>
              <w:rPr>
                <w:sz w:val="20"/>
              </w:rPr>
              <w:t>n</w:t>
            </w:r>
            <w:r w:rsidRPr="004628C3">
              <w:rPr>
                <w:sz w:val="20"/>
              </w:rPr>
              <w:t xml:space="preserve"> </w:t>
            </w:r>
            <w:r>
              <w:rPr>
                <w:sz w:val="20"/>
              </w:rPr>
              <w:t>ITN</w:t>
            </w:r>
            <w:r w:rsidRPr="004628C3">
              <w:rPr>
                <w:sz w:val="20"/>
              </w:rPr>
              <w:t xml:space="preserve"> coverage of at least 70%, additional IRS campaigns in districts in the Lake Zone and Kigoma, and IPTsc in all districts was predicted to result in high reductions in prevalence until 2020, which reached the same predicted prevalence as in the moderate strata.</w:t>
            </w:r>
          </w:p>
          <w:p w14:paraId="78B93564" w14:textId="77777777" w:rsidR="0082046E" w:rsidRPr="004628C3" w:rsidRDefault="0082046E" w:rsidP="0082046E">
            <w:pPr>
              <w:pStyle w:val="ListParagraph"/>
              <w:numPr>
                <w:ilvl w:val="0"/>
                <w:numId w:val="3"/>
              </w:numPr>
              <w:tabs>
                <w:tab w:val="left" w:pos="851"/>
              </w:tabs>
              <w:spacing w:after="0" w:line="240" w:lineRule="auto"/>
              <w:rPr>
                <w:sz w:val="20"/>
              </w:rPr>
            </w:pPr>
            <w:r>
              <w:rPr>
                <w:sz w:val="20"/>
              </w:rPr>
              <w:t xml:space="preserve">Implementation of </w:t>
            </w:r>
            <w:r w:rsidRPr="004628C3">
              <w:rPr>
                <w:sz w:val="20"/>
              </w:rPr>
              <w:t xml:space="preserve">IPTsc </w:t>
            </w:r>
            <w:r>
              <w:rPr>
                <w:sz w:val="20"/>
              </w:rPr>
              <w:t>showed some</w:t>
            </w:r>
            <w:r w:rsidRPr="004628C3">
              <w:rPr>
                <w:sz w:val="20"/>
              </w:rPr>
              <w:t xml:space="preserve"> additional impact </w:t>
            </w:r>
            <w:r>
              <w:rPr>
                <w:sz w:val="20"/>
              </w:rPr>
              <w:t>and the</w:t>
            </w:r>
            <w:r w:rsidRPr="004628C3">
              <w:rPr>
                <w:sz w:val="20"/>
              </w:rPr>
              <w:t xml:space="preserve"> deployment would need to </w:t>
            </w:r>
            <w:r>
              <w:rPr>
                <w:sz w:val="20"/>
              </w:rPr>
              <w:t>be assessed at the council  level.</w:t>
            </w:r>
          </w:p>
          <w:p w14:paraId="7442356F" w14:textId="77777777" w:rsidR="0082046E" w:rsidRPr="004628C3" w:rsidRDefault="0082046E" w:rsidP="0082046E">
            <w:pPr>
              <w:pStyle w:val="ListParagraph"/>
              <w:numPr>
                <w:ilvl w:val="0"/>
                <w:numId w:val="3"/>
              </w:numPr>
              <w:tabs>
                <w:tab w:val="left" w:pos="851"/>
              </w:tabs>
              <w:spacing w:after="0" w:line="240" w:lineRule="auto"/>
              <w:rPr>
                <w:sz w:val="20"/>
              </w:rPr>
            </w:pPr>
            <w:r w:rsidRPr="004628C3">
              <w:rPr>
                <w:sz w:val="20"/>
              </w:rPr>
              <w:t>The combination of mass campaign and annual ITN distributions led to additional marginal reductions.</w:t>
            </w:r>
          </w:p>
        </w:tc>
        <w:tc>
          <w:tcPr>
            <w:tcW w:w="1798" w:type="pct"/>
          </w:tcPr>
          <w:p w14:paraId="2B08EA1F"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 xml:space="preserve">Establishment of </w:t>
            </w:r>
            <w:r>
              <w:rPr>
                <w:sz w:val="20"/>
              </w:rPr>
              <w:t>ITN</w:t>
            </w:r>
            <w:r w:rsidRPr="004628C3">
              <w:rPr>
                <w:sz w:val="20"/>
              </w:rPr>
              <w:t xml:space="preserve"> coverage surveillance for optimizing </w:t>
            </w:r>
            <w:r>
              <w:rPr>
                <w:sz w:val="20"/>
              </w:rPr>
              <w:t>ITN</w:t>
            </w:r>
            <w:r w:rsidRPr="004628C3">
              <w:rPr>
                <w:sz w:val="20"/>
              </w:rPr>
              <w:t xml:space="preserve"> distribution mechanisms.</w:t>
            </w:r>
          </w:p>
          <w:p w14:paraId="58D1777B" w14:textId="77777777" w:rsidR="0082046E" w:rsidRDefault="0082046E" w:rsidP="0082046E">
            <w:pPr>
              <w:pStyle w:val="ListParagraph"/>
              <w:numPr>
                <w:ilvl w:val="0"/>
                <w:numId w:val="3"/>
              </w:numPr>
              <w:tabs>
                <w:tab w:val="left" w:pos="851"/>
              </w:tabs>
              <w:spacing w:after="120" w:line="240" w:lineRule="auto"/>
              <w:rPr>
                <w:sz w:val="20"/>
              </w:rPr>
            </w:pPr>
            <w:r w:rsidRPr="004628C3">
              <w:rPr>
                <w:sz w:val="20"/>
              </w:rPr>
              <w:t>IRS to be deployed according to optimized resource allocation.</w:t>
            </w:r>
          </w:p>
          <w:p w14:paraId="100A786A" w14:textId="54E63AE8" w:rsidR="00992879" w:rsidRPr="004628C3" w:rsidRDefault="00992879" w:rsidP="00992879">
            <w:pPr>
              <w:pStyle w:val="ListParagraph"/>
              <w:numPr>
                <w:ilvl w:val="0"/>
                <w:numId w:val="3"/>
              </w:numPr>
              <w:tabs>
                <w:tab w:val="left" w:pos="851"/>
              </w:tabs>
              <w:spacing w:after="120" w:line="240" w:lineRule="auto"/>
              <w:rPr>
                <w:sz w:val="20"/>
              </w:rPr>
            </w:pPr>
            <w:r w:rsidRPr="00992879">
              <w:rPr>
                <w:sz w:val="20"/>
              </w:rPr>
              <w:t xml:space="preserve">Micro-stratification to detect possible candidate areas </w:t>
            </w:r>
            <w:r>
              <w:rPr>
                <w:sz w:val="20"/>
              </w:rPr>
              <w:t>for IPTsc</w:t>
            </w:r>
          </w:p>
        </w:tc>
      </w:tr>
      <w:tr w:rsidR="0082046E" w:rsidRPr="004628C3" w14:paraId="27EC0823" w14:textId="77777777" w:rsidTr="004064FC">
        <w:trPr>
          <w:trHeight w:val="2173"/>
          <w:tblHeader/>
        </w:trPr>
        <w:tc>
          <w:tcPr>
            <w:tcW w:w="666" w:type="pct"/>
            <w:vAlign w:val="center"/>
          </w:tcPr>
          <w:p w14:paraId="0BE220F9" w14:textId="77777777" w:rsidR="0082046E" w:rsidRPr="004628C3" w:rsidRDefault="0082046E" w:rsidP="004064FC">
            <w:pPr>
              <w:rPr>
                <w:b/>
              </w:rPr>
            </w:pPr>
            <w:r w:rsidRPr="004628C3">
              <w:rPr>
                <w:b/>
              </w:rPr>
              <w:t>Urban</w:t>
            </w:r>
          </w:p>
        </w:tc>
        <w:tc>
          <w:tcPr>
            <w:tcW w:w="2536" w:type="pct"/>
          </w:tcPr>
          <w:p w14:paraId="7D17B9A9"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The baseline prevalence in 2016 was highly heterogeneous</w:t>
            </w:r>
            <w:r>
              <w:rPr>
                <w:sz w:val="20"/>
              </w:rPr>
              <w:t>,</w:t>
            </w:r>
            <w:r w:rsidRPr="004628C3">
              <w:rPr>
                <w:sz w:val="20"/>
              </w:rPr>
              <w:t xml:space="preserve"> and discontinuation of </w:t>
            </w:r>
            <w:r>
              <w:rPr>
                <w:sz w:val="20"/>
              </w:rPr>
              <w:t>ITN</w:t>
            </w:r>
            <w:r w:rsidRPr="004628C3">
              <w:rPr>
                <w:sz w:val="20"/>
              </w:rPr>
              <w:t xml:space="preserve"> distributions in all urban areas was predicted to result in a rebound in prevalence. </w:t>
            </w:r>
          </w:p>
          <w:p w14:paraId="123A73FF"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 xml:space="preserve">Therefore, </w:t>
            </w:r>
            <w:r>
              <w:rPr>
                <w:sz w:val="20"/>
              </w:rPr>
              <w:t>ITN</w:t>
            </w:r>
            <w:r w:rsidRPr="004628C3">
              <w:rPr>
                <w:sz w:val="20"/>
              </w:rPr>
              <w:t xml:space="preserve"> distributions in urban areas should follow epidemiological strata. </w:t>
            </w:r>
          </w:p>
          <w:p w14:paraId="6780AAD1" w14:textId="09456FF5"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In practice, LSM</w:t>
            </w:r>
            <w:r>
              <w:rPr>
                <w:sz w:val="20"/>
              </w:rPr>
              <w:t>,</w:t>
            </w:r>
            <w:r w:rsidRPr="004628C3">
              <w:rPr>
                <w:sz w:val="20"/>
              </w:rPr>
              <w:t xml:space="preserve"> e.g. larviciding</w:t>
            </w:r>
            <w:r>
              <w:rPr>
                <w:sz w:val="20"/>
              </w:rPr>
              <w:t>,</w:t>
            </w:r>
            <w:r w:rsidRPr="004628C3">
              <w:rPr>
                <w:sz w:val="20"/>
              </w:rPr>
              <w:t xml:space="preserve"> might have </w:t>
            </w:r>
            <w:r>
              <w:rPr>
                <w:sz w:val="20"/>
              </w:rPr>
              <w:t xml:space="preserve">an </w:t>
            </w:r>
            <w:r w:rsidRPr="004628C3">
              <w:rPr>
                <w:sz w:val="20"/>
              </w:rPr>
              <w:t xml:space="preserve">additional impact but was </w:t>
            </w:r>
            <w:r w:rsidR="00197DBD">
              <w:rPr>
                <w:sz w:val="20"/>
              </w:rPr>
              <w:t>excluded</w:t>
            </w:r>
            <w:r w:rsidRPr="004628C3">
              <w:rPr>
                <w:sz w:val="20"/>
              </w:rPr>
              <w:t xml:space="preserve"> </w:t>
            </w:r>
            <w:r w:rsidR="00197DBD">
              <w:rPr>
                <w:sz w:val="20"/>
              </w:rPr>
              <w:t>from the analysis</w:t>
            </w:r>
            <w:r w:rsidRPr="004628C3">
              <w:rPr>
                <w:sz w:val="20"/>
              </w:rPr>
              <w:t xml:space="preserve">. </w:t>
            </w:r>
          </w:p>
        </w:tc>
        <w:tc>
          <w:tcPr>
            <w:tcW w:w="1798" w:type="pct"/>
          </w:tcPr>
          <w:p w14:paraId="4E260212" w14:textId="77777777" w:rsidR="0082046E" w:rsidRPr="004628C3" w:rsidRDefault="0082046E" w:rsidP="0082046E">
            <w:pPr>
              <w:pStyle w:val="ListParagraph"/>
              <w:numPr>
                <w:ilvl w:val="0"/>
                <w:numId w:val="3"/>
              </w:numPr>
              <w:tabs>
                <w:tab w:val="left" w:pos="851"/>
              </w:tabs>
              <w:spacing w:after="120" w:line="240" w:lineRule="auto"/>
              <w:rPr>
                <w:sz w:val="20"/>
              </w:rPr>
            </w:pPr>
            <w:r>
              <w:rPr>
                <w:sz w:val="20"/>
              </w:rPr>
              <w:t>ITN</w:t>
            </w:r>
            <w:r w:rsidRPr="004628C3">
              <w:rPr>
                <w:sz w:val="20"/>
              </w:rPr>
              <w:t xml:space="preserve"> distribution mechanisms to be deployed according to the underlying epidemiological stratum. </w:t>
            </w:r>
          </w:p>
          <w:p w14:paraId="232A46D4" w14:textId="77777777" w:rsidR="0082046E" w:rsidRPr="004628C3" w:rsidRDefault="0082046E" w:rsidP="0082046E">
            <w:pPr>
              <w:pStyle w:val="ListParagraph"/>
              <w:numPr>
                <w:ilvl w:val="0"/>
                <w:numId w:val="3"/>
              </w:numPr>
              <w:tabs>
                <w:tab w:val="left" w:pos="851"/>
              </w:tabs>
              <w:spacing w:after="120" w:line="240" w:lineRule="auto"/>
              <w:rPr>
                <w:sz w:val="20"/>
              </w:rPr>
            </w:pPr>
            <w:r w:rsidRPr="004628C3">
              <w:rPr>
                <w:sz w:val="20"/>
              </w:rPr>
              <w:t>Optimal CM coverage to be reached with private sector quality improvement schemes.</w:t>
            </w:r>
          </w:p>
        </w:tc>
      </w:tr>
    </w:tbl>
    <w:p w14:paraId="2500E761" w14:textId="57C8FE2F" w:rsidR="00B5396C" w:rsidRDefault="0082046E" w:rsidP="009B3BB2">
      <w:pPr>
        <w:pStyle w:val="Description"/>
        <w:rPr>
          <w:rFonts w:asciiTheme="minorHAnsi" w:hAnsiTheme="minorHAnsi"/>
        </w:rPr>
      </w:pPr>
      <w:r w:rsidRPr="004628C3">
        <w:rPr>
          <w:rFonts w:asciiTheme="minorHAnsi" w:hAnsiTheme="minorHAnsi"/>
        </w:rPr>
        <w:t xml:space="preserve">*) </w:t>
      </w:r>
      <w:r>
        <w:rPr>
          <w:rFonts w:asciiTheme="minorHAnsi" w:hAnsiTheme="minorHAnsi"/>
        </w:rPr>
        <w:t xml:space="preserve">edited </w:t>
      </w:r>
      <w:r w:rsidR="00197DBD">
        <w:rPr>
          <w:rFonts w:asciiTheme="minorHAnsi" w:hAnsiTheme="minorHAnsi"/>
        </w:rPr>
        <w:t>and</w:t>
      </w:r>
      <w:r>
        <w:rPr>
          <w:rFonts w:asciiTheme="minorHAnsi" w:hAnsiTheme="minorHAnsi"/>
        </w:rPr>
        <w:t xml:space="preserve"> shortened </w:t>
      </w:r>
      <w:r w:rsidR="00197DBD">
        <w:rPr>
          <w:rFonts w:asciiTheme="minorHAnsi" w:hAnsiTheme="minorHAnsi"/>
        </w:rPr>
        <w:t xml:space="preserve">version </w:t>
      </w:r>
      <w:r>
        <w:rPr>
          <w:rFonts w:asciiTheme="minorHAnsi" w:hAnsiTheme="minorHAnsi"/>
        </w:rPr>
        <w:t>from the SMMSP</w:t>
      </w:r>
      <w:r w:rsidR="001B34CB">
        <w:rPr>
          <w:rStyle w:val="FootnoteReference"/>
          <w:rFonts w:asciiTheme="minorHAnsi" w:hAnsiTheme="minorHAnsi"/>
        </w:rPr>
        <w:footnoteReference w:id="1"/>
      </w:r>
      <w:r>
        <w:rPr>
          <w:rFonts w:asciiTheme="minorHAnsi" w:hAnsiTheme="minorHAnsi"/>
        </w:rPr>
        <w:t>.</w:t>
      </w:r>
    </w:p>
    <w:p w14:paraId="2EB944B6" w14:textId="77777777" w:rsidR="009B3BB2" w:rsidRDefault="009B3BB2" w:rsidP="009B3BB2">
      <w:pPr>
        <w:pStyle w:val="Bibliography"/>
        <w:ind w:left="0" w:firstLine="0"/>
      </w:pPr>
    </w:p>
    <w:p w14:paraId="319CF05E" w14:textId="6CBE0A55" w:rsidR="00016F40" w:rsidRDefault="00016F40" w:rsidP="00016F40"/>
    <w:p w14:paraId="519F43F5" w14:textId="65FEE931" w:rsidR="00016F40" w:rsidRDefault="00016F40" w:rsidP="00016F40"/>
    <w:p w14:paraId="7F44D8CF" w14:textId="639FC411" w:rsidR="00016F40" w:rsidRDefault="00016F40" w:rsidP="00016F40">
      <w:r>
        <w:lastRenderedPageBreak/>
        <w:drawing>
          <wp:inline distT="0" distB="0" distL="0" distR="0" wp14:anchorId="1309828F" wp14:editId="45C40BDF">
            <wp:extent cx="5760720" cy="2933700"/>
            <wp:effectExtent l="0" t="0" r="0"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14" b="4812"/>
                    <a:stretch/>
                  </pic:blipFill>
                  <pic:spPr bwMode="auto">
                    <a:xfrm>
                      <a:off x="0" y="0"/>
                      <a:ext cx="5760720" cy="2933700"/>
                    </a:xfrm>
                    <a:prstGeom prst="rect">
                      <a:avLst/>
                    </a:prstGeom>
                    <a:noFill/>
                    <a:ln>
                      <a:noFill/>
                    </a:ln>
                    <a:extLst>
                      <a:ext uri="{53640926-AAD7-44D8-BBD7-CCE9431645EC}">
                        <a14:shadowObscured xmlns:a14="http://schemas.microsoft.com/office/drawing/2010/main"/>
                      </a:ext>
                    </a:extLst>
                  </pic:spPr>
                </pic:pic>
              </a:graphicData>
            </a:graphic>
          </wp:inline>
        </w:drawing>
      </w:r>
    </w:p>
    <w:p w14:paraId="48002DF4" w14:textId="41725920" w:rsidR="00016F40" w:rsidRPr="001B34CB" w:rsidRDefault="00016F40" w:rsidP="008D53BF">
      <w:pPr>
        <w:pStyle w:val="Caption"/>
        <w:spacing w:before="0" w:line="240" w:lineRule="auto"/>
        <w:rPr>
          <w:rFonts w:asciiTheme="minorHAnsi" w:eastAsiaTheme="minorHAnsi" w:hAnsiTheme="minorHAnsi" w:cstheme="minorBidi"/>
          <w:b/>
          <w:bCs w:val="0"/>
          <w:sz w:val="22"/>
          <w:szCs w:val="22"/>
          <w:lang w:eastAsia="en-US"/>
        </w:rPr>
      </w:pPr>
      <w:bookmarkStart w:id="0" w:name="_Toc84681160"/>
      <w:r w:rsidRPr="001B34CB">
        <w:rPr>
          <w:rFonts w:asciiTheme="minorHAnsi" w:eastAsiaTheme="minorHAnsi" w:hAnsiTheme="minorHAnsi" w:cstheme="minorBidi"/>
          <w:b/>
          <w:bCs w:val="0"/>
          <w:sz w:val="22"/>
          <w:szCs w:val="22"/>
          <w:lang w:eastAsia="en-US"/>
        </w:rPr>
        <w:t>Fig</w:t>
      </w:r>
      <w:r w:rsidRPr="001B34CB">
        <w:rPr>
          <w:rFonts w:asciiTheme="minorHAnsi" w:eastAsiaTheme="minorHAnsi" w:hAnsiTheme="minorHAnsi" w:cstheme="minorBidi"/>
          <w:b/>
          <w:bCs w:val="0"/>
          <w:sz w:val="22"/>
          <w:szCs w:val="22"/>
          <w:lang w:eastAsia="en-US"/>
        </w:rPr>
        <w:t xml:space="preserve"> A3.</w:t>
      </w:r>
      <w:r w:rsidR="005A0C0D">
        <w:rPr>
          <w:rFonts w:asciiTheme="minorHAnsi" w:eastAsiaTheme="minorHAnsi" w:hAnsiTheme="minorHAnsi" w:cstheme="minorBidi"/>
          <w:b/>
          <w:bCs w:val="0"/>
          <w:sz w:val="22"/>
          <w:szCs w:val="22"/>
          <w:lang w:eastAsia="en-US"/>
        </w:rPr>
        <w:t>1</w:t>
      </w:r>
      <w:r w:rsidRPr="001B34CB">
        <w:rPr>
          <w:rFonts w:asciiTheme="minorHAnsi" w:eastAsiaTheme="minorHAnsi" w:hAnsiTheme="minorHAnsi" w:cstheme="minorBidi"/>
          <w:b/>
          <w:bCs w:val="0"/>
          <w:sz w:val="22"/>
          <w:szCs w:val="22"/>
          <w:lang w:eastAsia="en-US"/>
        </w:rPr>
        <w:t>: Overview of malaria risk stratification and selected interventions per strata in Mainland Tanzania</w:t>
      </w:r>
      <w:bookmarkEnd w:id="0"/>
    </w:p>
    <w:p w14:paraId="49EFD337" w14:textId="289EA8C0" w:rsidR="00016F40" w:rsidRPr="001B34CB" w:rsidRDefault="00016F40" w:rsidP="001B34CB">
      <w:pPr>
        <w:spacing w:line="360" w:lineRule="auto"/>
      </w:pPr>
      <w:r w:rsidRPr="001B34CB">
        <w:t>This figure is a simplified version, adapted from the supplementary malaria midterm strategic plan (2018-2020 NMSP). that includes details on the stratification method</w:t>
      </w:r>
      <w:r w:rsidR="001B34CB">
        <w:rPr>
          <w:rStyle w:val="FootnoteReference"/>
        </w:rPr>
        <w:footnoteReference w:id="2"/>
      </w:r>
      <w:r w:rsidRPr="001B34CB">
        <w:t xml:space="preserve">, intervention deployment and antimalarial drugs used. </w:t>
      </w:r>
      <w:r w:rsidRPr="001B34CB">
        <w:rPr>
          <w:b/>
        </w:rPr>
        <w:t xml:space="preserve">Additional intervention allocation constraints and sub-groups: </w:t>
      </w:r>
      <w:r w:rsidRPr="001B34CB">
        <w:t xml:space="preserve">IRS regions were Kagera, Geita, Mara, Mwanza, and Kigoma. Councils eligible for </w:t>
      </w:r>
      <w:r w:rsidR="00F81C24">
        <w:t>S</w:t>
      </w:r>
      <w:r w:rsidRPr="001B34CB">
        <w:t xml:space="preserve">MC included Nachingwea DC, Bahi DC, Itigi DC, Nanyumbu DC, Masasi DC, and Manyoni DC. Continuous ITN distribution through schools (ITN-SNP) was operational in fourteen regions (Katavi, Kagera, Mara, Mwanza, Simiyu, Shinyanga, Geita, Lindi, Mtwara, Ruvuma, Morogoro, Tabora, Kigoma, Pwani), and in those areas no ITN-MRC was planned for 2019. </w:t>
      </w:r>
    </w:p>
    <w:p w14:paraId="1086BC33" w14:textId="68C166FF" w:rsidR="00016F40" w:rsidRDefault="00016F40" w:rsidP="001B34CB">
      <w:pPr>
        <w:spacing w:line="360" w:lineRule="auto"/>
      </w:pPr>
      <w:r w:rsidRPr="001B34CB">
        <w:rPr>
          <w:b/>
          <w:bCs/>
        </w:rPr>
        <w:t>*)</w:t>
      </w:r>
      <w:r w:rsidRPr="001B34CB">
        <w:t xml:space="preserve"> Interventions not included in the WHO recommendations in 2018. In the very low strata, ITNs were considered for vulnerable groups only while universal coverage is recommended for ITNs in all malaria endemic areas</w:t>
      </w:r>
      <w:r w:rsidR="001B34CB">
        <w:rPr>
          <w:rStyle w:val="FootnoteReference"/>
        </w:rPr>
        <w:footnoteReference w:id="3"/>
      </w:r>
      <w:r w:rsidRPr="001B34CB">
        <w:t xml:space="preserve">. </w:t>
      </w:r>
    </w:p>
    <w:p w14:paraId="5E9932B4" w14:textId="77777777" w:rsidR="00CF759D" w:rsidRDefault="00CF759D" w:rsidP="001B34CB">
      <w:pPr>
        <w:spacing w:line="360" w:lineRule="auto"/>
      </w:pPr>
    </w:p>
    <w:p w14:paraId="0331B6CB" w14:textId="05934AEC" w:rsidR="00016F40" w:rsidRPr="00016F40" w:rsidRDefault="005F552A" w:rsidP="005F552A">
      <w:pPr>
        <w:pStyle w:val="Bibliography"/>
        <w:spacing w:after="0"/>
        <w:ind w:left="0" w:firstLine="0"/>
      </w:pPr>
      <w:r w:rsidRPr="001B34CB">
        <w:rPr>
          <w:b/>
          <w:bCs/>
        </w:rPr>
        <w:t>Abbreviations</w:t>
      </w:r>
      <w:r w:rsidRPr="001B34CB">
        <w:t xml:space="preserve">: </w:t>
      </w:r>
      <w:r>
        <w:t xml:space="preserve">CM: Case management; </w:t>
      </w:r>
      <w:r w:rsidRPr="001B34CB">
        <w:t>iCCM= integrated Community Case Management;</w:t>
      </w:r>
      <w:r>
        <w:t xml:space="preserve"> </w:t>
      </w:r>
      <w:r w:rsidRPr="001B34CB">
        <w:t>ITN=Insecticide Treated</w:t>
      </w:r>
      <w:r>
        <w:t xml:space="preserve"> </w:t>
      </w:r>
      <w:r w:rsidRPr="001B34CB">
        <w:t>Nets;</w:t>
      </w:r>
      <w:r>
        <w:t xml:space="preserve"> </w:t>
      </w:r>
      <w:r w:rsidRPr="001B34CB">
        <w:t>IPT=Intermittent preventive therapy in (p) Pregnancy, (i) infants, (sc) school children; IRS: Indoor</w:t>
      </w:r>
      <w:r>
        <w:t xml:space="preserve"> </w:t>
      </w:r>
      <w:r w:rsidRPr="001B34CB">
        <w:t xml:space="preserve">Residual Spraying. </w:t>
      </w:r>
      <w:r>
        <w:t xml:space="preserve">LLIN: Long-lasting insecticide treated nets. </w:t>
      </w:r>
      <w:r w:rsidRPr="001B34CB">
        <w:t>LSM= Larval Source Management.</w:t>
      </w:r>
      <w:r>
        <w:t xml:space="preserve"> </w:t>
      </w:r>
      <w:r w:rsidRPr="001B34CB">
        <w:t>SMC:</w:t>
      </w:r>
      <w:r>
        <w:t xml:space="preserve"> </w:t>
      </w:r>
      <w:r w:rsidRPr="001B34CB">
        <w:t>Seasonal Malaria Chemoprevention.</w:t>
      </w:r>
      <w:r w:rsidR="00CF759D">
        <w:t xml:space="preserve"> </w:t>
      </w:r>
      <w:r w:rsidR="00CF759D" w:rsidRPr="00CF759D">
        <w:t>SMMSP</w:t>
      </w:r>
      <w:r w:rsidR="00CF759D">
        <w:t xml:space="preserve">: </w:t>
      </w:r>
      <w:r w:rsidR="00CF759D" w:rsidRPr="00CF759D">
        <w:t>Supplementary malaria midterm strategic plan</w:t>
      </w:r>
      <w:r w:rsidR="00CF759D">
        <w:t>.</w:t>
      </w:r>
    </w:p>
    <w:sectPr w:rsidR="00016F40" w:rsidRPr="00016F40">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7C4E9" w14:textId="77777777" w:rsidR="002F6D8F" w:rsidRDefault="002F6D8F" w:rsidP="004F2106">
      <w:pPr>
        <w:spacing w:after="0" w:line="240" w:lineRule="auto"/>
      </w:pPr>
      <w:r>
        <w:separator/>
      </w:r>
    </w:p>
  </w:endnote>
  <w:endnote w:type="continuationSeparator" w:id="0">
    <w:p w14:paraId="570C8D34" w14:textId="77777777" w:rsidR="002F6D8F" w:rsidRDefault="002F6D8F" w:rsidP="004F2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974803337"/>
      <w:docPartObj>
        <w:docPartGallery w:val="Page Numbers (Bottom of Page)"/>
        <w:docPartUnique/>
      </w:docPartObj>
    </w:sdtPr>
    <w:sdtEndPr>
      <w:rPr>
        <w:noProof/>
      </w:rPr>
    </w:sdtEndPr>
    <w:sdtContent>
      <w:p w14:paraId="6F949703" w14:textId="77777777" w:rsidR="004F2106" w:rsidRDefault="004F2106">
        <w:pPr>
          <w:pStyle w:val="Footer"/>
          <w:jc w:val="right"/>
        </w:pPr>
        <w:r>
          <w:rPr>
            <w:noProof w:val="0"/>
          </w:rPr>
          <w:fldChar w:fldCharType="begin"/>
        </w:r>
        <w:r>
          <w:instrText xml:space="preserve"> PAGE   \* MERGEFORMAT </w:instrText>
        </w:r>
        <w:r>
          <w:rPr>
            <w:noProof w:val="0"/>
          </w:rPr>
          <w:fldChar w:fldCharType="separate"/>
        </w:r>
        <w:r w:rsidR="00FA40E8">
          <w:t>1</w:t>
        </w:r>
        <w:r>
          <w:fldChar w:fldCharType="end"/>
        </w:r>
      </w:p>
    </w:sdtContent>
  </w:sdt>
  <w:p w14:paraId="3272375E" w14:textId="77777777" w:rsidR="004F2106" w:rsidRDefault="004F2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AF69" w14:textId="77777777" w:rsidR="002F6D8F" w:rsidRDefault="002F6D8F" w:rsidP="004F2106">
      <w:pPr>
        <w:spacing w:after="0" w:line="240" w:lineRule="auto"/>
      </w:pPr>
      <w:r>
        <w:separator/>
      </w:r>
    </w:p>
  </w:footnote>
  <w:footnote w:type="continuationSeparator" w:id="0">
    <w:p w14:paraId="27708B1D" w14:textId="77777777" w:rsidR="002F6D8F" w:rsidRDefault="002F6D8F" w:rsidP="004F2106">
      <w:pPr>
        <w:spacing w:after="0" w:line="240" w:lineRule="auto"/>
      </w:pPr>
      <w:r>
        <w:continuationSeparator/>
      </w:r>
    </w:p>
  </w:footnote>
  <w:footnote w:id="1">
    <w:p w14:paraId="11E54AA1" w14:textId="1C8C91FB" w:rsidR="001B34CB" w:rsidRPr="001B34CB" w:rsidRDefault="001B34CB">
      <w:pPr>
        <w:pStyle w:val="FootnoteText"/>
        <w:rPr>
          <w:lang w:val="en-US"/>
        </w:rPr>
      </w:pPr>
      <w:r>
        <w:rPr>
          <w:rStyle w:val="FootnoteReference"/>
        </w:rPr>
        <w:footnoteRef/>
      </w:r>
      <w:r>
        <w:t xml:space="preserve"> </w:t>
      </w:r>
      <w:r w:rsidRPr="001B34CB">
        <w:t>MoHCDGEC. Supplementary malaria midterm strategic plan 2018-2020. Dar Es Salaam, Tanzania: Ministry of Health Community Development Gender Elderly &amp; Children (MoHCDGEC). National Malaria Control Programme (NMCP).; 2019 Sep</w:t>
      </w:r>
    </w:p>
  </w:footnote>
  <w:footnote w:id="2">
    <w:p w14:paraId="29C92AD8" w14:textId="63575F74" w:rsidR="001B34CB" w:rsidRPr="001B34CB" w:rsidRDefault="001B34CB">
      <w:pPr>
        <w:pStyle w:val="FootnoteText"/>
        <w:rPr>
          <w:lang w:val="en-US"/>
        </w:rPr>
      </w:pPr>
      <w:r>
        <w:rPr>
          <w:rStyle w:val="FootnoteReference"/>
        </w:rPr>
        <w:footnoteRef/>
      </w:r>
      <w:r>
        <w:t xml:space="preserve"> </w:t>
      </w:r>
      <w:r w:rsidRPr="001B34CB">
        <w:rPr>
          <w:rFonts w:ascii="Calibri" w:hAnsi="Calibri" w:cs="Calibri"/>
          <w:szCs w:val="18"/>
        </w:rPr>
        <w:t xml:space="preserve">Thawer SG, Chacky F, Runge M, Reaves E, Mandike R, Lazaro S, et al. Sub-national stratification of malaria risk in mainland Tanzania: a simplified assembly of survey and routine data. Malar J. 2020;19: 177. </w:t>
      </w:r>
    </w:p>
  </w:footnote>
  <w:footnote w:id="3">
    <w:p w14:paraId="25D596E0" w14:textId="2AA93D25" w:rsidR="001B34CB" w:rsidRPr="001B34CB" w:rsidRDefault="001B34CB">
      <w:pPr>
        <w:pStyle w:val="FootnoteText"/>
        <w:rPr>
          <w:lang w:val="en-US"/>
        </w:rPr>
      </w:pPr>
      <w:r>
        <w:rPr>
          <w:rStyle w:val="FootnoteReference"/>
        </w:rPr>
        <w:footnoteRef/>
      </w:r>
      <w:r>
        <w:t xml:space="preserve"> </w:t>
      </w:r>
      <w:r w:rsidRPr="001B34CB">
        <w:rPr>
          <w:rFonts w:ascii="Calibri" w:hAnsi="Calibri" w:cs="Calibri"/>
          <w:szCs w:val="18"/>
        </w:rPr>
        <w:t>WHO. Guidelines for malaria vector control. Geneva, Switzerland: World Health Organization (WHO);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D7AF8"/>
    <w:multiLevelType w:val="hybridMultilevel"/>
    <w:tmpl w:val="B3C29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BE1FF7"/>
    <w:multiLevelType w:val="hybridMultilevel"/>
    <w:tmpl w:val="7124DDEC"/>
    <w:lvl w:ilvl="0" w:tplc="4D229178">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85353"/>
    <w:multiLevelType w:val="hybridMultilevel"/>
    <w:tmpl w:val="77A8D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7E6E2E"/>
    <w:multiLevelType w:val="hybridMultilevel"/>
    <w:tmpl w:val="30242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A16875"/>
    <w:multiLevelType w:val="hybridMultilevel"/>
    <w:tmpl w:val="B16E5C6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QwMzU0MLE0NjI1NLZQ0lEKTi0uzszPAykwqgUAkuAL4CwAAAA="/>
  </w:docVars>
  <w:rsids>
    <w:rsidRoot w:val="00623C13"/>
    <w:rsid w:val="00016F40"/>
    <w:rsid w:val="000454D6"/>
    <w:rsid w:val="000477C5"/>
    <w:rsid w:val="00091B60"/>
    <w:rsid w:val="0009753F"/>
    <w:rsid w:val="000D7092"/>
    <w:rsid w:val="00117F1A"/>
    <w:rsid w:val="001714BD"/>
    <w:rsid w:val="001727AD"/>
    <w:rsid w:val="00197DBD"/>
    <w:rsid w:val="001A7951"/>
    <w:rsid w:val="001B34CB"/>
    <w:rsid w:val="00211D0C"/>
    <w:rsid w:val="00264733"/>
    <w:rsid w:val="002D051C"/>
    <w:rsid w:val="002F6D8F"/>
    <w:rsid w:val="00311224"/>
    <w:rsid w:val="003911CA"/>
    <w:rsid w:val="003B5AD4"/>
    <w:rsid w:val="00402AAD"/>
    <w:rsid w:val="00432B5D"/>
    <w:rsid w:val="0043767D"/>
    <w:rsid w:val="00484017"/>
    <w:rsid w:val="004F0DCE"/>
    <w:rsid w:val="004F2106"/>
    <w:rsid w:val="00516C57"/>
    <w:rsid w:val="005900F5"/>
    <w:rsid w:val="005A0C0D"/>
    <w:rsid w:val="005F1240"/>
    <w:rsid w:val="005F552A"/>
    <w:rsid w:val="00623C13"/>
    <w:rsid w:val="00675146"/>
    <w:rsid w:val="006A6E8D"/>
    <w:rsid w:val="006D01CC"/>
    <w:rsid w:val="00732F8B"/>
    <w:rsid w:val="00784812"/>
    <w:rsid w:val="007B5BD9"/>
    <w:rsid w:val="007F7755"/>
    <w:rsid w:val="00800B7C"/>
    <w:rsid w:val="0082046E"/>
    <w:rsid w:val="008A7103"/>
    <w:rsid w:val="008D53BF"/>
    <w:rsid w:val="00901958"/>
    <w:rsid w:val="00904C53"/>
    <w:rsid w:val="00921932"/>
    <w:rsid w:val="009602C1"/>
    <w:rsid w:val="00971FE7"/>
    <w:rsid w:val="00991E04"/>
    <w:rsid w:val="00992879"/>
    <w:rsid w:val="009B3BB2"/>
    <w:rsid w:val="009B798A"/>
    <w:rsid w:val="009E475E"/>
    <w:rsid w:val="009F4D73"/>
    <w:rsid w:val="00A066E6"/>
    <w:rsid w:val="00A25B80"/>
    <w:rsid w:val="00A26989"/>
    <w:rsid w:val="00A309FD"/>
    <w:rsid w:val="00A73768"/>
    <w:rsid w:val="00A7745D"/>
    <w:rsid w:val="00A828CB"/>
    <w:rsid w:val="00B5396C"/>
    <w:rsid w:val="00BB6714"/>
    <w:rsid w:val="00BD0B47"/>
    <w:rsid w:val="00BE50E3"/>
    <w:rsid w:val="00C27136"/>
    <w:rsid w:val="00C66091"/>
    <w:rsid w:val="00C8060F"/>
    <w:rsid w:val="00CE4F20"/>
    <w:rsid w:val="00CF759D"/>
    <w:rsid w:val="00D124B4"/>
    <w:rsid w:val="00D14A10"/>
    <w:rsid w:val="00D41B50"/>
    <w:rsid w:val="00DD050B"/>
    <w:rsid w:val="00DD2ADD"/>
    <w:rsid w:val="00E42BF5"/>
    <w:rsid w:val="00EF6B5E"/>
    <w:rsid w:val="00F81C24"/>
    <w:rsid w:val="00F90ED6"/>
    <w:rsid w:val="00FA40E8"/>
    <w:rsid w:val="00FE6ECD"/>
    <w:rsid w:val="00FF3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14838"/>
  <w15:docId w15:val="{B59700B3-FF7B-4635-AE63-F92D8D49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51"/>
    <w:rPr>
      <w:noProof/>
    </w:rPr>
  </w:style>
  <w:style w:type="paragraph" w:styleId="Heading1">
    <w:name w:val="heading 1"/>
    <w:basedOn w:val="Normal"/>
    <w:next w:val="Normal"/>
    <w:link w:val="Heading1Char"/>
    <w:uiPriority w:val="9"/>
    <w:qFormat/>
    <w:rsid w:val="00A25B80"/>
    <w:pPr>
      <w:spacing w:before="480" w:after="0"/>
      <w:contextualSpacing/>
      <w:outlineLvl w:val="0"/>
    </w:pPr>
    <w:rPr>
      <w:rFonts w:eastAsiaTheme="majorEastAsia" w:cstheme="majorBidi"/>
      <w:b/>
      <w:bCs/>
      <w:sz w:val="28"/>
      <w:szCs w:val="28"/>
      <w:lang w:eastAsia="de-DE"/>
    </w:rPr>
  </w:style>
  <w:style w:type="paragraph" w:styleId="Heading2">
    <w:name w:val="heading 2"/>
    <w:basedOn w:val="Normal"/>
    <w:next w:val="Normal"/>
    <w:link w:val="Heading2Char"/>
    <w:uiPriority w:val="9"/>
    <w:unhideWhenUsed/>
    <w:qFormat/>
    <w:rsid w:val="00A25B80"/>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25B80"/>
    <w:pPr>
      <w:spacing w:before="200" w:after="0" w:line="271" w:lineRule="auto"/>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A25B80"/>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A25B80"/>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A25B8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25B8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25B8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25B8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B80"/>
    <w:rPr>
      <w:rFonts w:eastAsiaTheme="majorEastAsia" w:cstheme="majorBidi"/>
      <w:b/>
      <w:bCs/>
      <w:sz w:val="28"/>
      <w:szCs w:val="28"/>
      <w:lang w:eastAsia="de-DE"/>
    </w:rPr>
  </w:style>
  <w:style w:type="character" w:customStyle="1" w:styleId="Heading2Char">
    <w:name w:val="Heading 2 Char"/>
    <w:basedOn w:val="DefaultParagraphFont"/>
    <w:link w:val="Heading2"/>
    <w:uiPriority w:val="9"/>
    <w:rsid w:val="00A25B80"/>
    <w:rPr>
      <w:rFonts w:eastAsiaTheme="majorEastAsia" w:cstheme="majorBidi"/>
      <w:b/>
      <w:bCs/>
      <w:sz w:val="26"/>
      <w:szCs w:val="26"/>
    </w:rPr>
  </w:style>
  <w:style w:type="character" w:customStyle="1" w:styleId="Heading3Char">
    <w:name w:val="Heading 3 Char"/>
    <w:basedOn w:val="DefaultParagraphFont"/>
    <w:link w:val="Heading3"/>
    <w:uiPriority w:val="9"/>
    <w:rsid w:val="00A25B80"/>
    <w:rPr>
      <w:rFonts w:ascii="Calibri" w:eastAsiaTheme="majorEastAsia" w:hAnsi="Calibri" w:cstheme="majorBidi"/>
      <w:b/>
      <w:bCs/>
    </w:rPr>
  </w:style>
  <w:style w:type="character" w:customStyle="1" w:styleId="Heading4Char">
    <w:name w:val="Heading 4 Char"/>
    <w:basedOn w:val="DefaultParagraphFont"/>
    <w:link w:val="Heading4"/>
    <w:uiPriority w:val="9"/>
    <w:rsid w:val="00A25B80"/>
    <w:rPr>
      <w:rFonts w:eastAsiaTheme="majorEastAsia" w:cstheme="majorBidi"/>
      <w:b/>
      <w:bCs/>
      <w:i/>
      <w:iCs/>
    </w:rPr>
  </w:style>
  <w:style w:type="character" w:customStyle="1" w:styleId="Heading5Char">
    <w:name w:val="Heading 5 Char"/>
    <w:basedOn w:val="DefaultParagraphFont"/>
    <w:link w:val="Heading5"/>
    <w:uiPriority w:val="9"/>
    <w:rsid w:val="00A25B80"/>
    <w:rPr>
      <w:rFonts w:eastAsiaTheme="majorEastAsia" w:cstheme="majorBidi"/>
      <w:b/>
      <w:bCs/>
      <w:color w:val="7F7F7F" w:themeColor="text1" w:themeTint="80"/>
    </w:rPr>
  </w:style>
  <w:style w:type="character" w:customStyle="1" w:styleId="Heading6Char">
    <w:name w:val="Heading 6 Char"/>
    <w:basedOn w:val="DefaultParagraphFont"/>
    <w:link w:val="Heading6"/>
    <w:uiPriority w:val="9"/>
    <w:semiHidden/>
    <w:rsid w:val="00A25B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25B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25B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25B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25B80"/>
    <w:pPr>
      <w:pBdr>
        <w:bottom w:val="single" w:sz="4" w:space="1" w:color="auto"/>
      </w:pBdr>
      <w:spacing w:line="240" w:lineRule="auto"/>
      <w:contextualSpacing/>
    </w:pPr>
    <w:rPr>
      <w:rFonts w:eastAsiaTheme="majorEastAsia" w:cstheme="majorBidi"/>
      <w:spacing w:val="5"/>
      <w:sz w:val="52"/>
      <w:szCs w:val="52"/>
      <w:lang w:eastAsia="de-DE"/>
    </w:rPr>
  </w:style>
  <w:style w:type="character" w:customStyle="1" w:styleId="TitleChar">
    <w:name w:val="Title Char"/>
    <w:basedOn w:val="DefaultParagraphFont"/>
    <w:link w:val="Title"/>
    <w:uiPriority w:val="10"/>
    <w:rsid w:val="00A25B80"/>
    <w:rPr>
      <w:rFonts w:eastAsiaTheme="majorEastAsia" w:cstheme="majorBidi"/>
      <w:spacing w:val="5"/>
      <w:sz w:val="52"/>
      <w:szCs w:val="52"/>
      <w:lang w:eastAsia="de-DE"/>
    </w:rPr>
  </w:style>
  <w:style w:type="paragraph" w:styleId="Subtitle">
    <w:name w:val="Subtitle"/>
    <w:basedOn w:val="Normal"/>
    <w:next w:val="Normal"/>
    <w:link w:val="SubtitleChar"/>
    <w:uiPriority w:val="11"/>
    <w:qFormat/>
    <w:rsid w:val="00A25B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25B80"/>
    <w:rPr>
      <w:rFonts w:asciiTheme="majorHAnsi" w:eastAsiaTheme="majorEastAsia" w:hAnsiTheme="majorHAnsi" w:cstheme="majorBidi"/>
      <w:i/>
      <w:iCs/>
      <w:spacing w:val="13"/>
      <w:sz w:val="24"/>
      <w:szCs w:val="24"/>
    </w:rPr>
  </w:style>
  <w:style w:type="character" w:styleId="Strong">
    <w:name w:val="Strong"/>
    <w:uiPriority w:val="22"/>
    <w:qFormat/>
    <w:rsid w:val="00A25B80"/>
    <w:rPr>
      <w:b/>
      <w:bCs/>
    </w:rPr>
  </w:style>
  <w:style w:type="character" w:styleId="Emphasis">
    <w:name w:val="Emphasis"/>
    <w:uiPriority w:val="20"/>
    <w:qFormat/>
    <w:rsid w:val="00A25B80"/>
    <w:rPr>
      <w:b/>
      <w:bCs/>
      <w:i/>
      <w:iCs/>
      <w:spacing w:val="10"/>
      <w:bdr w:val="none" w:sz="0" w:space="0" w:color="auto"/>
      <w:shd w:val="clear" w:color="auto" w:fill="auto"/>
    </w:rPr>
  </w:style>
  <w:style w:type="paragraph" w:styleId="NoSpacing">
    <w:name w:val="No Spacing"/>
    <w:basedOn w:val="Normal"/>
    <w:uiPriority w:val="1"/>
    <w:qFormat/>
    <w:rsid w:val="00A25B80"/>
    <w:pPr>
      <w:spacing w:after="0" w:line="240" w:lineRule="auto"/>
    </w:pPr>
  </w:style>
  <w:style w:type="paragraph" w:styleId="ListParagraph">
    <w:name w:val="List Paragraph"/>
    <w:basedOn w:val="Normal"/>
    <w:link w:val="ListParagraphChar"/>
    <w:uiPriority w:val="34"/>
    <w:qFormat/>
    <w:rsid w:val="00A25B80"/>
    <w:pPr>
      <w:ind w:left="720"/>
      <w:contextualSpacing/>
    </w:pPr>
  </w:style>
  <w:style w:type="paragraph" w:styleId="Quote">
    <w:name w:val="Quote"/>
    <w:basedOn w:val="Normal"/>
    <w:next w:val="Normal"/>
    <w:link w:val="QuoteChar"/>
    <w:uiPriority w:val="29"/>
    <w:qFormat/>
    <w:rsid w:val="00A25B80"/>
    <w:pPr>
      <w:spacing w:before="200" w:after="0"/>
      <w:ind w:left="360" w:right="360"/>
    </w:pPr>
    <w:rPr>
      <w:i/>
      <w:iCs/>
    </w:rPr>
  </w:style>
  <w:style w:type="character" w:customStyle="1" w:styleId="QuoteChar">
    <w:name w:val="Quote Char"/>
    <w:basedOn w:val="DefaultParagraphFont"/>
    <w:link w:val="Quote"/>
    <w:uiPriority w:val="29"/>
    <w:rsid w:val="00A25B80"/>
    <w:rPr>
      <w:i/>
      <w:iCs/>
    </w:rPr>
  </w:style>
  <w:style w:type="paragraph" w:styleId="IntenseQuote">
    <w:name w:val="Intense Quote"/>
    <w:basedOn w:val="Normal"/>
    <w:next w:val="Normal"/>
    <w:link w:val="IntenseQuoteChar"/>
    <w:uiPriority w:val="30"/>
    <w:qFormat/>
    <w:rsid w:val="00A25B8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25B80"/>
    <w:rPr>
      <w:b/>
      <w:bCs/>
      <w:i/>
      <w:iCs/>
    </w:rPr>
  </w:style>
  <w:style w:type="character" w:styleId="SubtleEmphasis">
    <w:name w:val="Subtle Emphasis"/>
    <w:uiPriority w:val="19"/>
    <w:qFormat/>
    <w:rsid w:val="00A25B80"/>
    <w:rPr>
      <w:i/>
      <w:iCs/>
    </w:rPr>
  </w:style>
  <w:style w:type="character" w:styleId="IntenseEmphasis">
    <w:name w:val="Intense Emphasis"/>
    <w:uiPriority w:val="21"/>
    <w:qFormat/>
    <w:rsid w:val="00A25B80"/>
    <w:rPr>
      <w:b/>
      <w:bCs/>
    </w:rPr>
  </w:style>
  <w:style w:type="character" w:styleId="SubtleReference">
    <w:name w:val="Subtle Reference"/>
    <w:uiPriority w:val="31"/>
    <w:qFormat/>
    <w:rsid w:val="00A25B80"/>
    <w:rPr>
      <w:smallCaps/>
    </w:rPr>
  </w:style>
  <w:style w:type="character" w:styleId="IntenseReference">
    <w:name w:val="Intense Reference"/>
    <w:uiPriority w:val="32"/>
    <w:qFormat/>
    <w:rsid w:val="00A25B80"/>
    <w:rPr>
      <w:smallCaps/>
      <w:spacing w:val="5"/>
      <w:u w:val="single"/>
    </w:rPr>
  </w:style>
  <w:style w:type="character" w:styleId="BookTitle">
    <w:name w:val="Book Title"/>
    <w:uiPriority w:val="33"/>
    <w:qFormat/>
    <w:rsid w:val="00A25B80"/>
    <w:rPr>
      <w:i/>
      <w:iCs/>
      <w:smallCaps/>
      <w:spacing w:val="5"/>
    </w:rPr>
  </w:style>
  <w:style w:type="paragraph" w:styleId="TOCHeading">
    <w:name w:val="TOC Heading"/>
    <w:basedOn w:val="Heading1"/>
    <w:next w:val="Normal"/>
    <w:uiPriority w:val="39"/>
    <w:semiHidden/>
    <w:unhideWhenUsed/>
    <w:qFormat/>
    <w:rsid w:val="00A25B80"/>
    <w:pPr>
      <w:outlineLvl w:val="9"/>
    </w:pPr>
    <w:rPr>
      <w:lang w:bidi="en-US"/>
    </w:rPr>
  </w:style>
  <w:style w:type="paragraph" w:styleId="BalloonText">
    <w:name w:val="Balloon Text"/>
    <w:basedOn w:val="Normal"/>
    <w:link w:val="BalloonTextChar"/>
    <w:uiPriority w:val="99"/>
    <w:semiHidden/>
    <w:unhideWhenUsed/>
    <w:rsid w:val="001A7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951"/>
    <w:rPr>
      <w:rFonts w:ascii="Tahoma" w:hAnsi="Tahoma" w:cs="Tahoma"/>
      <w:noProof/>
      <w:sz w:val="16"/>
      <w:szCs w:val="16"/>
    </w:rPr>
  </w:style>
  <w:style w:type="paragraph" w:styleId="Header">
    <w:name w:val="header"/>
    <w:basedOn w:val="Normal"/>
    <w:link w:val="HeaderChar"/>
    <w:uiPriority w:val="99"/>
    <w:unhideWhenUsed/>
    <w:rsid w:val="004F2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106"/>
    <w:rPr>
      <w:noProof/>
    </w:rPr>
  </w:style>
  <w:style w:type="paragraph" w:styleId="Footer">
    <w:name w:val="footer"/>
    <w:basedOn w:val="Normal"/>
    <w:link w:val="FooterChar"/>
    <w:uiPriority w:val="99"/>
    <w:unhideWhenUsed/>
    <w:rsid w:val="004F2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106"/>
    <w:rPr>
      <w:noProof/>
    </w:rPr>
  </w:style>
  <w:style w:type="character" w:customStyle="1" w:styleId="ListParagraphChar">
    <w:name w:val="List Paragraph Char"/>
    <w:basedOn w:val="DefaultParagraphFont"/>
    <w:link w:val="ListParagraph"/>
    <w:uiPriority w:val="34"/>
    <w:locked/>
    <w:rsid w:val="0082046E"/>
    <w:rPr>
      <w:noProof/>
    </w:rPr>
  </w:style>
  <w:style w:type="character" w:styleId="CommentReference">
    <w:name w:val="annotation reference"/>
    <w:basedOn w:val="DefaultParagraphFont"/>
    <w:uiPriority w:val="99"/>
    <w:semiHidden/>
    <w:unhideWhenUsed/>
    <w:rsid w:val="0082046E"/>
    <w:rPr>
      <w:sz w:val="16"/>
      <w:szCs w:val="16"/>
    </w:rPr>
  </w:style>
  <w:style w:type="paragraph" w:styleId="CommentText">
    <w:name w:val="annotation text"/>
    <w:basedOn w:val="Normal"/>
    <w:link w:val="CommentTextChar"/>
    <w:uiPriority w:val="99"/>
    <w:unhideWhenUsed/>
    <w:rsid w:val="0082046E"/>
    <w:pPr>
      <w:spacing w:line="240" w:lineRule="auto"/>
    </w:pPr>
    <w:rPr>
      <w:sz w:val="20"/>
      <w:szCs w:val="20"/>
    </w:rPr>
  </w:style>
  <w:style w:type="character" w:customStyle="1" w:styleId="CommentTextChar">
    <w:name w:val="Comment Text Char"/>
    <w:basedOn w:val="DefaultParagraphFont"/>
    <w:link w:val="CommentText"/>
    <w:uiPriority w:val="99"/>
    <w:rsid w:val="0082046E"/>
    <w:rPr>
      <w:noProof/>
      <w:sz w:val="20"/>
      <w:szCs w:val="20"/>
    </w:rPr>
  </w:style>
  <w:style w:type="paragraph" w:styleId="Caption">
    <w:name w:val="caption"/>
    <w:basedOn w:val="Normal"/>
    <w:next w:val="Normal"/>
    <w:uiPriority w:val="35"/>
    <w:qFormat/>
    <w:rsid w:val="0082046E"/>
    <w:pPr>
      <w:tabs>
        <w:tab w:val="left" w:pos="851"/>
      </w:tabs>
      <w:spacing w:before="120" w:after="240" w:line="288" w:lineRule="auto"/>
      <w:jc w:val="both"/>
    </w:pPr>
    <w:rPr>
      <w:rFonts w:ascii="Arial" w:eastAsia="Times New Roman" w:hAnsi="Arial" w:cs="Times New Roman"/>
      <w:bCs/>
      <w:sz w:val="20"/>
      <w:szCs w:val="20"/>
      <w:lang w:eastAsia="de-DE"/>
    </w:rPr>
  </w:style>
  <w:style w:type="paragraph" w:customStyle="1" w:styleId="Description">
    <w:name w:val="Description"/>
    <w:basedOn w:val="Normal"/>
    <w:qFormat/>
    <w:rsid w:val="0082046E"/>
    <w:pPr>
      <w:tabs>
        <w:tab w:val="left" w:pos="1531"/>
      </w:tabs>
      <w:spacing w:before="40" w:after="40"/>
    </w:pPr>
    <w:rPr>
      <w:rFonts w:ascii="Calibri" w:hAnsi="Calibri"/>
    </w:rPr>
  </w:style>
  <w:style w:type="paragraph" w:styleId="Bibliography">
    <w:name w:val="Bibliography"/>
    <w:basedOn w:val="Normal"/>
    <w:next w:val="Normal"/>
    <w:uiPriority w:val="37"/>
    <w:unhideWhenUsed/>
    <w:rsid w:val="009B3BB2"/>
    <w:pPr>
      <w:tabs>
        <w:tab w:val="left" w:pos="384"/>
      </w:tabs>
      <w:spacing w:after="240" w:line="240" w:lineRule="auto"/>
      <w:ind w:left="384" w:hanging="384"/>
    </w:pPr>
  </w:style>
  <w:style w:type="paragraph" w:styleId="Revision">
    <w:name w:val="Revision"/>
    <w:hidden/>
    <w:uiPriority w:val="99"/>
    <w:semiHidden/>
    <w:rsid w:val="00992879"/>
    <w:pPr>
      <w:spacing w:after="0" w:line="240" w:lineRule="auto"/>
    </w:pPr>
    <w:rPr>
      <w:noProof/>
    </w:rPr>
  </w:style>
  <w:style w:type="paragraph" w:styleId="FootnoteText">
    <w:name w:val="footnote text"/>
    <w:basedOn w:val="Normal"/>
    <w:link w:val="FootnoteTextChar"/>
    <w:uiPriority w:val="99"/>
    <w:semiHidden/>
    <w:unhideWhenUsed/>
    <w:rsid w:val="001B34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4CB"/>
    <w:rPr>
      <w:noProof/>
      <w:sz w:val="20"/>
      <w:szCs w:val="20"/>
    </w:rPr>
  </w:style>
  <w:style w:type="character" w:styleId="FootnoteReference">
    <w:name w:val="footnote reference"/>
    <w:basedOn w:val="DefaultParagraphFont"/>
    <w:uiPriority w:val="99"/>
    <w:semiHidden/>
    <w:unhideWhenUsed/>
    <w:rsid w:val="001B34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53885-9FB6-4A75-BDE5-9F678DAEA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Runge</dc:creator>
  <cp:keywords/>
  <dc:description/>
  <cp:lastModifiedBy>Manuela Runge</cp:lastModifiedBy>
  <cp:revision>22</cp:revision>
  <dcterms:created xsi:type="dcterms:W3CDTF">2019-08-23T20:18:00Z</dcterms:created>
  <dcterms:modified xsi:type="dcterms:W3CDTF">2022-01-27T06:34:00Z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id="i8hzxjx7"/&gt;&lt;style id="http://www.zotero.org/styles/plos-one"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