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981B8C" w14:textId="00466312" w:rsidR="003A04E3" w:rsidRPr="00E53034" w:rsidRDefault="008E3E4F" w:rsidP="005F2D80">
      <w:pPr>
        <w:spacing w:after="120"/>
        <w:jc w:val="both"/>
        <w:rPr>
          <w:b/>
          <w:bCs/>
          <w:sz w:val="28"/>
          <w:szCs w:val="28"/>
        </w:rPr>
      </w:pPr>
      <w:r>
        <w:rPr>
          <w:b/>
          <w:bCs/>
          <w:sz w:val="28"/>
          <w:szCs w:val="28"/>
        </w:rPr>
        <w:t>What</w:t>
      </w:r>
      <w:r w:rsidR="0025303E">
        <w:rPr>
          <w:b/>
          <w:bCs/>
          <w:sz w:val="28"/>
          <w:szCs w:val="28"/>
        </w:rPr>
        <w:t xml:space="preserve"> </w:t>
      </w:r>
      <w:r w:rsidR="00CF3702">
        <w:rPr>
          <w:b/>
          <w:bCs/>
          <w:sz w:val="28"/>
          <w:szCs w:val="28"/>
        </w:rPr>
        <w:t>evidence</w:t>
      </w:r>
      <w:r w:rsidR="00CF3702" w:rsidRPr="00E53034">
        <w:rPr>
          <w:b/>
          <w:bCs/>
          <w:sz w:val="28"/>
          <w:szCs w:val="28"/>
        </w:rPr>
        <w:t xml:space="preserve"> </w:t>
      </w:r>
      <w:r>
        <w:rPr>
          <w:b/>
          <w:bCs/>
          <w:sz w:val="28"/>
          <w:szCs w:val="28"/>
        </w:rPr>
        <w:t xml:space="preserve">is there </w:t>
      </w:r>
      <w:r w:rsidR="00EC5449" w:rsidRPr="00E53034">
        <w:rPr>
          <w:b/>
          <w:bCs/>
          <w:sz w:val="28"/>
          <w:szCs w:val="28"/>
        </w:rPr>
        <w:t xml:space="preserve">of sustained human-mosquito-human transmission of </w:t>
      </w:r>
      <w:r w:rsidR="00EC5449" w:rsidRPr="0025303E">
        <w:rPr>
          <w:b/>
          <w:bCs/>
          <w:i/>
          <w:iCs/>
          <w:sz w:val="28"/>
          <w:szCs w:val="28"/>
        </w:rPr>
        <w:t>Plasmodium knowlesi</w:t>
      </w:r>
      <w:r w:rsidR="00EC5449" w:rsidRPr="00E53034">
        <w:rPr>
          <w:b/>
          <w:bCs/>
          <w:sz w:val="28"/>
          <w:szCs w:val="28"/>
        </w:rPr>
        <w:t xml:space="preserve">? A systematic review </w:t>
      </w:r>
      <w:proofErr w:type="gramStart"/>
      <w:r w:rsidR="00EC5449" w:rsidRPr="00E53034">
        <w:rPr>
          <w:b/>
          <w:bCs/>
          <w:sz w:val="28"/>
          <w:szCs w:val="28"/>
        </w:rPr>
        <w:t>protocol</w:t>
      </w:r>
      <w:proofErr w:type="gramEnd"/>
    </w:p>
    <w:p w14:paraId="4510F790" w14:textId="3DC5DA55" w:rsidR="001A7A64" w:rsidRPr="000A0003" w:rsidRDefault="005F3AAC" w:rsidP="000A0003">
      <w:pPr>
        <w:spacing w:after="0"/>
        <w:jc w:val="both"/>
        <w:rPr>
          <w:i/>
          <w:iCs/>
        </w:rPr>
      </w:pPr>
      <w:r w:rsidRPr="000A0003">
        <w:rPr>
          <w:i/>
          <w:iCs/>
        </w:rPr>
        <w:t>Authors:</w:t>
      </w:r>
      <w:r w:rsidR="008E3E4F" w:rsidRPr="000A0003">
        <w:rPr>
          <w:i/>
          <w:iCs/>
        </w:rPr>
        <w:t xml:space="preserve"> P</w:t>
      </w:r>
      <w:r w:rsidR="00667653">
        <w:rPr>
          <w:i/>
          <w:iCs/>
        </w:rPr>
        <w:t>ablo Ruiz Cuenca</w:t>
      </w:r>
      <w:r w:rsidR="008E3E4F" w:rsidRPr="000A0003">
        <w:rPr>
          <w:i/>
          <w:iCs/>
        </w:rPr>
        <w:t>, K</w:t>
      </w:r>
      <w:r w:rsidR="00667653">
        <w:rPr>
          <w:i/>
          <w:iCs/>
        </w:rPr>
        <w:t xml:space="preserve">imberly </w:t>
      </w:r>
      <w:r w:rsidR="008E3E4F" w:rsidRPr="000A0003">
        <w:rPr>
          <w:i/>
          <w:iCs/>
        </w:rPr>
        <w:t>F</w:t>
      </w:r>
      <w:r w:rsidR="00667653">
        <w:rPr>
          <w:i/>
          <w:iCs/>
        </w:rPr>
        <w:t>ornace</w:t>
      </w:r>
      <w:r w:rsidR="008E3E4F" w:rsidRPr="000A0003">
        <w:rPr>
          <w:i/>
          <w:iCs/>
        </w:rPr>
        <w:t>, C</w:t>
      </w:r>
      <w:r w:rsidR="00667653">
        <w:rPr>
          <w:i/>
          <w:iCs/>
        </w:rPr>
        <w:t xml:space="preserve">hris </w:t>
      </w:r>
      <w:r w:rsidR="008E3E4F" w:rsidRPr="000A0003">
        <w:rPr>
          <w:i/>
          <w:iCs/>
        </w:rPr>
        <w:t>D</w:t>
      </w:r>
      <w:r w:rsidR="00667653">
        <w:rPr>
          <w:i/>
          <w:iCs/>
        </w:rPr>
        <w:t xml:space="preserve">rakeley </w:t>
      </w:r>
    </w:p>
    <w:p w14:paraId="16C60A7C" w14:textId="24EF24E7" w:rsidR="005F3AAC" w:rsidRPr="000A0003" w:rsidRDefault="005F3AAC" w:rsidP="000A0003">
      <w:pPr>
        <w:jc w:val="both"/>
        <w:rPr>
          <w:i/>
          <w:iCs/>
        </w:rPr>
      </w:pPr>
      <w:r w:rsidRPr="000A0003">
        <w:rPr>
          <w:i/>
          <w:iCs/>
        </w:rPr>
        <w:t xml:space="preserve">Support: Funds provided by WHO </w:t>
      </w:r>
    </w:p>
    <w:p w14:paraId="70D28F04" w14:textId="6D01B01C" w:rsidR="005F3AAC" w:rsidRDefault="005F3AAC" w:rsidP="000A0003">
      <w:pPr>
        <w:pStyle w:val="Heading1"/>
        <w:jc w:val="both"/>
      </w:pPr>
      <w:r>
        <w:t xml:space="preserve">Introduction </w:t>
      </w:r>
    </w:p>
    <w:p w14:paraId="119EF44B" w14:textId="2D3CC029" w:rsidR="005F3AAC" w:rsidRDefault="005F3AAC" w:rsidP="000A0003">
      <w:pPr>
        <w:spacing w:after="120"/>
        <w:jc w:val="both"/>
        <w:rPr>
          <w:b/>
          <w:bCs/>
        </w:rPr>
      </w:pPr>
      <w:r w:rsidRPr="00F67CAD">
        <w:rPr>
          <w:b/>
          <w:bCs/>
        </w:rPr>
        <w:t>Rationale</w:t>
      </w:r>
    </w:p>
    <w:p w14:paraId="1FB3A631" w14:textId="17265B17" w:rsidR="00A46725" w:rsidRDefault="00A46725" w:rsidP="000A0003">
      <w:pPr>
        <w:spacing w:after="80"/>
        <w:jc w:val="both"/>
      </w:pPr>
      <w:r>
        <w:t xml:space="preserve">Zoonotic malaria, caused by the parasite </w:t>
      </w:r>
      <w:r w:rsidRPr="00D54DA2">
        <w:rPr>
          <w:i/>
          <w:iCs/>
        </w:rPr>
        <w:t>Plasmodium knowlesi</w:t>
      </w:r>
      <w:r>
        <w:t xml:space="preserve">, has increasingly become a public health concern in South East Asia. It is maintained in the wild by </w:t>
      </w:r>
      <w:r w:rsidR="002E4020">
        <w:t xml:space="preserve">non-human primates (including </w:t>
      </w:r>
      <w:r>
        <w:t>macaques</w:t>
      </w:r>
      <w:r w:rsidR="002E4020">
        <w:t>)</w:t>
      </w:r>
      <w:r>
        <w:t xml:space="preserve"> and is transmitted by mosquitoes from the Leucosphyrus group of </w:t>
      </w:r>
      <w:r w:rsidRPr="00D54DA2">
        <w:rPr>
          <w:i/>
          <w:iCs/>
        </w:rPr>
        <w:t>Anopheles</w:t>
      </w:r>
      <w:r>
        <w:t xml:space="preserve">. The geographic distribution of the disease is limited to areas where both </w:t>
      </w:r>
      <w:r w:rsidR="000E21C3">
        <w:t xml:space="preserve">primate </w:t>
      </w:r>
      <w:r>
        <w:t>host</w:t>
      </w:r>
      <w:r w:rsidR="002E4020">
        <w:t>s</w:t>
      </w:r>
      <w:r>
        <w:t xml:space="preserve"> and vector</w:t>
      </w:r>
      <w:r w:rsidR="002E4020">
        <w:t>s</w:t>
      </w:r>
      <w:r>
        <w:t xml:space="preserve"> are present, mostly affecting individuals who live in or travel through forests and forest fringes.</w:t>
      </w:r>
      <w:r w:rsidR="005F2D80">
        <w:t xml:space="preserve"> </w:t>
      </w:r>
      <w:r w:rsidR="005F2D80">
        <w:fldChar w:fldCharType="begin" w:fldLock="1"/>
      </w:r>
      <w:r w:rsidR="005F2D80">
        <w:instrText>ADDIN CSL_CITATION {"citationItems":[{"id":"ITEM-1","itemData":{"DOI":"10.1016/S2542-5196(19)30045-2","ISSN":"25425196","PMID":"31029229","abstract":"Background: Land use changes disrupt ecosystems, altering the transmission of vector-borne diseases. These changes have been associated with increasing incidence of zoonotic malaria caused by Plasmodium knowlesi; however, the population-level distributions of infection and exposure remain unknown. We aimed to measure prevalence of serological exposure to P knowlesi and assess associated risk factors. Methods: We did an environmentally stratified, population-based, cross-sectional survey across households in the Kudat, Kota Marudu, Pitas, and Ranau districts in northern Sabah, Malaysia, encompassing a range of ecologies. Using blood samples, the transmission intensity of P knowlesi and other malaria species was measured by specific antibody prevalence and infection detected using molecular methods. Proportions and configurations of land types were extracted from maps derived from satellite images; a data-mining approach was used to select variables. A Bayesian hierarchical model for P knowlesi seropositivity was developed, incorporating questionnaire data about individual and household-level risk factors with selected landscape factors. Findings: Between Sept 17, 2015, and Dec 12, 2015, 10 100 individuals with a median age of 25 years (range 3 months to 105 years) were sampled from 2849 households in 180 villages. 5·1% (95% CI 4·8–5·4) were seropositive for P knowlesi, and marked historical decreases were observed in the transmission of Plasmodium falciparum and Plasmodium vivax. Nine Plasmodium spp infections were detected. Age, male sex, contact with macaques, forest use, and raised house construction were positively associated with P knowlesi exposure, whereas residing at higher geographical elevations and use of insecticide were protective. Agricultural and forest variables, such as proportions and fragmentation of land cover types, predicted exposure at different spatial scales from households. Interpretation: Although few infections were detected, P knowlesi exposure was observed in all demographic groups and was associated with occupational factors. Results suggest that agricultural expansion and forest fragmentation affect P knowlesi exposure, supporting linkages between land use change and P knowlesi transmission. Funding: UK Medical Research Council, Natural Environment Research Council, Economic and Social Research Council, and Biotechnology and Biosciences Research Council.","author":[{"dropping-particle":"","family":"Fornace","given":"Kimberly M.","non-dropping-particle":"","parse-names":false,"suffix":""},{"dropping-particle":"","family":"Brock","given":"Paddy M.","non-dropping-particle":"","parse-names":false,"suffix":""},{"dropping-particle":"","family":"Abidin","given":"Tommy R.","non-dropping-particle":"","parse-names":false,"suffix":""},{"dropping-particle":"","family":"Grignard","given":"Lynn","non-dropping-particle":"","parse-names":false,"suffix":""},{"dropping-particle":"","family":"Herman","given":"Lou S.","non-dropping-particle":"","parse-names":false,"suffix":""},{"dropping-particle":"","family":"Chua","given":"Tock H.","non-dropping-particle":"","parse-names":false,"suffix":""},{"dropping-particle":"","family":"Daim","given":"Sylvia","non-dropping-particle":"","parse-names":false,"suffix":""},{"dropping-particle":"","family":"William","given":"Timothy","non-dropping-particle":"","parse-names":false,"suffix":""},{"dropping-particle":"","family":"Patterson","given":"Catriona L.E.B.","non-dropping-particle":"","parse-names":false,"suffix":""},{"dropping-particle":"","family":"Hall","given":"Tom","non-dropping-particle":"","parse-names":false,"suffix":""},{"dropping-particle":"","family":"Grigg","given":"Matthew J.","non-dropping-particle":"","parse-names":false,"suffix":""},{"dropping-particle":"","family":"Anstey","given":"Nicholas M.","non-dropping-particle":"","parse-names":false,"suffix":""},{"dropping-particle":"","family":"Tetteh","given":"Kevin K.A.","non-dropping-particle":"","parse-names":false,"suffix":""},{"dropping-particle":"","family":"Cox","given":"Jonathan","non-dropping-particle":"","parse-names":false,"suffix":""},{"dropping-particle":"","family":"Drakeley","given":"Chris J.","non-dropping-particle":"","parse-names":false,"suffix":""}],"container-title":"The Lancet Planetary Health","id":"ITEM-1","issue":"4","issued":{"date-parts":[["2019","4","1"]]},"page":"e179-e186","publisher":"Elsevier B.V.","title":"Environmental risk factors and exposure to the zoonotic malaria parasite Plasmodium knowlesi across northern Sabah, Malaysia: a population-based cross-sectional survey","type":"article-journal","volume":"3"},"uris":["http://www.mendeley.com/documents/?uuid=411754f3-c286-37d6-a04f-5df13cfb26a0"]}],"mendeley":{"formattedCitation":"&lt;sup&gt;1&lt;/sup&gt;","plainTextFormattedCitation":"1","previouslyFormattedCitation":"&lt;sup&gt;1&lt;/sup&gt;"},"properties":{"noteIndex":0},"schema":"https://github.com/citation-style-language/schema/raw/master/csl-citation.json"}</w:instrText>
      </w:r>
      <w:r w:rsidR="005F2D80">
        <w:fldChar w:fldCharType="separate"/>
      </w:r>
      <w:r w:rsidR="005F2D80" w:rsidRPr="005F2D80">
        <w:rPr>
          <w:noProof/>
          <w:vertAlign w:val="superscript"/>
        </w:rPr>
        <w:t>1</w:t>
      </w:r>
      <w:r w:rsidR="005F2D80">
        <w:fldChar w:fldCharType="end"/>
      </w:r>
      <w:r>
        <w:t xml:space="preserve"> The incidence has been increasing in Malaysia, with cases caused by </w:t>
      </w:r>
      <w:r w:rsidRPr="00940B62">
        <w:rPr>
          <w:i/>
          <w:iCs/>
        </w:rPr>
        <w:t xml:space="preserve">P. </w:t>
      </w:r>
      <w:proofErr w:type="spellStart"/>
      <w:r w:rsidRPr="00940B62">
        <w:rPr>
          <w:i/>
          <w:iCs/>
        </w:rPr>
        <w:t>knowlesi</w:t>
      </w:r>
      <w:proofErr w:type="spellEnd"/>
      <w:r>
        <w:t xml:space="preserve"> being the </w:t>
      </w:r>
      <w:r w:rsidR="000E21C3">
        <w:t xml:space="preserve">predominant </w:t>
      </w:r>
      <w:r>
        <w:t>cause of indigenous malaria in the country</w:t>
      </w:r>
      <w:r w:rsidR="00050EB2">
        <w:t xml:space="preserve"> since 2017</w:t>
      </w:r>
      <w:r>
        <w:t>.</w:t>
      </w:r>
      <w:r w:rsidR="00A269BB">
        <w:t xml:space="preserve"> </w:t>
      </w:r>
      <w:r w:rsidR="00A269BB">
        <w:fldChar w:fldCharType="begin" w:fldLock="1"/>
      </w:r>
      <w:r w:rsidR="005F2D80">
        <w:instrText>ADDIN CSL_CITATION {"citationItems":[{"id":"ITEM-1","itemData":{"DOI":"10.1186/1475-2875-13-390","ISSN":"14752875","PMID":"25272973","abstract":"Background: While Malaysia has had great success in controlling Plasmodium falciparum and Plasmodium vivax, notifications of Plasmodium malariae and the microscopically near-identical Plasmodium knowlesi increased substantially over the past decade. However, whether this represents microscopic misdiagnosis or increased recognition of P. knowlesi has remained uncertain.\nMethods. To describe the changing epidemiology of malaria in Sabah, in particular the increasing incidence of P. knowlesi, a retrospective descriptive study was undertaken involving a review of Department of Health malaria notification data from 2012-2013, extending a previous review of these data from 1992-2011. In addition, malaria PCR and microscopy data from the State Public Health Laboratory were reviewed to estimate the accuracy of the microscopy-based notification data.\nResults: Notifications of P. malariae/P. knowlesi increased from 703 in 2011 to 815 in 2012 and 996 in 2013. Notifications of P. vivax and P. falciparum decreased from 605 and 628, respectively, in 2011, to 297 and 263 in 2013. In 2013, P. malariae/P. knowlesi accounted for 62% of all malaria notifications compared to 35% in 2011. Among 1,082 P. malariae/P. knowlesi blood slides referred for PCR testing during 2011-2013, there were 924 (85%) P. knowlesi mono-infections, 30 (2.8%) P. falciparum, 43 (4.0%) P. vivax, seven (0.6%) P. malariae, six (0.6%) mixed infections, 31 (2.9%) positive only for Plasmodium genus, and 41 (3.8%) Plasmodium-negative. Plasmodium knowlesi mono-infection accounted for 32/156 (21%) and 33/87 (38%) blood slides diagnosed by microscopy as P. falciparum and P. vivax, respectively. Twenty-six malaria deaths were reported during 2010-2013, including 12 with 'P. malariae/P. knowlesi' (all adults), 12 with P. falciparum (seven adults), and two adults with P. vivax.\nConclusions: Notifications of P. malariae/P. knowlesi in Sabah are increasing, with this trend likely reflecting a true increase in incidence of P. knowlesi and presenting a major threat to malaria control and elimination in Malaysia. With the decline of P. falciparum and P. vivax, control programmes need to incorporate measures to protect against P. knowlesi, with further research required to determine effective interventions.","author":[{"dropping-particle":"","family":"William","given":"Timothy","non-dropping-particle":"","parse-names":false,"suffix":""},{"dropping-particle":"","family":"Jelip","given":"Jenarun","non-dropping-particle":"","parse-names":false,"suffix":""},{"dropping-particle":"","family":"Menon","given":"Jayaram","non-dropping-particle":"","parse-names":false,"suffix":""},{"dropping-particle":"","family":"Anderios","given":"Fread","non-dropping-particle":"","parse-names":false,"suffix":""},{"dropping-particle":"","family":"Mohammad","given":"Rashidah","non-dropping-particle":"","parse-names":false,"suffix":""},{"dropping-particle":"","family":"Awang Mohammad","given":"Tajul A.","non-dropping-particle":"","parse-names":false,"suffix":""},{"dropping-particle":"","family":"Grigg","given":"Matthew J.","non-dropping-particle":"","parse-names":false,"suffix":""},{"dropping-particle":"","family":"Yeo","given":"Tsin W.","non-dropping-particle":"","parse-names":false,"suffix":""},{"dropping-particle":"","family":"Anstey","given":"Nicholas M.","non-dropping-particle":"","parse-names":false,"suffix":""},{"dropping-particle":"","family":"Barber","given":"Bridget E.","non-dropping-particle":"","parse-names":false,"suffix":""}],"container-title":"Malaria Journal","id":"ITEM-1","issue":"1","issued":{"date-parts":[["2014","10","2"]]},"page":"390","publisher":"BioMed Central Ltd.","title":"Changing epidemiology of malaria in Sabah, Malaysia: Increasing incidence of Plasmodium knowlesi","type":"article-journal","volume":"13"},"uris":["http://www.mendeley.com/documents/?uuid=19b32eac-8b8c-3c6d-bc19-0b201540f352"]}],"mendeley":{"formattedCitation":"&lt;sup&gt;2&lt;/sup&gt;","plainTextFormattedCitation":"2","previouslyFormattedCitation":"&lt;sup&gt;2&lt;/sup&gt;"},"properties":{"noteIndex":0},"schema":"https://github.com/citation-style-language/schema/raw/master/csl-citation.json"}</w:instrText>
      </w:r>
      <w:r w:rsidR="00A269BB">
        <w:fldChar w:fldCharType="separate"/>
      </w:r>
      <w:r w:rsidR="005F2D80" w:rsidRPr="005F2D80">
        <w:rPr>
          <w:noProof/>
          <w:vertAlign w:val="superscript"/>
        </w:rPr>
        <w:t>2</w:t>
      </w:r>
      <w:r w:rsidR="00A269BB">
        <w:fldChar w:fldCharType="end"/>
      </w:r>
      <w:r>
        <w:t xml:space="preserve"> </w:t>
      </w:r>
    </w:p>
    <w:p w14:paraId="49FB61E5" w14:textId="365A07CC" w:rsidR="00A46725" w:rsidRDefault="00A46725" w:rsidP="000A0003">
      <w:pPr>
        <w:spacing w:after="80"/>
        <w:jc w:val="both"/>
      </w:pPr>
      <w:r>
        <w:t>As an emerging infectious disease, zoonotic malaria may be classified into 5 stages based on its epidemiological dynamics</w:t>
      </w:r>
      <w:r w:rsidR="00B24382">
        <w:t xml:space="preserve"> (Figure 1)</w:t>
      </w:r>
      <w:r>
        <w:t>.</w:t>
      </w:r>
      <w:r w:rsidR="00B24382">
        <w:t xml:space="preserve"> </w:t>
      </w:r>
      <w:r w:rsidR="00B24382">
        <w:fldChar w:fldCharType="begin" w:fldLock="1"/>
      </w:r>
      <w:r w:rsidR="005F2D80">
        <w:instrText>ADDIN CSL_CITATION {"citationItems":[{"id":"ITEM-1","itemData":{"DOI":"10.1038/nature05775","ISSN":"14764687","PMID":"17507975","abstract":"Many of the major human infectious diseases, including some now confined to humans and absent from animals, are 'new' ones that arose only after the origins of agriculture. Where did they come from? Why are they overwhelmingly of Old World origins? Here we show that answers to these questions are different for tropical and temperate diseases; for instance, in the relative importance of domestic animals and wild primates as sources. We identify five intermediate stages through which a pathogen exclusively infecting animals may become transformed into a pathogen exclusively infecting humans. We propose an initiative to resolve disputed origins of major diseases, and a global early warning system to monitor pathogens infecting individuals exposed to wild animals. ©2007 Nature Publishing Group.","author":[{"dropping-particle":"","family":"Wolfe","given":"Nathan D.","non-dropping-particle":"","parse-names":false,"suffix":""},{"dropping-particle":"","family":"Dunavan","given":"Claire Panosian","non-dropping-particle":"","parse-names":false,"suffix":""},{"dropping-particle":"","family":"Diamond","given":"Jared","non-dropping-particle":"","parse-names":false,"suffix":""}],"container-title":"Nature","id":"ITEM-1","issue":"7142","issued":{"date-parts":[["2007","5","17"]]},"page":"279-283","publisher":"Nature Publishing Group","title":"Origins of major human infectious diseases","type":"article","volume":"447"},"uris":["http://www.mendeley.com/documents/?uuid=df3cc4d8-296b-3fcd-94d1-1e89db4221ca"]}],"mendeley":{"formattedCitation":"&lt;sup&gt;3&lt;/sup&gt;","plainTextFormattedCitation":"3","previouslyFormattedCitation":"&lt;sup&gt;3&lt;/sup&gt;"},"properties":{"noteIndex":0},"schema":"https://github.com/citation-style-language/schema/raw/master/csl-citation.json"}</w:instrText>
      </w:r>
      <w:r w:rsidR="00B24382">
        <w:fldChar w:fldCharType="separate"/>
      </w:r>
      <w:r w:rsidR="005F2D80" w:rsidRPr="005F2D80">
        <w:rPr>
          <w:noProof/>
          <w:vertAlign w:val="superscript"/>
        </w:rPr>
        <w:t>3</w:t>
      </w:r>
      <w:r w:rsidR="00B24382">
        <w:fldChar w:fldCharType="end"/>
      </w:r>
      <w:r>
        <w:t xml:space="preserve"> Stages 1 and 2 represent pathogens which are found in animals and have either not been found to naturally infect humans or have not been found to cause secondary human infections. Stage 3 pathogens are those that can cause secondary human infections but can only undergo a limited number of cycles. Stage 4 represents those pathogens that have a natural cycle of infecting humans from the primary animal host and can produce long sequences of secondary human cases. These are divided further into subgroups according to the importance of the animal and human cycles. Stage 5 pathogens are those that originated in animals but are now exclusively found in humans. </w:t>
      </w:r>
    </w:p>
    <w:p w14:paraId="4BE75B98" w14:textId="77777777" w:rsidR="00A46725" w:rsidRDefault="00A46725" w:rsidP="000A0003">
      <w:pPr>
        <w:spacing w:after="80"/>
        <w:jc w:val="both"/>
      </w:pPr>
      <w:r>
        <w:t xml:space="preserve">Stages 1 and 2 are not considered human pathogens, whilst stages 4 and 5 do fall into this category with important implications for control measures and, ultimately, elimination and eradication. The implications of pathogens which are classified within stage 3 are less clear, requiring further clarifications to inform control policies. </w:t>
      </w:r>
    </w:p>
    <w:p w14:paraId="05B1A20D" w14:textId="173C3156" w:rsidR="00A46725" w:rsidRDefault="00A46725" w:rsidP="000A0003">
      <w:pPr>
        <w:spacing w:after="0"/>
        <w:jc w:val="center"/>
      </w:pPr>
      <w:r w:rsidRPr="006F1001">
        <w:rPr>
          <w:rFonts w:ascii="Arial" w:hAnsi="Arial" w:cs="Arial"/>
          <w:noProof/>
        </w:rPr>
        <w:drawing>
          <wp:inline distT="0" distB="0" distL="0" distR="0" wp14:anchorId="2BCFCDFA" wp14:editId="59A6F351">
            <wp:extent cx="4178300" cy="303218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93774" cy="3043418"/>
                    </a:xfrm>
                    <a:prstGeom prst="rect">
                      <a:avLst/>
                    </a:prstGeom>
                    <a:noFill/>
                    <a:ln>
                      <a:noFill/>
                    </a:ln>
                  </pic:spPr>
                </pic:pic>
              </a:graphicData>
            </a:graphic>
          </wp:inline>
        </w:drawing>
      </w:r>
    </w:p>
    <w:p w14:paraId="7B3D5D59" w14:textId="553EDA48" w:rsidR="00B24382" w:rsidRPr="00B24382" w:rsidRDefault="00B24382" w:rsidP="000A0003">
      <w:pPr>
        <w:jc w:val="both"/>
        <w:rPr>
          <w:i/>
          <w:iCs/>
          <w:sz w:val="20"/>
          <w:szCs w:val="20"/>
        </w:rPr>
      </w:pPr>
      <w:r w:rsidRPr="00B24382">
        <w:rPr>
          <w:b/>
          <w:bCs/>
          <w:i/>
          <w:iCs/>
          <w:sz w:val="20"/>
          <w:szCs w:val="20"/>
        </w:rPr>
        <w:t>Figure 1</w:t>
      </w:r>
      <w:r w:rsidRPr="00B24382">
        <w:rPr>
          <w:i/>
          <w:iCs/>
          <w:sz w:val="20"/>
          <w:szCs w:val="20"/>
        </w:rPr>
        <w:t xml:space="preserve"> – Depiction of suggested stages of an animal pathogen evolving to cause disease in humans. From Wolfe et al, Nature 2007. </w:t>
      </w:r>
      <w:r w:rsidRPr="00B24382">
        <w:rPr>
          <w:i/>
          <w:iCs/>
          <w:sz w:val="20"/>
          <w:szCs w:val="20"/>
        </w:rPr>
        <w:fldChar w:fldCharType="begin" w:fldLock="1"/>
      </w:r>
      <w:r w:rsidR="005F2D80">
        <w:rPr>
          <w:i/>
          <w:iCs/>
          <w:sz w:val="20"/>
          <w:szCs w:val="20"/>
        </w:rPr>
        <w:instrText>ADDIN CSL_CITATION {"citationItems":[{"id":"ITEM-1","itemData":{"DOI":"10.1038/nature05775","ISSN":"14764687","PMID":"17507975","abstract":"Many of the major human infectious diseases, including some now confined to humans and absent from animals, are 'new' ones that arose only after the origins of agriculture. Where did they come from? Why are they overwhelmingly of Old World origins? Here we show that answers to these questions are different for tropical and temperate diseases; for instance, in the relative importance of domestic animals and wild primates as sources. We identify five intermediate stages through which a pathogen exclusively infecting animals may become transformed into a pathogen exclusively infecting humans. We propose an initiative to resolve disputed origins of major diseases, and a global early warning system to monitor pathogens infecting individuals exposed to wild animals. ©2007 Nature Publishing Group.","author":[{"dropping-particle":"","family":"Wolfe","given":"Nathan D.","non-dropping-particle":"","parse-names":false,"suffix":""},{"dropping-particle":"","family":"Dunavan","given":"Claire Panosian","non-dropping-particle":"","parse-names":false,"suffix":""},{"dropping-particle":"","family":"Diamond","given":"Jared","non-dropping-particle":"","parse-names":false,"suffix":""}],"container-title":"Nature","id":"ITEM-1","issue":"7142","issued":{"date-parts":[["2007","5","17"]]},"page":"279-283","publisher":"Nature Publishing Group","title":"Origins of major human infectious diseases","type":"article","volume":"447"},"uris":["http://www.mendeley.com/documents/?uuid=df3cc4d8-296b-3fcd-94d1-1e89db4221ca"]}],"mendeley":{"formattedCitation":"&lt;sup&gt;3&lt;/sup&gt;","plainTextFormattedCitation":"3","previouslyFormattedCitation":"&lt;sup&gt;3&lt;/sup&gt;"},"properties":{"noteIndex":0},"schema":"https://github.com/citation-style-language/schema/raw/master/csl-citation.json"}</w:instrText>
      </w:r>
      <w:r w:rsidRPr="00B24382">
        <w:rPr>
          <w:i/>
          <w:iCs/>
          <w:sz w:val="20"/>
          <w:szCs w:val="20"/>
        </w:rPr>
        <w:fldChar w:fldCharType="separate"/>
      </w:r>
      <w:r w:rsidR="005F2D80" w:rsidRPr="005F2D80">
        <w:rPr>
          <w:iCs/>
          <w:noProof/>
          <w:sz w:val="20"/>
          <w:szCs w:val="20"/>
          <w:vertAlign w:val="superscript"/>
        </w:rPr>
        <w:t>3</w:t>
      </w:r>
      <w:r w:rsidRPr="00B24382">
        <w:rPr>
          <w:i/>
          <w:iCs/>
          <w:sz w:val="20"/>
          <w:szCs w:val="20"/>
        </w:rPr>
        <w:fldChar w:fldCharType="end"/>
      </w:r>
    </w:p>
    <w:p w14:paraId="0AA2794F" w14:textId="7098A94E" w:rsidR="00A46725" w:rsidRDefault="00A46725" w:rsidP="000A0003">
      <w:pPr>
        <w:jc w:val="both"/>
      </w:pPr>
      <w:r>
        <w:lastRenderedPageBreak/>
        <w:t xml:space="preserve">In 2017, a WHO evidence </w:t>
      </w:r>
      <w:proofErr w:type="gramStart"/>
      <w:r>
        <w:t>review</w:t>
      </w:r>
      <w:proofErr w:type="gramEnd"/>
      <w:r>
        <w:t xml:space="preserve"> group (ERG) examined the available evidence on zoonotic malaria to determine which stage it could be classified as. It concluded that, given there was limited evidence of sustained human transmission following an initial </w:t>
      </w:r>
      <w:proofErr w:type="spellStart"/>
      <w:r>
        <w:t>spillover</w:t>
      </w:r>
      <w:proofErr w:type="spellEnd"/>
      <w:r>
        <w:t>, it should be considered primarily a zoonotic infection and classified within stage 2. However, if this were to change to stage 3 or above, criteria for malaria elimination certification would have to be revisited. The ERG also concluded that further research was necessary, as significant knowledge gaps were identified</w:t>
      </w:r>
      <w:r w:rsidR="00942A9F">
        <w:t>, and categorised the necessary evidence that would prove or refute sustained human transmission</w:t>
      </w:r>
      <w:r>
        <w:t xml:space="preserve">. </w:t>
      </w:r>
    </w:p>
    <w:p w14:paraId="7744EE26" w14:textId="77777777" w:rsidR="005F3AAC" w:rsidRPr="00F67CAD" w:rsidRDefault="005F3AAC" w:rsidP="000A0003">
      <w:pPr>
        <w:jc w:val="both"/>
        <w:rPr>
          <w:b/>
          <w:bCs/>
        </w:rPr>
      </w:pPr>
      <w:r w:rsidRPr="00F67CAD">
        <w:rPr>
          <w:b/>
          <w:bCs/>
        </w:rPr>
        <w:t>Objectives</w:t>
      </w:r>
    </w:p>
    <w:p w14:paraId="20EA3539" w14:textId="053875F4" w:rsidR="00805BD8" w:rsidRDefault="00805BD8" w:rsidP="000A0003">
      <w:pPr>
        <w:jc w:val="both"/>
      </w:pPr>
      <w:r>
        <w:t xml:space="preserve">The purpose of this systematic review is to examine current evidence to determine if </w:t>
      </w:r>
      <w:r w:rsidR="000E21C3">
        <w:t>any</w:t>
      </w:r>
      <w:r>
        <w:t xml:space="preserve"> human</w:t>
      </w:r>
      <w:r w:rsidR="0018198C">
        <w:t>-mosquito-human</w:t>
      </w:r>
      <w:r>
        <w:t xml:space="preserve"> transmission of </w:t>
      </w:r>
      <w:r w:rsidRPr="00940B62">
        <w:rPr>
          <w:i/>
          <w:iCs/>
        </w:rPr>
        <w:t xml:space="preserve">Plasmodium </w:t>
      </w:r>
      <w:proofErr w:type="spellStart"/>
      <w:r w:rsidRPr="00940B62">
        <w:rPr>
          <w:i/>
          <w:iCs/>
        </w:rPr>
        <w:t>knowlesi</w:t>
      </w:r>
      <w:proofErr w:type="spellEnd"/>
      <w:r>
        <w:t xml:space="preserve"> occur</w:t>
      </w:r>
      <w:r w:rsidR="000E21C3">
        <w:t>s and if sustained transmission</w:t>
      </w:r>
      <w:r w:rsidR="00050EB2">
        <w:t xml:space="preserve">, defined as multiple generations of human cases with no </w:t>
      </w:r>
      <w:proofErr w:type="spellStart"/>
      <w:r w:rsidR="00050EB2">
        <w:t>spillover</w:t>
      </w:r>
      <w:proofErr w:type="spellEnd"/>
      <w:r w:rsidR="00050EB2">
        <w:t xml:space="preserve"> from macaques</w:t>
      </w:r>
      <w:r w:rsidR="000E21C3">
        <w:t>, is possible</w:t>
      </w:r>
      <w:r>
        <w:t xml:space="preserve">. This will inform WHO’s decision to classify zoonotic malaria and help determine appropriate elimination and eradication strategies and targets. </w:t>
      </w:r>
    </w:p>
    <w:p w14:paraId="2CB0610C" w14:textId="33852420" w:rsidR="00AA429E" w:rsidRDefault="00AA429E" w:rsidP="000A0003">
      <w:pPr>
        <w:jc w:val="both"/>
      </w:pPr>
      <w:r>
        <w:t xml:space="preserve">Furthermore, to help inform transmission models distinguishing zoonotic from non-zoonotic transmission, </w:t>
      </w:r>
      <w:r w:rsidR="002E4020">
        <w:t xml:space="preserve">we will assemble data on the distribution and abundance of </w:t>
      </w:r>
      <w:r>
        <w:t xml:space="preserve">specific simian host and vector </w:t>
      </w:r>
      <w:r w:rsidR="002E4020">
        <w:t>species</w:t>
      </w:r>
      <w:r>
        <w:t xml:space="preserve">. However, as this is not the </w:t>
      </w:r>
      <w:proofErr w:type="gramStart"/>
      <w:r>
        <w:t>main focus</w:t>
      </w:r>
      <w:proofErr w:type="gramEnd"/>
      <w:r>
        <w:t xml:space="preserve"> of the review, this </w:t>
      </w:r>
      <w:r w:rsidR="004D0B8F">
        <w:t xml:space="preserve">will become the secondary objective. </w:t>
      </w:r>
    </w:p>
    <w:p w14:paraId="6D95A50F" w14:textId="5353E793" w:rsidR="00805BD8" w:rsidRDefault="00323161" w:rsidP="000A0003">
      <w:pPr>
        <w:pStyle w:val="Heading1"/>
        <w:jc w:val="both"/>
      </w:pPr>
      <w:r>
        <w:t>Methods</w:t>
      </w:r>
    </w:p>
    <w:p w14:paraId="553F0436" w14:textId="77777777" w:rsidR="000E21C3" w:rsidRDefault="00B71A0F" w:rsidP="000E21C3">
      <w:pPr>
        <w:jc w:val="both"/>
      </w:pPr>
      <w:r>
        <w:t xml:space="preserve">We will adapt the </w:t>
      </w:r>
      <w:proofErr w:type="spellStart"/>
      <w:r>
        <w:t>CoCoPop</w:t>
      </w:r>
      <w:proofErr w:type="spellEnd"/>
      <w:r>
        <w:t xml:space="preserve"> framework (Condition, Context, Population) suggested for prevalence and incidence questions to create our question and guide our work.</w:t>
      </w:r>
      <w:r w:rsidR="00B24382">
        <w:t xml:space="preserve"> </w:t>
      </w:r>
      <w:r w:rsidR="00B24382">
        <w:fldChar w:fldCharType="begin" w:fldLock="1"/>
      </w:r>
      <w:r w:rsidR="005F2D80">
        <w:instrText>ADDIN CSL_CITATION {"citationItems":[{"id":"ITEM-1","itemData":{"DOI":"10.1097/XEB.0000000000000054","ISSN":"1744-1609","abstract":"Aim: There currently does not exist guidance for authors aiming to undertake systematic reviews of observational epidemiological studies, such as those reporting prevalence and incidence information. These reviews are particularly useful to measure global disease burden and changes in disease over time. The aim of this article is to provide guidance for conducting these types of reviews.Methods: A methodological working group of the Joanna Briggs Institute, Adelaide, South Australia, Australia, was formed to create guidance for conducting systematic reviews of studies reporting prevalence and cumulative incidence information. All methodological output of the group was subject to peer review and feedback by members of the international evidence synthesis community.Results: Systematic reviews of prevalence and incidence data should follow the same structured steps as systematic reviews of effectiveness. However, many of these steps need to be tailored for this type of evidence, particularly surrounding the stages of critical appraisal and synthesis.Conclusion: Prevalence and incidence systematic review and meta-analysis is an emerging methodology in the field of evidence synthesis. These reviews can provide useful information for healthcare professionals and policymakers on the burden of disease, show changes and trends over time in disease, and inform geographical distributions of disease and conditions.","author":[{"dropping-particle":"","family":"Munn","given":"Zachary","non-dropping-particle":"","parse-names":false,"suffix":""},{"dropping-particle":"","family":"Moola","given":"Sandeep","non-dropping-particle":"","parse-names":false,"suffix":""},{"dropping-particle":"","family":"Lisy","given":"Karolina","non-dropping-particle":"","parse-names":false,"suffix":""},{"dropping-particle":"","family":"Riitano","given":"Dagmara","non-dropping-particle":"","parse-names":false,"suffix":""},{"dropping-particle":"","family":"Tufanaru","given":"Catalin","non-dropping-particle":"","parse-names":false,"suffix":""}],"container-title":"International Journal of Evidence-Based Healthcare","id":"ITEM-1","issue":"3","issued":{"date-parts":[["2015","9","1"]]},"page":"147-153","publisher":"Lippincott Williams and Wilkins","title":"Methodological guidance for systematic reviews of observational epidemiological studies reporting prevalence and cumulative incidence data","type":"article-journal","volume":"13"},"uris":["http://www.mendeley.com/documents/?uuid=e7422334-daf5-3cd4-b81e-4586e71aabe7"]}],"mendeley":{"formattedCitation":"&lt;sup&gt;4&lt;/sup&gt;","plainTextFormattedCitation":"4","previouslyFormattedCitation":"&lt;sup&gt;4&lt;/sup&gt;"},"properties":{"noteIndex":0},"schema":"https://github.com/citation-style-language/schema/raw/master/csl-citation.json"}</w:instrText>
      </w:r>
      <w:r w:rsidR="00B24382">
        <w:fldChar w:fldCharType="separate"/>
      </w:r>
      <w:r w:rsidR="005F2D80" w:rsidRPr="005F2D80">
        <w:rPr>
          <w:noProof/>
          <w:vertAlign w:val="superscript"/>
        </w:rPr>
        <w:t>4</w:t>
      </w:r>
      <w:r w:rsidR="00B24382">
        <w:fldChar w:fldCharType="end"/>
      </w:r>
      <w:r>
        <w:t xml:space="preserve"> </w:t>
      </w:r>
      <w:bookmarkStart w:id="0" w:name="_Hlk60648779"/>
      <w:r w:rsidR="000E21C3">
        <w:t xml:space="preserve">Given the broad scope of the question, the evidence required was categorised by the WHO evidence review group. </w:t>
      </w:r>
    </w:p>
    <w:p w14:paraId="00DDBACA" w14:textId="7B5A60C3" w:rsidR="000E21C3" w:rsidRDefault="000E21C3" w:rsidP="000E21C3">
      <w:pPr>
        <w:jc w:val="both"/>
      </w:pPr>
      <w:r>
        <w:t>Evidence suggestive of sustained human transmission chains was defined as:</w:t>
      </w:r>
    </w:p>
    <w:p w14:paraId="55538DC8" w14:textId="77777777" w:rsidR="000E21C3" w:rsidRDefault="000E21C3" w:rsidP="000E21C3">
      <w:pPr>
        <w:pStyle w:val="ListParagraph"/>
        <w:numPr>
          <w:ilvl w:val="0"/>
          <w:numId w:val="13"/>
        </w:numPr>
        <w:jc w:val="both"/>
      </w:pPr>
      <w:r>
        <w:t>Epidemiological evidence</w:t>
      </w:r>
    </w:p>
    <w:p w14:paraId="0173068E" w14:textId="573B4770" w:rsidR="000E21C3" w:rsidRDefault="000E21C3" w:rsidP="000E21C3">
      <w:pPr>
        <w:pStyle w:val="ListParagraph"/>
        <w:numPr>
          <w:ilvl w:val="1"/>
          <w:numId w:val="13"/>
        </w:numPr>
        <w:jc w:val="both"/>
      </w:pPr>
      <w:r>
        <w:t>Evidence of R</w:t>
      </w:r>
      <w:r w:rsidRPr="0065541A">
        <w:rPr>
          <w:vertAlign w:val="subscript"/>
        </w:rPr>
        <w:t>0</w:t>
      </w:r>
      <w:r>
        <w:t xml:space="preserve"> &gt;= 1in human population</w:t>
      </w:r>
    </w:p>
    <w:p w14:paraId="34CF2CCF" w14:textId="77777777" w:rsidR="000E21C3" w:rsidRDefault="000E21C3" w:rsidP="000E21C3">
      <w:pPr>
        <w:pStyle w:val="ListParagraph"/>
        <w:numPr>
          <w:ilvl w:val="1"/>
          <w:numId w:val="13"/>
        </w:numPr>
        <w:jc w:val="both"/>
      </w:pPr>
      <w:r>
        <w:t xml:space="preserve">Identification of space-time clusters consistent with human-mosquito-human transmission, including human case </w:t>
      </w:r>
      <w:proofErr w:type="gramStart"/>
      <w:r>
        <w:t>reports</w:t>
      </w:r>
      <w:proofErr w:type="gramEnd"/>
      <w:r>
        <w:t xml:space="preserve"> </w:t>
      </w:r>
    </w:p>
    <w:p w14:paraId="0AF6D606" w14:textId="77777777" w:rsidR="000E21C3" w:rsidRDefault="000E21C3" w:rsidP="000E21C3">
      <w:pPr>
        <w:pStyle w:val="ListParagraph"/>
        <w:numPr>
          <w:ilvl w:val="0"/>
          <w:numId w:val="13"/>
        </w:numPr>
        <w:jc w:val="both"/>
      </w:pPr>
      <w:r>
        <w:t xml:space="preserve">Laboratory evidence </w:t>
      </w:r>
    </w:p>
    <w:p w14:paraId="3A7D5479" w14:textId="77777777" w:rsidR="000E21C3" w:rsidRDefault="000E21C3" w:rsidP="000E21C3">
      <w:pPr>
        <w:pStyle w:val="ListParagraph"/>
        <w:numPr>
          <w:ilvl w:val="1"/>
          <w:numId w:val="13"/>
        </w:numPr>
        <w:jc w:val="both"/>
      </w:pPr>
      <w:r>
        <w:t xml:space="preserve">Mixed (human-zoonotic) infections in mosquitoes </w:t>
      </w:r>
    </w:p>
    <w:p w14:paraId="751E6F32" w14:textId="77777777" w:rsidR="000E21C3" w:rsidRDefault="000E21C3" w:rsidP="000E21C3">
      <w:pPr>
        <w:pStyle w:val="ListParagraph"/>
        <w:numPr>
          <w:ilvl w:val="1"/>
          <w:numId w:val="13"/>
        </w:numPr>
        <w:jc w:val="both"/>
      </w:pPr>
      <w:r w:rsidRPr="00B24382">
        <w:rPr>
          <w:i/>
          <w:iCs/>
        </w:rPr>
        <w:t xml:space="preserve">P. </w:t>
      </w:r>
      <w:proofErr w:type="spellStart"/>
      <w:r w:rsidRPr="00B24382">
        <w:rPr>
          <w:i/>
          <w:iCs/>
        </w:rPr>
        <w:t>knowlesi</w:t>
      </w:r>
      <w:proofErr w:type="spellEnd"/>
      <w:r>
        <w:t xml:space="preserve"> infected mosquitoes with human blood only </w:t>
      </w:r>
    </w:p>
    <w:p w14:paraId="2B9CD364" w14:textId="4D1F2FAC" w:rsidR="000E21C3" w:rsidRDefault="000E21C3" w:rsidP="000E21C3">
      <w:pPr>
        <w:pStyle w:val="ListParagraph"/>
        <w:numPr>
          <w:ilvl w:val="1"/>
          <w:numId w:val="13"/>
        </w:numPr>
        <w:jc w:val="both"/>
      </w:pPr>
      <w:r>
        <w:t xml:space="preserve">Human infections successfully infecting malaria vectors (focus on </w:t>
      </w:r>
      <w:proofErr w:type="spellStart"/>
      <w:r>
        <w:t>Leucosphyrus</w:t>
      </w:r>
      <w:proofErr w:type="spellEnd"/>
      <w:r>
        <w:t xml:space="preserve"> group)</w:t>
      </w:r>
    </w:p>
    <w:p w14:paraId="4074B113" w14:textId="6882940F" w:rsidR="009E4C6D" w:rsidRDefault="009E4C6D" w:rsidP="009E4C6D">
      <w:pPr>
        <w:pStyle w:val="ListParagraph"/>
        <w:numPr>
          <w:ilvl w:val="1"/>
          <w:numId w:val="13"/>
        </w:numPr>
        <w:jc w:val="both"/>
      </w:pPr>
      <w:r w:rsidRPr="008822A0">
        <w:t>Demonstrating distinct haplotypes between parasites infecting humans and macaques</w:t>
      </w:r>
    </w:p>
    <w:p w14:paraId="3A66717B" w14:textId="77777777" w:rsidR="000E21C3" w:rsidRDefault="000E21C3" w:rsidP="000E21C3">
      <w:pPr>
        <w:pStyle w:val="ListParagraph"/>
        <w:numPr>
          <w:ilvl w:val="0"/>
          <w:numId w:val="13"/>
        </w:numPr>
        <w:jc w:val="both"/>
      </w:pPr>
      <w:r>
        <w:t>Environmental</w:t>
      </w:r>
      <w:r>
        <w:rPr>
          <w:lang w:val="es-ES"/>
        </w:rPr>
        <w:t>/</w:t>
      </w:r>
      <w:proofErr w:type="spellStart"/>
      <w:r>
        <w:rPr>
          <w:lang w:val="es-ES"/>
        </w:rPr>
        <w:t>ecological</w:t>
      </w:r>
      <w:proofErr w:type="spellEnd"/>
      <w:r>
        <w:t xml:space="preserve"> evidence</w:t>
      </w:r>
    </w:p>
    <w:p w14:paraId="071C4079" w14:textId="77777777" w:rsidR="000E21C3" w:rsidRDefault="000E21C3" w:rsidP="000E21C3">
      <w:pPr>
        <w:pStyle w:val="ListParagraph"/>
        <w:numPr>
          <w:ilvl w:val="1"/>
          <w:numId w:val="13"/>
        </w:numPr>
        <w:jc w:val="both"/>
      </w:pPr>
      <w:r>
        <w:t xml:space="preserve">Simian host distribution and abundance consistent with no possible </w:t>
      </w:r>
      <w:proofErr w:type="spellStart"/>
      <w:r>
        <w:t>spillover</w:t>
      </w:r>
      <w:proofErr w:type="spellEnd"/>
      <w:r>
        <w:t xml:space="preserve"> events </w:t>
      </w:r>
    </w:p>
    <w:p w14:paraId="61E20BB1" w14:textId="77777777" w:rsidR="000E21C3" w:rsidRDefault="000E21C3" w:rsidP="000E21C3">
      <w:pPr>
        <w:pStyle w:val="ListParagraph"/>
        <w:numPr>
          <w:ilvl w:val="1"/>
          <w:numId w:val="13"/>
        </w:numPr>
        <w:jc w:val="both"/>
      </w:pPr>
      <w:r>
        <w:t xml:space="preserve">Vector distribution and density, specifically </w:t>
      </w:r>
      <w:proofErr w:type="spellStart"/>
      <w:r>
        <w:t>Leucosphyrus</w:t>
      </w:r>
      <w:proofErr w:type="spellEnd"/>
      <w:r>
        <w:t xml:space="preserve"> group, proving no possibility of </w:t>
      </w:r>
      <w:proofErr w:type="spellStart"/>
      <w:r>
        <w:t>spillover</w:t>
      </w:r>
      <w:proofErr w:type="spellEnd"/>
      <w:r>
        <w:t xml:space="preserve"> from simian </w:t>
      </w:r>
      <w:proofErr w:type="gramStart"/>
      <w:r>
        <w:t>hosts</w:t>
      </w:r>
      <w:proofErr w:type="gramEnd"/>
      <w:r>
        <w:t xml:space="preserve"> </w:t>
      </w:r>
    </w:p>
    <w:p w14:paraId="37E765CF" w14:textId="77777777" w:rsidR="000E21C3" w:rsidRDefault="000E21C3" w:rsidP="000E21C3">
      <w:pPr>
        <w:pStyle w:val="ListParagraph"/>
        <w:numPr>
          <w:ilvl w:val="0"/>
          <w:numId w:val="13"/>
        </w:numPr>
        <w:jc w:val="both"/>
      </w:pPr>
      <w:r>
        <w:t>Other suggestive evidence, for example:</w:t>
      </w:r>
    </w:p>
    <w:p w14:paraId="43398E3D" w14:textId="77777777" w:rsidR="000E21C3" w:rsidRDefault="000E21C3" w:rsidP="000E21C3">
      <w:pPr>
        <w:pStyle w:val="ListParagraph"/>
        <w:numPr>
          <w:ilvl w:val="1"/>
          <w:numId w:val="13"/>
        </w:numPr>
        <w:jc w:val="both"/>
      </w:pPr>
      <w:r w:rsidRPr="000A0003">
        <w:rPr>
          <w:i/>
          <w:iCs/>
        </w:rPr>
        <w:t xml:space="preserve">Plasmodium </w:t>
      </w:r>
      <w:proofErr w:type="spellStart"/>
      <w:r w:rsidRPr="000A0003">
        <w:rPr>
          <w:i/>
          <w:iCs/>
        </w:rPr>
        <w:t>cynomolgi</w:t>
      </w:r>
      <w:proofErr w:type="spellEnd"/>
      <w:r>
        <w:t xml:space="preserve"> research  </w:t>
      </w:r>
    </w:p>
    <w:p w14:paraId="1212A469" w14:textId="77777777" w:rsidR="000E21C3" w:rsidRDefault="000E21C3" w:rsidP="000E21C3">
      <w:pPr>
        <w:pStyle w:val="ListParagraph"/>
        <w:numPr>
          <w:ilvl w:val="1"/>
          <w:numId w:val="13"/>
        </w:numPr>
        <w:jc w:val="both"/>
      </w:pPr>
      <w:r>
        <w:t xml:space="preserve">Other regional zoonotic malarias </w:t>
      </w:r>
    </w:p>
    <w:p w14:paraId="5C655CDB" w14:textId="77777777" w:rsidR="0018198C" w:rsidRDefault="0018198C" w:rsidP="000E21C3"/>
    <w:p w14:paraId="4A596A67" w14:textId="77777777" w:rsidR="0018198C" w:rsidRDefault="0018198C" w:rsidP="000E21C3"/>
    <w:p w14:paraId="703A1959" w14:textId="37A83080" w:rsidR="000E21C3" w:rsidRDefault="000E21C3" w:rsidP="000E21C3">
      <w:r>
        <w:lastRenderedPageBreak/>
        <w:t xml:space="preserve">Additionally, evidence that refuted the possibility of sustained human transmission included: </w:t>
      </w:r>
    </w:p>
    <w:p w14:paraId="7FEB56ED" w14:textId="77777777" w:rsidR="000E21C3" w:rsidRDefault="000E21C3" w:rsidP="000E21C3">
      <w:pPr>
        <w:pStyle w:val="ListParagraph"/>
        <w:numPr>
          <w:ilvl w:val="0"/>
          <w:numId w:val="13"/>
        </w:numPr>
        <w:jc w:val="both"/>
      </w:pPr>
      <w:r>
        <w:t xml:space="preserve">Laboratory evidence </w:t>
      </w:r>
    </w:p>
    <w:p w14:paraId="0272BC03" w14:textId="77777777" w:rsidR="000E21C3" w:rsidRPr="008822A0" w:rsidRDefault="000E21C3" w:rsidP="000E21C3">
      <w:pPr>
        <w:pStyle w:val="ListParagraph"/>
        <w:numPr>
          <w:ilvl w:val="1"/>
          <w:numId w:val="13"/>
        </w:numPr>
        <w:jc w:val="both"/>
      </w:pPr>
      <w:r w:rsidRPr="008822A0">
        <w:t xml:space="preserve">Identifying molecular barriers to successful invasion of human red blood cells  </w:t>
      </w:r>
    </w:p>
    <w:p w14:paraId="44BD1563" w14:textId="77777777" w:rsidR="000E21C3" w:rsidRDefault="000E21C3" w:rsidP="000E21C3">
      <w:pPr>
        <w:pStyle w:val="ListParagraph"/>
        <w:numPr>
          <w:ilvl w:val="0"/>
          <w:numId w:val="13"/>
        </w:numPr>
        <w:jc w:val="both"/>
      </w:pPr>
      <w:r>
        <w:t xml:space="preserve">Epidemiological evidence </w:t>
      </w:r>
    </w:p>
    <w:p w14:paraId="24EA5EF5" w14:textId="77777777" w:rsidR="000E21C3" w:rsidRDefault="000E21C3" w:rsidP="000E21C3">
      <w:pPr>
        <w:pStyle w:val="ListParagraph"/>
        <w:numPr>
          <w:ilvl w:val="1"/>
          <w:numId w:val="13"/>
        </w:numPr>
        <w:jc w:val="both"/>
      </w:pPr>
      <w:r>
        <w:t xml:space="preserve">Prevalence of ligands associated with molecular barriers to parasitic invasion of human red blood </w:t>
      </w:r>
      <w:proofErr w:type="gramStart"/>
      <w:r>
        <w:t>cells</w:t>
      </w:r>
      <w:proofErr w:type="gramEnd"/>
    </w:p>
    <w:bookmarkEnd w:id="0"/>
    <w:p w14:paraId="03787A8C" w14:textId="528D99A3" w:rsidR="00E53034" w:rsidRDefault="00E53034" w:rsidP="000A0003">
      <w:pPr>
        <w:jc w:val="both"/>
        <w:rPr>
          <w:b/>
          <w:bCs/>
        </w:rPr>
      </w:pPr>
      <w:r w:rsidRPr="004E4C26">
        <w:rPr>
          <w:b/>
          <w:bCs/>
        </w:rPr>
        <w:t xml:space="preserve">Eligibility criteria </w:t>
      </w:r>
    </w:p>
    <w:p w14:paraId="744333D1" w14:textId="407BA83C" w:rsidR="00A94C0F" w:rsidRPr="00A94C0F" w:rsidRDefault="00A94C0F" w:rsidP="000A0003">
      <w:pPr>
        <w:jc w:val="both"/>
        <w:rPr>
          <w:u w:val="single"/>
        </w:rPr>
      </w:pPr>
      <w:r w:rsidRPr="00A94C0F">
        <w:rPr>
          <w:u w:val="single"/>
        </w:rPr>
        <w:t>Types of studies</w:t>
      </w:r>
    </w:p>
    <w:p w14:paraId="46409BD0" w14:textId="70756E33" w:rsidR="003456BB" w:rsidRDefault="000A0003" w:rsidP="000A0003">
      <w:pPr>
        <w:jc w:val="both"/>
      </w:pPr>
      <w:r>
        <w:t>W</w:t>
      </w:r>
      <w:r w:rsidR="003456BB">
        <w:t>e will only exclude literature reviews from ou</w:t>
      </w:r>
      <w:r w:rsidR="006E3EB1">
        <w:t>r</w:t>
      </w:r>
      <w:r w:rsidR="003456BB">
        <w:t xml:space="preserve"> search</w:t>
      </w:r>
      <w:r w:rsidR="00A94C0F">
        <w:t>.</w:t>
      </w:r>
      <w:r w:rsidR="003456BB">
        <w:t xml:space="preserve"> Otherwise, there will be no exclusions on the types of studies </w:t>
      </w:r>
      <w:r w:rsidR="0018198C">
        <w:t>reviewed</w:t>
      </w:r>
      <w:r w:rsidR="003456BB">
        <w:t>.</w:t>
      </w:r>
      <w:r w:rsidR="00A94C0F">
        <w:t xml:space="preserve"> These will include, but are not limited to, epidemiological observational and interventional studies, laboratory studies and modelling studies.</w:t>
      </w:r>
      <w:r w:rsidR="003456BB">
        <w:t xml:space="preserve"> We will also perform a search of the grey literature for any </w:t>
      </w:r>
      <w:r w:rsidR="007A59B3">
        <w:t>suitable evidence</w:t>
      </w:r>
      <w:r>
        <w:t xml:space="preserve">, including human case reports and vector and simian host distributions. </w:t>
      </w:r>
    </w:p>
    <w:p w14:paraId="5E4F7902" w14:textId="7BB1861B" w:rsidR="00A94C0F" w:rsidRDefault="00A94C0F" w:rsidP="000A0003">
      <w:pPr>
        <w:jc w:val="both"/>
        <w:rPr>
          <w:u w:val="single"/>
        </w:rPr>
      </w:pPr>
      <w:r w:rsidRPr="00A94C0F">
        <w:rPr>
          <w:u w:val="single"/>
        </w:rPr>
        <w:t>Language</w:t>
      </w:r>
    </w:p>
    <w:p w14:paraId="18353BC6" w14:textId="361454C5" w:rsidR="006E3EB1" w:rsidRDefault="00A94C0F" w:rsidP="000A0003">
      <w:pPr>
        <w:jc w:val="both"/>
      </w:pPr>
      <w:r>
        <w:t xml:space="preserve">We will conduct the search in </w:t>
      </w:r>
      <w:r w:rsidR="006E3EB1">
        <w:t>English but</w:t>
      </w:r>
      <w:r>
        <w:t xml:space="preserve"> will be aiming to include studies published in any language. </w:t>
      </w:r>
      <w:r w:rsidR="006E3EB1">
        <w:t>We are able to directly</w:t>
      </w:r>
      <w:r>
        <w:t xml:space="preserve"> consider sources in English, Spanish, French and Malay. For those in languages we are not familiar with, </w:t>
      </w:r>
      <w:r w:rsidR="006E3EB1">
        <w:t>support with screening and</w:t>
      </w:r>
      <w:r w:rsidR="006E3EB1" w:rsidRPr="006E3EB1">
        <w:t>/</w:t>
      </w:r>
      <w:r w:rsidR="006E3EB1">
        <w:t xml:space="preserve">or translating will be sought from our professional networks. </w:t>
      </w:r>
    </w:p>
    <w:p w14:paraId="14F6B0DD" w14:textId="02B6C0D3" w:rsidR="00783186" w:rsidRDefault="00783186" w:rsidP="000A0003">
      <w:pPr>
        <w:jc w:val="both"/>
        <w:rPr>
          <w:u w:val="single"/>
        </w:rPr>
      </w:pPr>
      <w:r>
        <w:rPr>
          <w:u w:val="single"/>
        </w:rPr>
        <w:t>Condition</w:t>
      </w:r>
    </w:p>
    <w:p w14:paraId="7FB96502" w14:textId="5E3AAEB8" w:rsidR="006E3EB1" w:rsidRDefault="00684B1E" w:rsidP="000A0003">
      <w:pPr>
        <w:jc w:val="both"/>
      </w:pPr>
      <w:r>
        <w:t xml:space="preserve">The search will </w:t>
      </w:r>
      <w:r w:rsidR="00E01ECE">
        <w:t xml:space="preserve">focus on </w:t>
      </w:r>
      <w:r w:rsidR="00E01ECE" w:rsidRPr="00E01ECE">
        <w:rPr>
          <w:i/>
          <w:iCs/>
        </w:rPr>
        <w:t>P. knowlesi</w:t>
      </w:r>
      <w:r w:rsidR="00E01ECE">
        <w:t xml:space="preserve"> research</w:t>
      </w:r>
      <w:r w:rsidR="006E3EB1">
        <w:t xml:space="preserve"> </w:t>
      </w:r>
      <w:r w:rsidR="008E7E26">
        <w:t>but will also include relevant</w:t>
      </w:r>
      <w:r w:rsidR="006E3EB1">
        <w:t xml:space="preserve"> work carried out with</w:t>
      </w:r>
      <w:r w:rsidR="008E7E26">
        <w:t xml:space="preserve"> regional </w:t>
      </w:r>
      <w:r w:rsidR="006E3EB1" w:rsidRPr="006E3EB1">
        <w:rPr>
          <w:i/>
          <w:iCs/>
        </w:rPr>
        <w:t>P</w:t>
      </w:r>
      <w:r w:rsidR="008E7E26" w:rsidRPr="006E3EB1">
        <w:rPr>
          <w:i/>
          <w:iCs/>
        </w:rPr>
        <w:t>lasmodium</w:t>
      </w:r>
      <w:r w:rsidR="008E7E26">
        <w:t xml:space="preserve"> species</w:t>
      </w:r>
      <w:r w:rsidR="006E3EB1">
        <w:t xml:space="preserve"> which could be suggestive of sustained human transmission chains</w:t>
      </w:r>
      <w:r w:rsidR="00E01ECE">
        <w:t xml:space="preserve">. </w:t>
      </w:r>
      <w:r w:rsidR="006E3EB1">
        <w:t xml:space="preserve">We will limit diagnoses to molecular confirmation methods. </w:t>
      </w:r>
      <w:r w:rsidR="009800FF">
        <w:t xml:space="preserve">We will consider genomic sequencing to be the strongest evidence of a positive diagnostic followed by PCR. </w:t>
      </w:r>
    </w:p>
    <w:p w14:paraId="1AC598F9" w14:textId="651CE68F" w:rsidR="00E01ECE" w:rsidRPr="00E01ECE" w:rsidRDefault="00E01ECE" w:rsidP="000A0003">
      <w:pPr>
        <w:jc w:val="both"/>
        <w:rPr>
          <w:u w:val="single"/>
        </w:rPr>
      </w:pPr>
      <w:r w:rsidRPr="00E01ECE">
        <w:rPr>
          <w:u w:val="single"/>
        </w:rPr>
        <w:t>Context</w:t>
      </w:r>
    </w:p>
    <w:p w14:paraId="20C5EC6B" w14:textId="3DB04B09" w:rsidR="00E01ECE" w:rsidRDefault="00135FA6" w:rsidP="000A0003">
      <w:pPr>
        <w:jc w:val="both"/>
      </w:pPr>
      <w:r>
        <w:t>In light of the epidemiology of zoonotic malaria, our interest is focused on understanding if</w:t>
      </w:r>
      <w:r w:rsidR="00346A35">
        <w:t xml:space="preserve"> there are biological reasons that support or hinder</w:t>
      </w:r>
      <w:r>
        <w:t xml:space="preserve"> sustained human transmission</w:t>
      </w:r>
      <w:r w:rsidR="00346A35">
        <w:t>, and if this is occurring naturally already.</w:t>
      </w:r>
      <w:r>
        <w:t xml:space="preserve"> Given the complexity of studying this phenomenon, we will be using studies carried out in both controlled laboratory conditions and in the field</w:t>
      </w:r>
      <w:r w:rsidR="00346A35">
        <w:t>, and will not be restricting based on location</w:t>
      </w:r>
      <w:r>
        <w:t xml:space="preserve">. </w:t>
      </w:r>
      <w:r w:rsidR="009F01AD">
        <w:t xml:space="preserve">We will also be looking for any suggestive evidence produced by modelling studies. </w:t>
      </w:r>
    </w:p>
    <w:p w14:paraId="45B1E9E1" w14:textId="79944FF7" w:rsidR="00135FA6" w:rsidRPr="00135FA6" w:rsidRDefault="00135FA6" w:rsidP="000A0003">
      <w:pPr>
        <w:jc w:val="both"/>
        <w:rPr>
          <w:u w:val="single"/>
        </w:rPr>
      </w:pPr>
      <w:r w:rsidRPr="00135FA6">
        <w:rPr>
          <w:u w:val="single"/>
        </w:rPr>
        <w:t xml:space="preserve">Population </w:t>
      </w:r>
    </w:p>
    <w:p w14:paraId="49CCAF37" w14:textId="0E1852B4" w:rsidR="00135FA6" w:rsidRDefault="00135FA6" w:rsidP="000A0003">
      <w:pPr>
        <w:jc w:val="both"/>
      </w:pPr>
      <w:r>
        <w:t xml:space="preserve">No exclusion criteria will be applied to populations included in the review. </w:t>
      </w:r>
    </w:p>
    <w:p w14:paraId="507D813C" w14:textId="022FF2CB" w:rsidR="00E53034" w:rsidRDefault="00576639" w:rsidP="000A0003">
      <w:pPr>
        <w:jc w:val="both"/>
        <w:rPr>
          <w:b/>
          <w:bCs/>
        </w:rPr>
      </w:pPr>
      <w:r w:rsidRPr="004E4C26">
        <w:rPr>
          <w:b/>
          <w:bCs/>
        </w:rPr>
        <w:t>Information sources</w:t>
      </w:r>
    </w:p>
    <w:p w14:paraId="0481F43F" w14:textId="68E77C2E" w:rsidR="00F06D7C" w:rsidRPr="00F06D7C" w:rsidRDefault="00F06D7C" w:rsidP="000A0003">
      <w:pPr>
        <w:jc w:val="both"/>
      </w:pPr>
      <w:r>
        <w:t>The following databases will be used to search for published research:</w:t>
      </w:r>
    </w:p>
    <w:p w14:paraId="3AE7048C" w14:textId="76A4AA67" w:rsidR="00576639" w:rsidRDefault="00346A35" w:rsidP="000A0003">
      <w:pPr>
        <w:pStyle w:val="ListParagraph"/>
        <w:numPr>
          <w:ilvl w:val="0"/>
          <w:numId w:val="3"/>
        </w:numPr>
        <w:jc w:val="both"/>
      </w:pPr>
      <w:r>
        <w:t>Medline</w:t>
      </w:r>
    </w:p>
    <w:p w14:paraId="7A40875F" w14:textId="6D67F0E6" w:rsidR="00576639" w:rsidRDefault="00576639" w:rsidP="000A0003">
      <w:pPr>
        <w:pStyle w:val="ListParagraph"/>
        <w:numPr>
          <w:ilvl w:val="0"/>
          <w:numId w:val="3"/>
        </w:numPr>
        <w:jc w:val="both"/>
      </w:pPr>
      <w:r>
        <w:t>EMBASE</w:t>
      </w:r>
    </w:p>
    <w:p w14:paraId="615E7CB1" w14:textId="415E8F5C" w:rsidR="003E600F" w:rsidRPr="009F01AD" w:rsidRDefault="00576639" w:rsidP="000A0003">
      <w:pPr>
        <w:pStyle w:val="ListParagraph"/>
        <w:numPr>
          <w:ilvl w:val="0"/>
          <w:numId w:val="3"/>
        </w:numPr>
        <w:jc w:val="both"/>
      </w:pPr>
      <w:r>
        <w:t>Web of Science</w:t>
      </w:r>
    </w:p>
    <w:p w14:paraId="20AC5485" w14:textId="77777777" w:rsidR="0018198C" w:rsidRDefault="0018198C" w:rsidP="000A0003">
      <w:pPr>
        <w:jc w:val="both"/>
      </w:pPr>
    </w:p>
    <w:p w14:paraId="2DB650DF" w14:textId="6353CB55" w:rsidR="00F06D7C" w:rsidRDefault="00F06D7C" w:rsidP="000A0003">
      <w:pPr>
        <w:jc w:val="both"/>
      </w:pPr>
      <w:r>
        <w:lastRenderedPageBreak/>
        <w:t>We will also include searches for grey literature, including reports and data sets</w:t>
      </w:r>
      <w:r w:rsidR="009F01AD">
        <w:t xml:space="preserve"> on human and simian hosts and vectors</w:t>
      </w:r>
      <w:r>
        <w:t xml:space="preserve"> from the following organisations:</w:t>
      </w:r>
    </w:p>
    <w:p w14:paraId="510A3E57" w14:textId="7F25FC97" w:rsidR="00EA767B" w:rsidRDefault="00EA767B" w:rsidP="000A0003">
      <w:pPr>
        <w:pStyle w:val="ListParagraph"/>
        <w:numPr>
          <w:ilvl w:val="0"/>
          <w:numId w:val="3"/>
        </w:numPr>
        <w:jc w:val="both"/>
      </w:pPr>
      <w:proofErr w:type="spellStart"/>
      <w:r>
        <w:t>ProMed</w:t>
      </w:r>
      <w:proofErr w:type="spellEnd"/>
      <w:r>
        <w:t xml:space="preserve"> </w:t>
      </w:r>
    </w:p>
    <w:p w14:paraId="5ED2E4F1" w14:textId="2C1F62FB" w:rsidR="00576639" w:rsidRDefault="00576639" w:rsidP="000A0003">
      <w:pPr>
        <w:pStyle w:val="ListParagraph"/>
        <w:numPr>
          <w:ilvl w:val="0"/>
          <w:numId w:val="3"/>
        </w:numPr>
        <w:jc w:val="both"/>
      </w:pPr>
      <w:r>
        <w:t>IUCN</w:t>
      </w:r>
    </w:p>
    <w:p w14:paraId="7CCC5869" w14:textId="56A1E621" w:rsidR="00576639" w:rsidRDefault="00576639" w:rsidP="000A0003">
      <w:pPr>
        <w:pStyle w:val="ListParagraph"/>
        <w:numPr>
          <w:ilvl w:val="0"/>
          <w:numId w:val="3"/>
        </w:numPr>
        <w:jc w:val="both"/>
      </w:pPr>
      <w:r>
        <w:t>P</w:t>
      </w:r>
      <w:r w:rsidR="0065541A">
        <w:t>REDICTS</w:t>
      </w:r>
      <w:r>
        <w:t xml:space="preserve"> project</w:t>
      </w:r>
    </w:p>
    <w:p w14:paraId="3A841760" w14:textId="60E63314" w:rsidR="003E600F" w:rsidRDefault="0065541A" w:rsidP="000A0003">
      <w:pPr>
        <w:pStyle w:val="ListParagraph"/>
        <w:numPr>
          <w:ilvl w:val="0"/>
          <w:numId w:val="3"/>
        </w:numPr>
        <w:jc w:val="both"/>
      </w:pPr>
      <w:r>
        <w:t>Cambridge Conservation Initiative</w:t>
      </w:r>
    </w:p>
    <w:p w14:paraId="5EFAFB22" w14:textId="16B0428E" w:rsidR="003E600F" w:rsidRDefault="0065541A" w:rsidP="000A0003">
      <w:pPr>
        <w:pStyle w:val="ListParagraph"/>
        <w:numPr>
          <w:ilvl w:val="0"/>
          <w:numId w:val="3"/>
        </w:numPr>
        <w:jc w:val="both"/>
      </w:pPr>
      <w:r>
        <w:t>Zoological Society of London</w:t>
      </w:r>
    </w:p>
    <w:p w14:paraId="36C4A96A" w14:textId="22C3ED1D" w:rsidR="009F01AD" w:rsidRDefault="009F01AD" w:rsidP="000A0003">
      <w:pPr>
        <w:pStyle w:val="ListParagraph"/>
        <w:numPr>
          <w:ilvl w:val="0"/>
          <w:numId w:val="3"/>
        </w:numPr>
        <w:jc w:val="both"/>
      </w:pPr>
      <w:r w:rsidRPr="004C0108">
        <w:rPr>
          <w:lang w:val="pt-BR"/>
        </w:rPr>
        <w:t>Zenodo</w:t>
      </w:r>
    </w:p>
    <w:p w14:paraId="7FDD5BB5" w14:textId="01A4DE01" w:rsidR="00576639" w:rsidRDefault="00576639" w:rsidP="000A0003">
      <w:pPr>
        <w:jc w:val="both"/>
        <w:rPr>
          <w:b/>
          <w:bCs/>
        </w:rPr>
      </w:pPr>
      <w:r w:rsidRPr="004E4C26">
        <w:rPr>
          <w:b/>
          <w:bCs/>
        </w:rPr>
        <w:t xml:space="preserve">Search strategy </w:t>
      </w:r>
    </w:p>
    <w:p w14:paraId="12E113CD" w14:textId="00372EC8" w:rsidR="00F06D7C" w:rsidRDefault="00F06D7C" w:rsidP="000A0003">
      <w:pPr>
        <w:jc w:val="both"/>
      </w:pPr>
      <w:r>
        <w:t xml:space="preserve">As there is limited published research on </w:t>
      </w:r>
      <w:r w:rsidRPr="00F06D7C">
        <w:rPr>
          <w:i/>
          <w:iCs/>
        </w:rPr>
        <w:t>P. knowlesi</w:t>
      </w:r>
      <w:r>
        <w:t xml:space="preserve">, we will be using a wide search strategy in hopes of capturing all necessary evidence. </w:t>
      </w:r>
      <w:r w:rsidR="009B69BD">
        <w:t>The search strategy has been peer reviews by an Information Scientist from the London School of Hygiene and Tropical Medicine library, using PRESS peer review standard and guidelines.</w:t>
      </w:r>
      <w:r w:rsidR="00A95096">
        <w:fldChar w:fldCharType="begin" w:fldLock="1"/>
      </w:r>
      <w:r w:rsidR="00A95096">
        <w:instrText>ADDIN CSL_CITATION {"citationItems":[{"id":"ITEM-1","itemData":{"DOI":"10.1016/j.jclinepi.2016.01.021","ISSN":"18785921","PMID":"27005575","abstract":"Objective To develop an evidence-based guideline for Peer Review of Electronic Search Strategies (PRESS) for systematic reviews (SRs), health technology assessments, and other evidence syntheses. Study Design and Setting An SR, Web-based survey of experts, and consensus development forum were undertaken to identify checklists that evaluated or validated electronic literature search strategies and to determine which of their elements related to search quality or errors. Results Systematic review: No new search elements were identified for addition to the existing (2008–2010) PRESS 2015 Evidence-Based Checklist, and there was no evidence refuting any of its elements. Results suggested that structured PRESS could identify search errors and improve the selection of search terms. Web-based survey of experts: Most respondents felt that peer review should be undertaken after the MEDLINE search had been prepared but before it had been translated to other databases. Consensus development forum: Of the seven original PRESS elements, six were retained: translation of the research question; Boolean and proximity operators; subject headings; text word search; spelling, syntax and line numbers; and limits and filters. The seventh (skilled translation of the search strategy to additional databases) was removed, as there was consensus that this should be left to the discretion of searchers. An updated PRESS 2015 Guideline Statement was developed, which includes the following four documents: PRESS 2015 Evidence-Based Checklist, PRESS 2015 Recommendations for Librarian Practice, PRESS 2015 Implementation Strategies, and PRESS 2015 Guideline Assessment Form. Conclusion The PRESS 2015 Guideline Statement should help to guide and improve the peer review of electronic literature search strategies.","author":[{"dropping-particle":"","family":"McGowan","given":"Jessie","non-dropping-particle":"","parse-names":false,"suffix":""},{"dropping-particle":"","family":"Sampson","given":"Margaret","non-dropping-particle":"","parse-names":false,"suffix":""},{"dropping-particle":"","family":"Salzwedel","given":"Douglas M.","non-dropping-particle":"","parse-names":false,"suffix":""},{"dropping-particle":"","family":"Cogo","given":"Elise","non-dropping-particle":"","parse-names":false,"suffix":""},{"dropping-particle":"","family":"Foerster","given":"Vicki","non-dropping-particle":"","parse-names":false,"suffix":""},{"dropping-particle":"","family":"Lefebvre","given":"Carol","non-dropping-particle":"","parse-names":false,"suffix":""}],"container-title":"Journal of Clinical Epidemiology","id":"ITEM-1","issued":{"date-parts":[["2016","7","1"]]},"page":"40-46","publisher":"Elsevier USA","title":"PRESS Peer Review of Electronic Search Strategies: 2015 Guideline Statement","type":"article-journal","volume":"75"},"uris":["http://www.mendeley.com/documents/?uuid=8e80405f-a8ac-388a-abe7-ab20c3b87659"]}],"mendeley":{"formattedCitation":"&lt;sup&gt;5&lt;/sup&gt;","plainTextFormattedCitation":"5"},"properties":{"noteIndex":0},"schema":"https://github.com/citation-style-language/schema/raw/master/csl-citation.json"}</w:instrText>
      </w:r>
      <w:r w:rsidR="00A95096">
        <w:fldChar w:fldCharType="separate"/>
      </w:r>
      <w:r w:rsidR="00A95096" w:rsidRPr="00A95096">
        <w:rPr>
          <w:noProof/>
          <w:vertAlign w:val="superscript"/>
        </w:rPr>
        <w:t>5</w:t>
      </w:r>
      <w:r w:rsidR="00A95096">
        <w:fldChar w:fldCharType="end"/>
      </w:r>
      <w:r w:rsidR="009B69BD">
        <w:t xml:space="preserve"> </w:t>
      </w:r>
    </w:p>
    <w:p w14:paraId="10CDCBC2" w14:textId="53801087" w:rsidR="00F06D7C" w:rsidRDefault="00F06D7C" w:rsidP="000A0003">
      <w:pPr>
        <w:jc w:val="both"/>
      </w:pPr>
      <w:r>
        <w:t xml:space="preserve">An example of the search strategy we will use in </w:t>
      </w:r>
      <w:r w:rsidR="00346A35">
        <w:t xml:space="preserve">Medline </w:t>
      </w:r>
      <w:r>
        <w:t>is detailed below:</w:t>
      </w:r>
    </w:p>
    <w:p w14:paraId="3400987E" w14:textId="62722E47" w:rsidR="00346A35" w:rsidRPr="009B69BD" w:rsidRDefault="00346A35" w:rsidP="00346A35">
      <w:pPr>
        <w:spacing w:after="240" w:line="240" w:lineRule="auto"/>
      </w:pPr>
      <w:r w:rsidRPr="009B69BD">
        <w:t xml:space="preserve">1     Plasmodium </w:t>
      </w:r>
      <w:proofErr w:type="spellStart"/>
      <w:r w:rsidRPr="009B69BD">
        <w:t>knowlesi</w:t>
      </w:r>
      <w:proofErr w:type="spellEnd"/>
      <w:r w:rsidRPr="009B69BD">
        <w:t xml:space="preserve">/ </w:t>
      </w:r>
      <w:r w:rsidRPr="009B69BD">
        <w:br/>
        <w:t xml:space="preserve">2     plasmodium </w:t>
      </w:r>
      <w:proofErr w:type="spellStart"/>
      <w:r w:rsidRPr="009B69BD">
        <w:t>knowles</w:t>
      </w:r>
      <w:proofErr w:type="spellEnd"/>
      <w:r w:rsidRPr="009B69BD">
        <w:t>*.</w:t>
      </w:r>
      <w:proofErr w:type="spellStart"/>
      <w:r w:rsidRPr="009B69BD">
        <w:t>mp</w:t>
      </w:r>
      <w:proofErr w:type="spellEnd"/>
      <w:r w:rsidRPr="009B69BD">
        <w:t xml:space="preserve">. </w:t>
      </w:r>
      <w:r w:rsidRPr="009B69BD">
        <w:br/>
        <w:t xml:space="preserve">3     1 or 2 </w:t>
      </w:r>
    </w:p>
    <w:p w14:paraId="15E6F8B6" w14:textId="36220AB1" w:rsidR="00346A35" w:rsidRPr="009B69BD" w:rsidRDefault="00346A35" w:rsidP="00346A35">
      <w:pPr>
        <w:spacing w:after="240" w:line="240" w:lineRule="auto"/>
      </w:pPr>
      <w:r w:rsidRPr="009B69BD">
        <w:t xml:space="preserve">4     Zoonoses/ </w:t>
      </w:r>
      <w:r w:rsidRPr="009B69BD">
        <w:br/>
        <w:t xml:space="preserve">5     </w:t>
      </w:r>
      <w:proofErr w:type="spellStart"/>
      <w:r w:rsidRPr="009B69BD">
        <w:t>catarrhini</w:t>
      </w:r>
      <w:proofErr w:type="spellEnd"/>
      <w:r w:rsidRPr="009B69BD">
        <w:t xml:space="preserve">/ or </w:t>
      </w:r>
      <w:proofErr w:type="spellStart"/>
      <w:r w:rsidRPr="009B69BD">
        <w:t>cercopithecidae</w:t>
      </w:r>
      <w:proofErr w:type="spellEnd"/>
      <w:r w:rsidRPr="009B69BD">
        <w:t xml:space="preserve">/ or </w:t>
      </w:r>
      <w:proofErr w:type="spellStart"/>
      <w:r w:rsidRPr="009B69BD">
        <w:t>cercopithecinae</w:t>
      </w:r>
      <w:proofErr w:type="spellEnd"/>
      <w:r w:rsidRPr="009B69BD">
        <w:t xml:space="preserve">/ or exp </w:t>
      </w:r>
      <w:proofErr w:type="spellStart"/>
      <w:r w:rsidRPr="009B69BD">
        <w:t>macaca</w:t>
      </w:r>
      <w:proofErr w:type="spellEnd"/>
      <w:r w:rsidRPr="009B69BD">
        <w:t xml:space="preserve">/ </w:t>
      </w:r>
      <w:r w:rsidRPr="009B69BD">
        <w:br/>
        <w:t>6  </w:t>
      </w:r>
      <w:proofErr w:type="gramStart"/>
      <w:r w:rsidRPr="009B69BD">
        <w:t>   (</w:t>
      </w:r>
      <w:proofErr w:type="gramEnd"/>
      <w:r w:rsidRPr="009B69BD">
        <w:t xml:space="preserve">monkey* or simian* or </w:t>
      </w:r>
      <w:proofErr w:type="spellStart"/>
      <w:r w:rsidRPr="009B69BD">
        <w:t>zoono</w:t>
      </w:r>
      <w:proofErr w:type="spellEnd"/>
      <w:r w:rsidRPr="009B69BD">
        <w:t xml:space="preserve">* or </w:t>
      </w:r>
      <w:proofErr w:type="spellStart"/>
      <w:r w:rsidRPr="009B69BD">
        <w:t>macaca</w:t>
      </w:r>
      <w:proofErr w:type="spellEnd"/>
      <w:r w:rsidRPr="009B69BD">
        <w:t xml:space="preserve"> or macaque*).</w:t>
      </w:r>
      <w:proofErr w:type="spellStart"/>
      <w:r w:rsidRPr="009B69BD">
        <w:t>mp</w:t>
      </w:r>
      <w:proofErr w:type="spellEnd"/>
      <w:r w:rsidRPr="009B69BD">
        <w:t xml:space="preserve">. </w:t>
      </w:r>
      <w:r w:rsidRPr="009B69BD">
        <w:br/>
        <w:t xml:space="preserve">7     4 or 5 or 6 </w:t>
      </w:r>
    </w:p>
    <w:p w14:paraId="58E016E9" w14:textId="3675F600" w:rsidR="00346A35" w:rsidRPr="009B69BD" w:rsidRDefault="00346A35" w:rsidP="00346A35">
      <w:pPr>
        <w:spacing w:after="240" w:line="240" w:lineRule="auto"/>
      </w:pPr>
      <w:r w:rsidRPr="009B69BD">
        <w:t>8  </w:t>
      </w:r>
      <w:proofErr w:type="gramStart"/>
      <w:r w:rsidRPr="009B69BD">
        <w:t>   (</w:t>
      </w:r>
      <w:proofErr w:type="gramEnd"/>
      <w:r w:rsidRPr="009B69BD">
        <w:t>malaria* or plasmodium).</w:t>
      </w:r>
      <w:proofErr w:type="spellStart"/>
      <w:r w:rsidRPr="009B69BD">
        <w:t>mp</w:t>
      </w:r>
      <w:proofErr w:type="spellEnd"/>
      <w:r w:rsidRPr="009B69BD">
        <w:t xml:space="preserve">. </w:t>
      </w:r>
      <w:r w:rsidRPr="009B69BD">
        <w:br/>
        <w:t xml:space="preserve">9     Malaria/ </w:t>
      </w:r>
      <w:r w:rsidRPr="009B69BD">
        <w:br/>
        <w:t xml:space="preserve">10     8 or 9 </w:t>
      </w:r>
    </w:p>
    <w:p w14:paraId="27DBDCB6" w14:textId="3B18FB77" w:rsidR="00346A35" w:rsidRPr="009B69BD" w:rsidRDefault="00346A35" w:rsidP="00346A35">
      <w:pPr>
        <w:spacing w:after="0" w:line="240" w:lineRule="auto"/>
      </w:pPr>
      <w:r w:rsidRPr="009B69BD">
        <w:t xml:space="preserve">11     7 and 10 </w:t>
      </w:r>
      <w:r w:rsidRPr="009B69BD">
        <w:br/>
        <w:t xml:space="preserve">12     3 or 11 </w:t>
      </w:r>
    </w:p>
    <w:p w14:paraId="0F2B0F22" w14:textId="77777777" w:rsidR="0018198C" w:rsidRDefault="0018198C" w:rsidP="000A0003">
      <w:pPr>
        <w:jc w:val="both"/>
        <w:rPr>
          <w:b/>
          <w:bCs/>
        </w:rPr>
      </w:pPr>
    </w:p>
    <w:p w14:paraId="2BD5D67B" w14:textId="64118513" w:rsidR="0074397F" w:rsidRDefault="00295684" w:rsidP="000A0003">
      <w:pPr>
        <w:jc w:val="both"/>
        <w:rPr>
          <w:b/>
          <w:bCs/>
        </w:rPr>
      </w:pPr>
      <w:r w:rsidRPr="004E4C26">
        <w:rPr>
          <w:b/>
          <w:bCs/>
        </w:rPr>
        <w:t xml:space="preserve">Study records </w:t>
      </w:r>
    </w:p>
    <w:p w14:paraId="089E3FB8" w14:textId="687293BB" w:rsidR="00321AD5" w:rsidRDefault="00321AD5" w:rsidP="000A0003">
      <w:pPr>
        <w:jc w:val="both"/>
        <w:rPr>
          <w:u w:val="single"/>
        </w:rPr>
      </w:pPr>
      <w:r>
        <w:rPr>
          <w:u w:val="single"/>
        </w:rPr>
        <w:t>Selection process</w:t>
      </w:r>
    </w:p>
    <w:p w14:paraId="0E9A6D37" w14:textId="483F05D9" w:rsidR="00321AD5" w:rsidRDefault="00C700F8" w:rsidP="000A0003">
      <w:pPr>
        <w:jc w:val="both"/>
      </w:pPr>
      <w:r>
        <w:t xml:space="preserve">All published literature will be imported into a reference manager, which will be used to de-duplicate any papers. Titles and abstracts will then be </w:t>
      </w:r>
      <w:r w:rsidR="00430A46">
        <w:t xml:space="preserve">screened and removed as necessary. </w:t>
      </w:r>
      <w:r w:rsidR="00DD7AF0">
        <w:t>We will utilise the Rayyan tool for screening titles and abstracts</w:t>
      </w:r>
      <w:r w:rsidR="000A0003">
        <w:t xml:space="preserve">. </w:t>
      </w:r>
      <w:r w:rsidR="000A0003">
        <w:fldChar w:fldCharType="begin" w:fldLock="1"/>
      </w:r>
      <w:r w:rsidR="00A95096">
        <w:instrText>ADDIN CSL_CITATION {"citationItems":[{"id":"ITEM-1","itemData":{"DOI":"10.1186/s13643-016-0384-4","ISSN":"20464053","PMID":"27919275","abstract":"Background: Synthesis of multiple randomized controlled trials (RCTs) in a systematic review can summarize the effects of individual outcomes and provide numerical answers about the effectiveness of interventions. Filtering of searches is time consuming, and no single method fulfills the principal requirements of speed with accuracy. Automation of systematic reviews is driven by a necessity to expedite the availability of current best evidence for policy and clinical decision-making. We developed Rayyan (http://rayyan.qcri.org), a free web and mobile app, that helps expedite the initial screening of abstracts and titles using a process of semi-automation while incorporating a high level of usability. For the beta testing phase, we used two published Cochrane reviews in which included studies had been selected manually. Their searches, with 1030 records and 273 records, were uploaded to Rayyan. Different features of Rayyan were tested using these two reviews. We also conducted a survey of Rayyan's users and collected feedback through a built-in feature. Results: Pilot testing of Rayyan focused on usability, accuracy against manual methods, and the added value of the prediction feature. The \"taster\" review (273 records) allowed a quick overview of Rayyan for early comments on usability. The second review (1030 records) required several iterations to identify the previously identified 11 trials. The \"suggestions\" and \"hints,\" based on the \"prediction model,\" appeared as testing progressed beyond five included studies. Post rollout user experiences and a reflexive response by the developers enabled real-time modifications and improvements. The survey respondents reported 40% average time savings when using Rayyan compared to others tools, with 34% of the respondents reporting more than 50% time savings. In addition, around 75% of the respondents mentioned that screening and labeling studies as well as collaborating on reviews to be the two most important features of Rayyan. As of November 2016, Rayyan users exceed 2000 from over 60 countries conducting hundreds of reviews totaling more than 1.6M citations. Feedback from users, obtained mostly through the app web site and a recent survey, has highlighted the ease in exploration of searches, the time saved, and simplicity in sharing and comparing include-exclude decisions. The strongest features of the app, identified and reported in user feedback, were its ability to help in screening and collaboration as we…","author":[{"dropping-particle":"","family":"Ouzzani","given":"Mourad","non-dropping-particle":"","parse-names":false,"suffix":""},{"dropping-particle":"","family":"Hammady","given":"Hossam","non-dropping-particle":"","parse-names":false,"suffix":""},{"dropping-particle":"","family":"Fedorowicz","given":"Zbys","non-dropping-particle":"","parse-names":false,"suffix":""},{"dropping-particle":"","family":"Elmagarmid","given":"Ahmed","non-dropping-particle":"","parse-names":false,"suffix":""}],"container-title":"Systematic Reviews","id":"ITEM-1","issue":"1","issued":{"date-parts":[["2016","12","5"]]},"page":"210","publisher":"BioMed Central Ltd.","title":"Rayyan-a web and mobile app for systematic reviews","type":"article-journal","volume":"5"},"uris":["http://www.mendeley.com/documents/?uuid=14a3caa8-d3e9-3dc2-b931-e84d48ff7493"]}],"mendeley":{"formattedCitation":"&lt;sup&gt;6&lt;/sup&gt;","plainTextFormattedCitation":"6","previouslyFormattedCitation":"&lt;sup&gt;5&lt;/sup&gt;"},"properties":{"noteIndex":0},"schema":"https://github.com/citation-style-language/schema/raw/master/csl-citation.json"}</w:instrText>
      </w:r>
      <w:r w:rsidR="000A0003">
        <w:fldChar w:fldCharType="separate"/>
      </w:r>
      <w:r w:rsidR="00A95096" w:rsidRPr="00A95096">
        <w:rPr>
          <w:noProof/>
          <w:vertAlign w:val="superscript"/>
        </w:rPr>
        <w:t>6</w:t>
      </w:r>
      <w:r w:rsidR="000A0003">
        <w:fldChar w:fldCharType="end"/>
      </w:r>
      <w:r w:rsidR="000A0003">
        <w:t xml:space="preserve"> </w:t>
      </w:r>
      <w:r w:rsidR="00DD7AF0">
        <w:t xml:space="preserve">One reviewer will screen all titles and abstracts, whilst the second reviewer will assess those that have been excluded. </w:t>
      </w:r>
      <w:r w:rsidR="007A46AC">
        <w:t xml:space="preserve">Once the final list of texts has been agreed, both reviewers will review all texts concurrently. </w:t>
      </w:r>
    </w:p>
    <w:p w14:paraId="34D0439A" w14:textId="77777777" w:rsidR="0018198C" w:rsidRDefault="0018198C" w:rsidP="000A0003">
      <w:pPr>
        <w:jc w:val="both"/>
      </w:pPr>
    </w:p>
    <w:p w14:paraId="1EA16DB5" w14:textId="72B4F2A8" w:rsidR="009B69BD" w:rsidRDefault="00B04FC8" w:rsidP="000A0003">
      <w:pPr>
        <w:jc w:val="both"/>
      </w:pPr>
      <w:r>
        <w:rPr>
          <w:noProof/>
        </w:rPr>
        <w:drawing>
          <wp:inline distT="0" distB="0" distL="0" distR="0" wp14:anchorId="438FE8BF" wp14:editId="27437D23">
            <wp:extent cx="5723802" cy="603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84702" cy="620208"/>
                    </a:xfrm>
                    <a:prstGeom prst="rect">
                      <a:avLst/>
                    </a:prstGeom>
                    <a:noFill/>
                  </pic:spPr>
                </pic:pic>
              </a:graphicData>
            </a:graphic>
          </wp:inline>
        </w:drawing>
      </w:r>
    </w:p>
    <w:p w14:paraId="02F9FDD7" w14:textId="77777777" w:rsidR="0018198C" w:rsidRDefault="0018198C" w:rsidP="000A0003">
      <w:pPr>
        <w:jc w:val="both"/>
        <w:rPr>
          <w:u w:val="single"/>
        </w:rPr>
      </w:pPr>
    </w:p>
    <w:p w14:paraId="094C08A3" w14:textId="34BE48C2" w:rsidR="00430A46" w:rsidRDefault="00430A46" w:rsidP="000A0003">
      <w:pPr>
        <w:jc w:val="both"/>
        <w:rPr>
          <w:u w:val="single"/>
        </w:rPr>
      </w:pPr>
      <w:r>
        <w:rPr>
          <w:u w:val="single"/>
        </w:rPr>
        <w:lastRenderedPageBreak/>
        <w:t>Data extraction and management</w:t>
      </w:r>
    </w:p>
    <w:p w14:paraId="1475139C" w14:textId="4169F16A" w:rsidR="009E4C6D" w:rsidRDefault="00430A46" w:rsidP="000A0003">
      <w:pPr>
        <w:jc w:val="both"/>
      </w:pPr>
      <w:r>
        <w:t>A standardised form will be used to extract necessary data from published literature. Given the varied evidence we will be collecting, the synthesis without meta-analysis (</w:t>
      </w:r>
      <w:proofErr w:type="spellStart"/>
      <w:r>
        <w:t>SWiM</w:t>
      </w:r>
      <w:proofErr w:type="spellEnd"/>
      <w:r>
        <w:t>) framework will be used, applying vote counting to combine evidence.</w:t>
      </w:r>
      <w:r w:rsidR="000A0003">
        <w:t xml:space="preserve"> </w:t>
      </w:r>
      <w:r w:rsidR="000A0003">
        <w:fldChar w:fldCharType="begin" w:fldLock="1"/>
      </w:r>
      <w:r w:rsidR="00A95096">
        <w:instrText>ADDIN CSL_CITATION {"citationItems":[{"id":"ITEM-1","itemData":{"DOI":"10.1136/bmj.l6890","ISSN":"17561833","PMID":"31948937","abstract":"In systematic reviews that lack data amenable to meta-analysis, alternative synthesis methods are commonly used, but these methods are rarely reported. This lack of transparency in the methods can cast doubt on the validity of the review findings. The Synthesis Without Meta-analysis (SWiM) guideline has been developed to guide clear reporting in reviews of interventions in which alternative synthesis methods to meta-analysis of effect estimates are used. This article describes the development of the SWiM guideline for the synthesis of quantitative data of intervention effects and presents the nine SWiM reporting items with accompanying explanations and examples.","author":[{"dropping-particle":"","family":"Campbell","given":"Mhairi","non-dropping-particle":"","parse-names":false,"suffix":""},{"dropping-particle":"","family":"McKenzie","given":"Joanne E.","non-dropping-particle":"","parse-names":false,"suffix":""},{"dropping-particle":"","family":"Sowden","given":"Amanda","non-dropping-particle":"","parse-names":false,"suffix":""},{"dropping-particle":"","family":"Katikireddi","given":"Srinivasa Vittal","non-dropping-particle":"","parse-names":false,"suffix":""},{"dropping-particle":"","family":"Brennan","given":"Sue E.","non-dropping-particle":"","parse-names":false,"suffix":""},{"dropping-particle":"","family":"Ellis","given":"Simon","non-dropping-particle":"","parse-names":false,"suffix":""},{"dropping-particle":"","family":"Hartmann-Boyce","given":"Jamie","non-dropping-particle":"","parse-names":false,"suffix":""},{"dropping-particle":"","family":"Ryan","given":"Rebecca","non-dropping-particle":"","parse-names":false,"suffix":""},{"dropping-particle":"","family":"Shepperd","given":"Sasha","non-dropping-particle":"","parse-names":false,"suffix":""},{"dropping-particle":"","family":"Thomas","given":"James","non-dropping-particle":"","parse-names":false,"suffix":""},{"dropping-particle":"","family":"Welch","given":"Vivian","non-dropping-particle":"","parse-names":false,"suffix":""},{"dropping-particle":"","family":"Thomson","given":"Hilary","non-dropping-particle":"","parse-names":false,"suffix":""}],"container-title":"The BMJ","id":"ITEM-1","issued":{"date-parts":[["2020","1","16"]]},"publisher":"BMJ Publishing Group","title":"Synthesis without meta-analysis (SWiM) in systematic reviews: Reporting guideline","type":"article-journal","volume":"368"},"uris":["http://www.mendeley.com/documents/?uuid=edb9e46e-d7a7-3069-b090-02c1e14c9ee4"]}],"mendeley":{"formattedCitation":"&lt;sup&gt;7&lt;/sup&gt;","plainTextFormattedCitation":"7","previouslyFormattedCitation":"&lt;sup&gt;6&lt;/sup&gt;"},"properties":{"noteIndex":0},"schema":"https://github.com/citation-style-language/schema/raw/master/csl-citation.json"}</w:instrText>
      </w:r>
      <w:r w:rsidR="000A0003">
        <w:fldChar w:fldCharType="separate"/>
      </w:r>
      <w:r w:rsidR="00A95096" w:rsidRPr="00A95096">
        <w:rPr>
          <w:noProof/>
          <w:vertAlign w:val="superscript"/>
        </w:rPr>
        <w:t>7</w:t>
      </w:r>
      <w:r w:rsidR="000A0003">
        <w:fldChar w:fldCharType="end"/>
      </w:r>
      <w:r>
        <w:t xml:space="preserve"> Using the categories of evidence outlined above, </w:t>
      </w:r>
      <w:r w:rsidR="009E4C6D">
        <w:t>the evidence suggestive of sustained human transmission will be considered a positive vote (</w:t>
      </w:r>
      <w:r w:rsidR="009E4C6D">
        <w:sym w:font="Wingdings 3" w:char="F070"/>
      </w:r>
      <w:r w:rsidR="009E4C6D">
        <w:t>) whilst the evidence refuting sustained transmission will be considered a negative vote (</w:t>
      </w:r>
      <w:r w:rsidR="009E4C6D">
        <w:sym w:font="Wingdings 3" w:char="F071"/>
      </w:r>
      <w:r w:rsidR="009E4C6D">
        <w:t xml:space="preserve">). </w:t>
      </w:r>
    </w:p>
    <w:p w14:paraId="1F9FD713" w14:textId="6A87B0F8" w:rsidR="00430A46" w:rsidRPr="00430A46" w:rsidRDefault="00430A46" w:rsidP="000A0003">
      <w:pPr>
        <w:jc w:val="both"/>
      </w:pPr>
      <w:r>
        <w:t>The data extraction form will include year of publication, population, setting (including georeferenced data if possible), diagnostic used (if applicable), category and direction of evidence (vote counting). A separate form will be used to extract necessary data from grey literature, including host and vector data to improve model parameters.</w:t>
      </w:r>
      <w:r w:rsidR="00A95096">
        <w:t xml:space="preserve"> Sample extraction forms are included in Appendix II. </w:t>
      </w:r>
    </w:p>
    <w:p w14:paraId="42297904" w14:textId="4E333E02" w:rsidR="004E4C26" w:rsidRDefault="004E4C26" w:rsidP="000A0003">
      <w:pPr>
        <w:jc w:val="both"/>
        <w:rPr>
          <w:b/>
          <w:bCs/>
        </w:rPr>
      </w:pPr>
      <w:r w:rsidRPr="004E4C26">
        <w:rPr>
          <w:b/>
          <w:bCs/>
        </w:rPr>
        <w:t xml:space="preserve">Outcomes and prioritization </w:t>
      </w:r>
    </w:p>
    <w:p w14:paraId="1EDEB782" w14:textId="6E9B3B3C" w:rsidR="007A59B3" w:rsidRDefault="007A59B3" w:rsidP="000A0003">
      <w:pPr>
        <w:jc w:val="both"/>
      </w:pPr>
      <w:r>
        <w:t xml:space="preserve">Our main outcomes will be guided by the evidence categories defined above. We will prioritise definitive evidence of sustained human transmission, but will also seek suggestive evidence, such as modelling work performed with host and vector data. </w:t>
      </w:r>
    </w:p>
    <w:p w14:paraId="543C5EFD" w14:textId="17E69C39" w:rsidR="00C10C30" w:rsidRDefault="00C10C30" w:rsidP="000A0003">
      <w:pPr>
        <w:jc w:val="both"/>
      </w:pPr>
      <w:r>
        <w:t xml:space="preserve">Guided by our secondary objectives of finding parameters to improve transmission models, our secondary outcomes will be identifying data sets and evidence to improve parameterisation of models. These parameters are detailed in </w:t>
      </w:r>
      <w:r w:rsidR="006C1105">
        <w:t>Appendix I</w:t>
      </w:r>
      <w:r>
        <w:t xml:space="preserve">. </w:t>
      </w:r>
    </w:p>
    <w:p w14:paraId="72E56789" w14:textId="1DAAE882" w:rsidR="004E4C26" w:rsidRPr="007B79E6" w:rsidRDefault="004E4C26" w:rsidP="000A0003">
      <w:pPr>
        <w:jc w:val="both"/>
        <w:rPr>
          <w:b/>
          <w:bCs/>
        </w:rPr>
      </w:pPr>
      <w:r w:rsidRPr="004E4C26">
        <w:rPr>
          <w:b/>
          <w:bCs/>
        </w:rPr>
        <w:t>Risk of bias in individual studies</w:t>
      </w:r>
    </w:p>
    <w:p w14:paraId="63AE7824" w14:textId="1DDDA505" w:rsidR="006831BC" w:rsidRDefault="006831BC" w:rsidP="000A0003">
      <w:pPr>
        <w:jc w:val="both"/>
      </w:pPr>
      <w:r>
        <w:t xml:space="preserve">As we are expecting a broad range of types of studies, the risk of bias will be assessed according to each category of evidence. We will assess what types of evidence need to be assessed before applying specific tools to assess risk of bias. </w:t>
      </w:r>
      <w:r w:rsidR="007A59B3">
        <w:t xml:space="preserve">Examples are included in Table 1. </w:t>
      </w:r>
    </w:p>
    <w:p w14:paraId="5B107ED1" w14:textId="7D0F8F76" w:rsidR="00CB660F" w:rsidRPr="006C1105" w:rsidRDefault="00CB660F" w:rsidP="000A0003">
      <w:pPr>
        <w:jc w:val="both"/>
        <w:rPr>
          <w:i/>
          <w:iCs/>
          <w:sz w:val="20"/>
          <w:szCs w:val="20"/>
        </w:rPr>
      </w:pPr>
      <w:r w:rsidRPr="006C1105">
        <w:rPr>
          <w:b/>
          <w:bCs/>
          <w:i/>
          <w:iCs/>
          <w:sz w:val="20"/>
          <w:szCs w:val="20"/>
        </w:rPr>
        <w:t>Table 1</w:t>
      </w:r>
      <w:r w:rsidRPr="006C1105">
        <w:rPr>
          <w:i/>
          <w:iCs/>
          <w:sz w:val="20"/>
          <w:szCs w:val="20"/>
        </w:rPr>
        <w:t xml:space="preserve"> – Possible tools assessing risk of bias </w:t>
      </w:r>
    </w:p>
    <w:tbl>
      <w:tblPr>
        <w:tblStyle w:val="GridTable6Colorful-Accent1"/>
        <w:tblW w:w="6687" w:type="dxa"/>
        <w:jc w:val="center"/>
        <w:tblLook w:val="04A0" w:firstRow="1" w:lastRow="0" w:firstColumn="1" w:lastColumn="0" w:noHBand="0" w:noVBand="1"/>
      </w:tblPr>
      <w:tblGrid>
        <w:gridCol w:w="3173"/>
        <w:gridCol w:w="3514"/>
      </w:tblGrid>
      <w:tr w:rsidR="00CB660F" w:rsidRPr="00CB660F" w14:paraId="5D28D829" w14:textId="77777777" w:rsidTr="00CB660F">
        <w:trPr>
          <w:cnfStyle w:val="100000000000" w:firstRow="1" w:lastRow="0" w:firstColumn="0" w:lastColumn="0" w:oddVBand="0" w:evenVBand="0" w:oddHBand="0"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3173" w:type="dxa"/>
            <w:noWrap/>
            <w:hideMark/>
          </w:tcPr>
          <w:p w14:paraId="5BD2CA47" w14:textId="77777777" w:rsidR="00CB660F" w:rsidRPr="00CB660F" w:rsidRDefault="00CB660F" w:rsidP="000A0003">
            <w:pPr>
              <w:jc w:val="both"/>
              <w:rPr>
                <w:rFonts w:ascii="Calibri" w:eastAsia="Times New Roman" w:hAnsi="Calibri" w:cs="Calibri"/>
                <w:color w:val="000000"/>
                <w:lang w:eastAsia="en-GB"/>
              </w:rPr>
            </w:pPr>
            <w:r w:rsidRPr="00CB660F">
              <w:rPr>
                <w:rFonts w:ascii="Calibri" w:eastAsia="Times New Roman" w:hAnsi="Calibri" w:cs="Calibri"/>
                <w:color w:val="000000"/>
                <w:lang w:eastAsia="en-GB"/>
              </w:rPr>
              <w:t>Tool</w:t>
            </w:r>
          </w:p>
        </w:tc>
        <w:tc>
          <w:tcPr>
            <w:tcW w:w="3514" w:type="dxa"/>
            <w:noWrap/>
            <w:hideMark/>
          </w:tcPr>
          <w:p w14:paraId="40A6E195" w14:textId="77777777" w:rsidR="00CB660F" w:rsidRPr="00CB660F" w:rsidRDefault="00CB660F" w:rsidP="000A0003">
            <w:pPr>
              <w:jc w:val="both"/>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CB660F">
              <w:rPr>
                <w:rFonts w:ascii="Calibri" w:eastAsia="Times New Roman" w:hAnsi="Calibri" w:cs="Calibri"/>
                <w:color w:val="000000"/>
                <w:lang w:eastAsia="en-GB"/>
              </w:rPr>
              <w:t>Type of study</w:t>
            </w:r>
          </w:p>
        </w:tc>
      </w:tr>
      <w:tr w:rsidR="00CB660F" w:rsidRPr="00CB660F" w14:paraId="2E20EF8E" w14:textId="77777777" w:rsidTr="00CB660F">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3173" w:type="dxa"/>
            <w:noWrap/>
            <w:hideMark/>
          </w:tcPr>
          <w:p w14:paraId="02F97E3B" w14:textId="77777777" w:rsidR="00CB660F" w:rsidRPr="00CB660F" w:rsidRDefault="00CB660F" w:rsidP="000A0003">
            <w:pPr>
              <w:jc w:val="both"/>
              <w:rPr>
                <w:rFonts w:ascii="Calibri" w:eastAsia="Times New Roman" w:hAnsi="Calibri" w:cs="Calibri"/>
                <w:b w:val="0"/>
                <w:bCs w:val="0"/>
                <w:color w:val="000000"/>
                <w:lang w:eastAsia="en-GB"/>
              </w:rPr>
            </w:pPr>
            <w:r w:rsidRPr="00CB660F">
              <w:rPr>
                <w:rFonts w:ascii="Calibri" w:eastAsia="Times New Roman" w:hAnsi="Calibri" w:cs="Calibri"/>
                <w:b w:val="0"/>
                <w:bCs w:val="0"/>
                <w:color w:val="000000"/>
                <w:lang w:eastAsia="en-GB"/>
              </w:rPr>
              <w:t xml:space="preserve">Cochrane </w:t>
            </w:r>
            <w:proofErr w:type="spellStart"/>
            <w:r w:rsidRPr="00CB660F">
              <w:rPr>
                <w:rFonts w:ascii="Calibri" w:eastAsia="Times New Roman" w:hAnsi="Calibri" w:cs="Calibri"/>
                <w:b w:val="0"/>
                <w:bCs w:val="0"/>
                <w:color w:val="000000"/>
                <w:lang w:eastAsia="en-GB"/>
              </w:rPr>
              <w:t>RoB</w:t>
            </w:r>
            <w:proofErr w:type="spellEnd"/>
            <w:r w:rsidRPr="00CB660F">
              <w:rPr>
                <w:rFonts w:ascii="Calibri" w:eastAsia="Times New Roman" w:hAnsi="Calibri" w:cs="Calibri"/>
                <w:b w:val="0"/>
                <w:bCs w:val="0"/>
                <w:color w:val="000000"/>
                <w:lang w:eastAsia="en-GB"/>
              </w:rPr>
              <w:t xml:space="preserve"> 2</w:t>
            </w:r>
          </w:p>
        </w:tc>
        <w:tc>
          <w:tcPr>
            <w:tcW w:w="3514" w:type="dxa"/>
            <w:noWrap/>
            <w:hideMark/>
          </w:tcPr>
          <w:p w14:paraId="386C4F09" w14:textId="77777777" w:rsidR="00CB660F" w:rsidRPr="00CB660F" w:rsidRDefault="00CB660F" w:rsidP="000A0003">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sidRPr="00CB660F">
              <w:rPr>
                <w:rFonts w:ascii="Calibri" w:eastAsia="Times New Roman" w:hAnsi="Calibri" w:cs="Calibri"/>
                <w:color w:val="000000"/>
                <w:lang w:eastAsia="en-GB"/>
              </w:rPr>
              <w:t>Experimental epidemiological study</w:t>
            </w:r>
          </w:p>
        </w:tc>
      </w:tr>
      <w:tr w:rsidR="00CB660F" w:rsidRPr="00CB660F" w14:paraId="47AC1021" w14:textId="77777777" w:rsidTr="00CB660F">
        <w:trPr>
          <w:trHeight w:val="290"/>
          <w:jc w:val="center"/>
        </w:trPr>
        <w:tc>
          <w:tcPr>
            <w:cnfStyle w:val="001000000000" w:firstRow="0" w:lastRow="0" w:firstColumn="1" w:lastColumn="0" w:oddVBand="0" w:evenVBand="0" w:oddHBand="0" w:evenHBand="0" w:firstRowFirstColumn="0" w:firstRowLastColumn="0" w:lastRowFirstColumn="0" w:lastRowLastColumn="0"/>
            <w:tcW w:w="3173" w:type="dxa"/>
            <w:noWrap/>
            <w:hideMark/>
          </w:tcPr>
          <w:p w14:paraId="4092D88D" w14:textId="77777777" w:rsidR="00CB660F" w:rsidRPr="00CB660F" w:rsidRDefault="00CB660F" w:rsidP="000A0003">
            <w:pPr>
              <w:jc w:val="both"/>
              <w:rPr>
                <w:rFonts w:ascii="Calibri" w:eastAsia="Times New Roman" w:hAnsi="Calibri" w:cs="Calibri"/>
                <w:b w:val="0"/>
                <w:bCs w:val="0"/>
                <w:color w:val="000000"/>
                <w:lang w:eastAsia="en-GB"/>
              </w:rPr>
            </w:pPr>
            <w:r w:rsidRPr="00CB660F">
              <w:rPr>
                <w:rFonts w:ascii="Calibri" w:eastAsia="Times New Roman" w:hAnsi="Calibri" w:cs="Calibri"/>
                <w:b w:val="0"/>
                <w:bCs w:val="0"/>
                <w:color w:val="000000"/>
                <w:lang w:eastAsia="en-GB"/>
              </w:rPr>
              <w:t xml:space="preserve">Newcastle - </w:t>
            </w:r>
            <w:proofErr w:type="spellStart"/>
            <w:r w:rsidRPr="00CB660F">
              <w:rPr>
                <w:rFonts w:ascii="Calibri" w:eastAsia="Times New Roman" w:hAnsi="Calibri" w:cs="Calibri"/>
                <w:b w:val="0"/>
                <w:bCs w:val="0"/>
                <w:color w:val="000000"/>
                <w:lang w:eastAsia="en-GB"/>
              </w:rPr>
              <w:t>Ottowa</w:t>
            </w:r>
            <w:proofErr w:type="spellEnd"/>
            <w:r w:rsidRPr="00CB660F">
              <w:rPr>
                <w:rFonts w:ascii="Calibri" w:eastAsia="Times New Roman" w:hAnsi="Calibri" w:cs="Calibri"/>
                <w:b w:val="0"/>
                <w:bCs w:val="0"/>
                <w:color w:val="000000"/>
                <w:lang w:eastAsia="en-GB"/>
              </w:rPr>
              <w:t xml:space="preserve"> Scale (NOS)</w:t>
            </w:r>
          </w:p>
        </w:tc>
        <w:tc>
          <w:tcPr>
            <w:tcW w:w="3514" w:type="dxa"/>
            <w:noWrap/>
            <w:hideMark/>
          </w:tcPr>
          <w:p w14:paraId="5C8A7B61" w14:textId="77777777" w:rsidR="00CB660F" w:rsidRPr="00CB660F" w:rsidRDefault="00CB660F" w:rsidP="000A0003">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CB660F">
              <w:rPr>
                <w:rFonts w:ascii="Calibri" w:eastAsia="Times New Roman" w:hAnsi="Calibri" w:cs="Calibri"/>
                <w:color w:val="000000"/>
                <w:lang w:eastAsia="en-GB"/>
              </w:rPr>
              <w:t>Case-control studies</w:t>
            </w:r>
          </w:p>
        </w:tc>
      </w:tr>
      <w:tr w:rsidR="00CB660F" w:rsidRPr="00CB660F" w14:paraId="2B6510B8" w14:textId="77777777" w:rsidTr="00CB660F">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3173" w:type="dxa"/>
            <w:noWrap/>
            <w:hideMark/>
          </w:tcPr>
          <w:p w14:paraId="2EF39E4D" w14:textId="77777777" w:rsidR="00CB660F" w:rsidRPr="00CB660F" w:rsidRDefault="00CB660F" w:rsidP="000A0003">
            <w:pPr>
              <w:jc w:val="both"/>
              <w:rPr>
                <w:rFonts w:ascii="Calibri" w:eastAsia="Times New Roman" w:hAnsi="Calibri" w:cs="Calibri"/>
                <w:b w:val="0"/>
                <w:bCs w:val="0"/>
                <w:color w:val="000000"/>
                <w:lang w:eastAsia="en-GB"/>
              </w:rPr>
            </w:pPr>
            <w:r w:rsidRPr="00CB660F">
              <w:rPr>
                <w:rFonts w:ascii="Calibri" w:eastAsia="Times New Roman" w:hAnsi="Calibri" w:cs="Calibri"/>
                <w:b w:val="0"/>
                <w:bCs w:val="0"/>
                <w:color w:val="000000"/>
                <w:lang w:eastAsia="en-GB"/>
              </w:rPr>
              <w:t>QUADAS-2</w:t>
            </w:r>
          </w:p>
        </w:tc>
        <w:tc>
          <w:tcPr>
            <w:tcW w:w="3514" w:type="dxa"/>
            <w:noWrap/>
            <w:hideMark/>
          </w:tcPr>
          <w:p w14:paraId="530CC16B" w14:textId="77777777" w:rsidR="00CB660F" w:rsidRPr="00CB660F" w:rsidRDefault="00CB660F" w:rsidP="000A0003">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GB"/>
              </w:rPr>
            </w:pPr>
            <w:r w:rsidRPr="00CB660F">
              <w:rPr>
                <w:rFonts w:ascii="Calibri" w:eastAsia="Times New Roman" w:hAnsi="Calibri" w:cs="Calibri"/>
                <w:color w:val="000000"/>
                <w:lang w:eastAsia="en-GB"/>
              </w:rPr>
              <w:t>Diagnostic studies</w:t>
            </w:r>
          </w:p>
        </w:tc>
      </w:tr>
    </w:tbl>
    <w:p w14:paraId="67A499C1" w14:textId="77777777" w:rsidR="00A269BB" w:rsidRDefault="00A269BB" w:rsidP="000A0003">
      <w:pPr>
        <w:jc w:val="both"/>
        <w:rPr>
          <w:b/>
          <w:bCs/>
        </w:rPr>
      </w:pPr>
    </w:p>
    <w:p w14:paraId="6EA94E8C" w14:textId="63524EC4" w:rsidR="005A5ED1" w:rsidRPr="005A5ED1" w:rsidRDefault="005A5ED1" w:rsidP="000A0003">
      <w:pPr>
        <w:jc w:val="both"/>
        <w:rPr>
          <w:b/>
          <w:bCs/>
        </w:rPr>
      </w:pPr>
      <w:r w:rsidRPr="005A5ED1">
        <w:rPr>
          <w:b/>
          <w:bCs/>
        </w:rPr>
        <w:t>Data Synthesis</w:t>
      </w:r>
    </w:p>
    <w:p w14:paraId="2F71407E" w14:textId="65C7FD5F" w:rsidR="00C10C30" w:rsidRDefault="00A94629" w:rsidP="000A0003">
      <w:pPr>
        <w:jc w:val="both"/>
      </w:pPr>
      <w:r>
        <w:t xml:space="preserve">Data will be synthesised using the </w:t>
      </w:r>
      <w:proofErr w:type="spellStart"/>
      <w:r>
        <w:t>SWiM</w:t>
      </w:r>
      <w:proofErr w:type="spellEnd"/>
      <w:r>
        <w:t xml:space="preserve"> framework, combining evidence by vote counting. </w:t>
      </w:r>
      <w:r w:rsidR="005952BC">
        <w:t>This will be done narratively, graphically</w:t>
      </w:r>
      <w:r w:rsidR="00667653">
        <w:t xml:space="preserve"> (</w:t>
      </w:r>
      <w:proofErr w:type="spellStart"/>
      <w:r w:rsidR="00667653">
        <w:t>eg</w:t>
      </w:r>
      <w:proofErr w:type="spellEnd"/>
      <w:r w:rsidR="00667653">
        <w:t xml:space="preserve"> harvest plots</w:t>
      </w:r>
      <w:r w:rsidR="00667653">
        <w:fldChar w:fldCharType="begin" w:fldLock="1"/>
      </w:r>
      <w:r w:rsidR="00A95096">
        <w:instrText>ADDIN CSL_CITATION {"citationItems":[{"id":"ITEM-1","itemData":{"DOI":"10.1186/1471-2288-8-8","ISSN":"14712288","PMID":"18298827","abstract":"Background. One attraction of meta-analysis is the forest plot, a compact overview of the essential data included in a systematic review and the overall 'result'. However, meta-analysis is not always suitable for synthesising evidence about the effects of interventions which may influence the wider determinants of health. As part of a systematic review of the effects of population-level tobacco control interventions on social inequalities in smoking, we designed a novel approach to synthesis intended to bring aspects of the graphical directness of a forest plot to bear on the problem of synthesising evidence from a complex and diverse group of studies. Methods. We coded the included studies (n = 85) on two methodological dimensions (suitability of study design and quality of execution) and extracted data on effects stratified by up to six different dimensions of inequality (income, occupation, education, gender, race or ethnicity, and age), distinguishing between 'hard' (behavioural) and 'intermediate' (process or attitudinal) outcomes. Adopting a hypothesis-testing approach, we then assessed which of three competing hypotheses (positive social gradient, negative social gradient, or no gradient) was best supported by each study for each dimension of inequality. Results. We plotted the results on a matrix ('harvest plot') for each category of intervention, weighting studies by the methodological criteria and distributing them between the competing hypotheses. These matrices formed part of the analytical process and helped to encapsulate the output, for example by drawing attention to the finding that increasing the price of tobacco products may be more effective in discouraging smoking among people with lower incomes and in lower occupational groups. Conclusion. The harvest plot is a novel and useful method for synthesising evidence about the differential effects of population-level interventions. It contributes to the challenge of making best use of all available evidence by incorporating all relevant data. The visual display assists both the process of synthesis and the assimilation of the findings. The method is suitable for adaptation to a variety of questions in evidence synthesis and may be particularly useful for systematic reviews addressing the broader type of research question which may be most relevant to policymakers. © 2008 Ogilvie et al; licensee BioMed Central Ltd.","author":[{"dropping-particle":"","family":"Ogilvie","given":"David","non-dropping-particle":"","parse-names":false,"suffix":""},{"dropping-particle":"","family":"Fayter","given":"Debra","non-dropping-particle":"","parse-names":false,"suffix":""},{"dropping-particle":"","family":"Petticrew","given":"Mark","non-dropping-particle":"","parse-names":false,"suffix":""},{"dropping-particle":"","family":"Sowden","given":"Amanda","non-dropping-particle":"","parse-names":false,"suffix":""},{"dropping-particle":"","family":"Thomas","given":"Sian","non-dropping-particle":"","parse-names":false,"suffix":""},{"dropping-particle":"","family":"Whitehead","given":"Margaret","non-dropping-particle":"","parse-names":false,"suffix":""},{"dropping-particle":"","family":"Worthy","given":"Gill","non-dropping-particle":"","parse-names":false,"suffix":""}],"container-title":"BMC Medical Research Methodology","id":"ITEM-1","issue":"1","issued":{"date-parts":[["2008","12","25"]]},"page":"8","publisher":"BioMed Central","title":"The harvest plot: A method for synthesising evidence about the differential effects of interventions","type":"article-journal","volume":"8"},"uris":["http://www.mendeley.com/documents/?uuid=f3fd0efc-1108-3ed9-97e6-c66c57aa0584"]}],"mendeley":{"formattedCitation":"&lt;sup&gt;8&lt;/sup&gt;","plainTextFormattedCitation":"8","previouslyFormattedCitation":"&lt;sup&gt;7&lt;/sup&gt;"},"properties":{"noteIndex":0},"schema":"https://github.com/citation-style-language/schema/raw/master/csl-citation.json"}</w:instrText>
      </w:r>
      <w:r w:rsidR="00667653">
        <w:fldChar w:fldCharType="separate"/>
      </w:r>
      <w:r w:rsidR="00A95096" w:rsidRPr="00A95096">
        <w:rPr>
          <w:noProof/>
          <w:vertAlign w:val="superscript"/>
        </w:rPr>
        <w:t>8</w:t>
      </w:r>
      <w:r w:rsidR="00667653">
        <w:fldChar w:fldCharType="end"/>
      </w:r>
      <w:r w:rsidR="00667653">
        <w:t>)</w:t>
      </w:r>
      <w:r w:rsidR="005952BC">
        <w:t xml:space="preserve"> and in tabular form to help interpret results. </w:t>
      </w:r>
      <w:r w:rsidR="00C10C30">
        <w:t xml:space="preserve">Given the comprehensive nature of the evidence we will be searching, we will not be assessing meta-biases of the studies included. </w:t>
      </w:r>
    </w:p>
    <w:p w14:paraId="7B529F03" w14:textId="5129D76A" w:rsidR="005A5ED1" w:rsidRPr="006831BC" w:rsidRDefault="005A5ED1" w:rsidP="000A0003">
      <w:pPr>
        <w:jc w:val="both"/>
        <w:rPr>
          <w:b/>
          <w:bCs/>
        </w:rPr>
      </w:pPr>
      <w:r w:rsidRPr="006831BC">
        <w:rPr>
          <w:b/>
          <w:bCs/>
        </w:rPr>
        <w:t xml:space="preserve">Confidence in cumulative evidence </w:t>
      </w:r>
    </w:p>
    <w:p w14:paraId="489A226D" w14:textId="7B9B823A" w:rsidR="00A94629" w:rsidRDefault="005952BC" w:rsidP="000A0003">
      <w:pPr>
        <w:jc w:val="both"/>
      </w:pPr>
      <w:r>
        <w:t>Given the range of evidence we will be searching, we will be using the Grading of Recommendations Assessment, Development, and Evaluation (GRADE) approach</w:t>
      </w:r>
      <w:r w:rsidR="00CB49BF">
        <w:t xml:space="preserve"> applicable to each type of study (epidemiological, diagnostic and modelling). </w:t>
      </w:r>
      <w:r w:rsidR="00667653">
        <w:fldChar w:fldCharType="begin" w:fldLock="1"/>
      </w:r>
      <w:r w:rsidR="00A95096">
        <w:instrText>ADDIN CSL_CITATION {"citationItems":[{"id":"ITEM-1","itemData":{"DOI":"10.1136/bmj.39489.470347.ad","ISSN":"09598146","PMID":"18436948","abstract":"Guidelines are inconsistent in how they rate the quality of evidence and the strength of recommendations. This article explores the advantages of the GRADE system, which is increasingly being adopted by organisations worldwide \n\n#### Summary points \n\nGuideline developers around the world are inconsistent in how they rate quality of evidence and grade strength of recommendations. As a result, guideline users face challenges in understanding the messages that grading systems try to communicate. Since 2006 the BMJ has requested in its “Instructions to Authors” on bmj.com that authors should preferably use the Grading of Recommendations Assessment, Development and Evaluation (GRADE) system for grading evidence when submitting a clinical guidelines article. What was behind this decision?\n\nIn this first in a series of five articles we will explain why many organisations use formal systems to grade evidence and recommendations and why this is important for clinicians; we will focus on the GRADE approach to recommendations. In the next two articles we will examine how the GRADE system categorises quality of evidence and strength of recommendations. The final two articles will …","author":[{"dropping-particle":"","family":"Guyatt","given":"Gordon H.","non-dropping-particle":"","parse-names":false,"suffix":""},{"dropping-particle":"","family":"Oxman","given":"Andrew D.","non-dropping-particle":"","parse-names":false,"suffix":""},{"dropping-particle":"","family":"Vist","given":"Gunn E.","non-dropping-particle":"","parse-names":false,"suffix":""},{"dropping-particle":"","family":"Kunz","given":"Regina","non-dropping-particle":"","parse-names":false,"suffix":""},{"dropping-particle":"","family":"Falck-Ytter","given":"Yngve","non-dropping-particle":"","parse-names":false,"suffix":""},{"dropping-particle":"","family":"Alonso-Coello","given":"Pablo","non-dropping-particle":"","parse-names":false,"suffix":""},{"dropping-particle":"","family":"Schünemann","given":"Holger J.","non-dropping-particle":"","parse-names":false,"suffix":""}],"container-title":"BMJ","id":"ITEM-1","issue":"7650","issued":{"date-parts":[["2008","4","26"]]},"page":"924-926","publisher":"BMJ Publishing Group","title":"GRADE: An emerging consensus on rating quality of evidence and strength of recommendations","type":"article-journal","volume":"336"},"uris":["http://www.mendeley.com/documents/?uuid=a8e03f36-8e01-3caf-98a1-77d1b0a1e8cd"]},{"id":"ITEM-2","itemData":{"DOI":"10.1136/bmj.39500.677199.ae","ISSN":"16722531","PMID":"18483053","abstract":"The GRADE system can be used to grade the quality of evidence and strength of recommendations for diagnostic tests or strategies. This article explains how patient-important outcomes are taken into account in this process\n\n#### Summary points\n\nIn this fourth article of the five part series, we describe how guideline developers are using GRADE to rate the quality of evidence and move from evidence to a recommendation for diagnostic tests and strategies. Although recommendations on diagnostic testing share the fundamental logic of recommendations on treatment, they present unique challenges. We will describe why guideline panels should be cautious when they use evidence of the accuracy of tests (“test accuracy”) as the basis for recommendations and why evidence of test accuracy often provides low quality evidence for making recommendations.\n\nClinicians use tests that are usually referred to as “diagnostic”—including signs and symptoms, imaging, biochemistry, pathology, and psychological testing—for various purposes.1 These purposes include identifying physiological derangements, establishing prognosis, monitoring illness and response to treatment, and diagnosis. This article …","author":[{"dropping-particle":"","family":"Schünemann","given":"Holger J.","non-dropping-particle":"","parse-names":false,"suffix":""},{"dropping-particle":"","family":"Oxman","given":"Andrew D.","non-dropping-particle":"","parse-names":false,"suffix":""},{"dropping-particle":"","family":"Brozek","given":"Jan","non-dropping-particle":"","parse-names":false,"suffix":""},{"dropping-particle":"","family":"Glasziou","given":"Paul","non-dropping-particle":"","parse-names":false,"suffix":""},{"dropping-particle":"","family":"Jaeschke","given":"Roman","non-dropping-particle":"","parse-names":false,"suffix":""},{"dropping-particle":"","family":"Vist","given":"Gunn E.","non-dropping-particle":"","parse-names":false,"suffix":""},{"dropping-particle":"","family":"Williams","given":"John W.","non-dropping-particle":"","parse-names":false,"suffix":""},{"dropping-particle":"","family":"Kunz","given":"Regina","non-dropping-particle":"","parse-names":false,"suffix":""},{"dropping-particle":"","family":"Craig","given":"Jonathan","non-dropping-particle":"","parse-names":false,"suffix":""},{"dropping-particle":"","family":"Montori","given":"Victor M.","non-dropping-particle":"","parse-names":false,"suffix":""},{"dropping-particle":"","family":"Bossuyt","given":"Patrick","non-dropping-particle":"","parse-names":false,"suffix":""},{"dropping-particle":"","family":"Guyatt","given":"Gordon H.","non-dropping-particle":"","parse-names":false,"suffix":""}],"container-title":"Chinese Journal of Evidence-Based Medicine","id":"ITEM-2","issue":"5","issued":{"date-parts":[["2009","5","15"]]},"page":"503-508","publisher":"British Medical Journal Publishing Group","title":"Grading quality of evidence and strength of recommendations for diagnostic tests and strategies","type":"article","volume":"9"},"uris":["http://www.mendeley.com/documents/?uuid=2ce4029c-4b36-3c1e-bbfb-f6854a4a06c3"]}],"mendeley":{"formattedCitation":"&lt;sup&gt;9,10&lt;/sup&gt;","plainTextFormattedCitation":"9,10","previouslyFormattedCitation":"&lt;sup&gt;8,9&lt;/sup&gt;"},"properties":{"noteIndex":0},"schema":"https://github.com/citation-style-language/schema/raw/master/csl-citation.json"}</w:instrText>
      </w:r>
      <w:r w:rsidR="00667653">
        <w:fldChar w:fldCharType="separate"/>
      </w:r>
      <w:r w:rsidR="00A95096" w:rsidRPr="00A95096">
        <w:rPr>
          <w:noProof/>
          <w:vertAlign w:val="superscript"/>
        </w:rPr>
        <w:t>9,10</w:t>
      </w:r>
      <w:r w:rsidR="00667653">
        <w:fldChar w:fldCharType="end"/>
      </w:r>
    </w:p>
    <w:p w14:paraId="50193646" w14:textId="77777777" w:rsidR="0018198C" w:rsidRDefault="0018198C" w:rsidP="00667653">
      <w:pPr>
        <w:pStyle w:val="Heading1"/>
      </w:pPr>
    </w:p>
    <w:p w14:paraId="09356FBC" w14:textId="4B8BDFE5" w:rsidR="00667653" w:rsidRDefault="00667653" w:rsidP="00667653">
      <w:pPr>
        <w:pStyle w:val="Heading1"/>
      </w:pPr>
      <w:r>
        <w:t xml:space="preserve">References </w:t>
      </w:r>
    </w:p>
    <w:p w14:paraId="0330F89C" w14:textId="3BCA19C8" w:rsidR="00A95096" w:rsidRPr="00A95096" w:rsidRDefault="00667653" w:rsidP="00A95096">
      <w:pPr>
        <w:widowControl w:val="0"/>
        <w:autoSpaceDE w:val="0"/>
        <w:autoSpaceDN w:val="0"/>
        <w:adjustRightInd w:val="0"/>
        <w:spacing w:line="240" w:lineRule="auto"/>
        <w:ind w:left="640" w:hanging="640"/>
        <w:rPr>
          <w:rFonts w:ascii="Calibri" w:hAnsi="Calibri" w:cs="Calibri"/>
          <w:noProof/>
          <w:szCs w:val="24"/>
        </w:rPr>
      </w:pPr>
      <w:r>
        <w:fldChar w:fldCharType="begin" w:fldLock="1"/>
      </w:r>
      <w:r>
        <w:instrText xml:space="preserve">ADDIN Mendeley Bibliography CSL_BIBLIOGRAPHY </w:instrText>
      </w:r>
      <w:r>
        <w:fldChar w:fldCharType="separate"/>
      </w:r>
      <w:r w:rsidR="00A95096" w:rsidRPr="00A95096">
        <w:rPr>
          <w:rFonts w:ascii="Calibri" w:hAnsi="Calibri" w:cs="Calibri"/>
          <w:noProof/>
          <w:szCs w:val="24"/>
        </w:rPr>
        <w:t>1.</w:t>
      </w:r>
      <w:r w:rsidR="00A95096" w:rsidRPr="00A95096">
        <w:rPr>
          <w:rFonts w:ascii="Calibri" w:hAnsi="Calibri" w:cs="Calibri"/>
          <w:noProof/>
          <w:szCs w:val="24"/>
        </w:rPr>
        <w:tab/>
        <w:t xml:space="preserve">Fornace, K. M. </w:t>
      </w:r>
      <w:r w:rsidR="00A95096" w:rsidRPr="00A95096">
        <w:rPr>
          <w:rFonts w:ascii="Calibri" w:hAnsi="Calibri" w:cs="Calibri"/>
          <w:i/>
          <w:iCs/>
          <w:noProof/>
          <w:szCs w:val="24"/>
        </w:rPr>
        <w:t>et al.</w:t>
      </w:r>
      <w:r w:rsidR="00A95096" w:rsidRPr="00A95096">
        <w:rPr>
          <w:rFonts w:ascii="Calibri" w:hAnsi="Calibri" w:cs="Calibri"/>
          <w:noProof/>
          <w:szCs w:val="24"/>
        </w:rPr>
        <w:t xml:space="preserve"> Environmental risk factors and exposure to the zoonotic malaria parasite Plasmodium knowlesi across northern Sabah, Malaysia: a population-based cross-sectional survey. </w:t>
      </w:r>
      <w:r w:rsidR="00A95096" w:rsidRPr="00A95096">
        <w:rPr>
          <w:rFonts w:ascii="Calibri" w:hAnsi="Calibri" w:cs="Calibri"/>
          <w:i/>
          <w:iCs/>
          <w:noProof/>
          <w:szCs w:val="24"/>
        </w:rPr>
        <w:t>Lancet Planet. Heal.</w:t>
      </w:r>
      <w:r w:rsidR="00A95096" w:rsidRPr="00A95096">
        <w:rPr>
          <w:rFonts w:ascii="Calibri" w:hAnsi="Calibri" w:cs="Calibri"/>
          <w:noProof/>
          <w:szCs w:val="24"/>
        </w:rPr>
        <w:t xml:space="preserve"> </w:t>
      </w:r>
      <w:r w:rsidR="00A95096" w:rsidRPr="00A95096">
        <w:rPr>
          <w:rFonts w:ascii="Calibri" w:hAnsi="Calibri" w:cs="Calibri"/>
          <w:b/>
          <w:bCs/>
          <w:noProof/>
          <w:szCs w:val="24"/>
        </w:rPr>
        <w:t>3</w:t>
      </w:r>
      <w:r w:rsidR="00A95096" w:rsidRPr="00A95096">
        <w:rPr>
          <w:rFonts w:ascii="Calibri" w:hAnsi="Calibri" w:cs="Calibri"/>
          <w:noProof/>
          <w:szCs w:val="24"/>
        </w:rPr>
        <w:t>, e179–e186 (2019).</w:t>
      </w:r>
    </w:p>
    <w:p w14:paraId="08BE39DD" w14:textId="77777777" w:rsidR="00A95096" w:rsidRPr="00A95096" w:rsidRDefault="00A95096" w:rsidP="00A95096">
      <w:pPr>
        <w:widowControl w:val="0"/>
        <w:autoSpaceDE w:val="0"/>
        <w:autoSpaceDN w:val="0"/>
        <w:adjustRightInd w:val="0"/>
        <w:spacing w:line="240" w:lineRule="auto"/>
        <w:ind w:left="640" w:hanging="640"/>
        <w:rPr>
          <w:rFonts w:ascii="Calibri" w:hAnsi="Calibri" w:cs="Calibri"/>
          <w:noProof/>
          <w:szCs w:val="24"/>
        </w:rPr>
      </w:pPr>
      <w:r w:rsidRPr="00A95096">
        <w:rPr>
          <w:rFonts w:ascii="Calibri" w:hAnsi="Calibri" w:cs="Calibri"/>
          <w:noProof/>
          <w:szCs w:val="24"/>
        </w:rPr>
        <w:t>2.</w:t>
      </w:r>
      <w:r w:rsidRPr="00A95096">
        <w:rPr>
          <w:rFonts w:ascii="Calibri" w:hAnsi="Calibri" w:cs="Calibri"/>
          <w:noProof/>
          <w:szCs w:val="24"/>
        </w:rPr>
        <w:tab/>
        <w:t xml:space="preserve">William, T. </w:t>
      </w:r>
      <w:r w:rsidRPr="00A95096">
        <w:rPr>
          <w:rFonts w:ascii="Calibri" w:hAnsi="Calibri" w:cs="Calibri"/>
          <w:i/>
          <w:iCs/>
          <w:noProof/>
          <w:szCs w:val="24"/>
        </w:rPr>
        <w:t>et al.</w:t>
      </w:r>
      <w:r w:rsidRPr="00A95096">
        <w:rPr>
          <w:rFonts w:ascii="Calibri" w:hAnsi="Calibri" w:cs="Calibri"/>
          <w:noProof/>
          <w:szCs w:val="24"/>
        </w:rPr>
        <w:t xml:space="preserve"> Changing epidemiology of malaria in Sabah, Malaysia: Increasing incidence of Plasmodium knowlesi. </w:t>
      </w:r>
      <w:r w:rsidRPr="00A95096">
        <w:rPr>
          <w:rFonts w:ascii="Calibri" w:hAnsi="Calibri" w:cs="Calibri"/>
          <w:i/>
          <w:iCs/>
          <w:noProof/>
          <w:szCs w:val="24"/>
        </w:rPr>
        <w:t>Malar. J.</w:t>
      </w:r>
      <w:r w:rsidRPr="00A95096">
        <w:rPr>
          <w:rFonts w:ascii="Calibri" w:hAnsi="Calibri" w:cs="Calibri"/>
          <w:noProof/>
          <w:szCs w:val="24"/>
        </w:rPr>
        <w:t xml:space="preserve"> </w:t>
      </w:r>
      <w:r w:rsidRPr="00A95096">
        <w:rPr>
          <w:rFonts w:ascii="Calibri" w:hAnsi="Calibri" w:cs="Calibri"/>
          <w:b/>
          <w:bCs/>
          <w:noProof/>
          <w:szCs w:val="24"/>
        </w:rPr>
        <w:t>13</w:t>
      </w:r>
      <w:r w:rsidRPr="00A95096">
        <w:rPr>
          <w:rFonts w:ascii="Calibri" w:hAnsi="Calibri" w:cs="Calibri"/>
          <w:noProof/>
          <w:szCs w:val="24"/>
        </w:rPr>
        <w:t>, 390 (2014).</w:t>
      </w:r>
    </w:p>
    <w:p w14:paraId="04BE87D1" w14:textId="77777777" w:rsidR="00A95096" w:rsidRPr="00A95096" w:rsidRDefault="00A95096" w:rsidP="00A95096">
      <w:pPr>
        <w:widowControl w:val="0"/>
        <w:autoSpaceDE w:val="0"/>
        <w:autoSpaceDN w:val="0"/>
        <w:adjustRightInd w:val="0"/>
        <w:spacing w:line="240" w:lineRule="auto"/>
        <w:ind w:left="640" w:hanging="640"/>
        <w:rPr>
          <w:rFonts w:ascii="Calibri" w:hAnsi="Calibri" w:cs="Calibri"/>
          <w:noProof/>
          <w:szCs w:val="24"/>
        </w:rPr>
      </w:pPr>
      <w:r w:rsidRPr="00A95096">
        <w:rPr>
          <w:rFonts w:ascii="Calibri" w:hAnsi="Calibri" w:cs="Calibri"/>
          <w:noProof/>
          <w:szCs w:val="24"/>
        </w:rPr>
        <w:t>3.</w:t>
      </w:r>
      <w:r w:rsidRPr="00A95096">
        <w:rPr>
          <w:rFonts w:ascii="Calibri" w:hAnsi="Calibri" w:cs="Calibri"/>
          <w:noProof/>
          <w:szCs w:val="24"/>
        </w:rPr>
        <w:tab/>
        <w:t xml:space="preserve">Wolfe, N. D., Dunavan, C. P. &amp; Diamond, J. Origins of major human infectious diseases. </w:t>
      </w:r>
      <w:r w:rsidRPr="00A95096">
        <w:rPr>
          <w:rFonts w:ascii="Calibri" w:hAnsi="Calibri" w:cs="Calibri"/>
          <w:i/>
          <w:iCs/>
          <w:noProof/>
          <w:szCs w:val="24"/>
        </w:rPr>
        <w:t>Nature</w:t>
      </w:r>
      <w:r w:rsidRPr="00A95096">
        <w:rPr>
          <w:rFonts w:ascii="Calibri" w:hAnsi="Calibri" w:cs="Calibri"/>
          <w:noProof/>
          <w:szCs w:val="24"/>
        </w:rPr>
        <w:t xml:space="preserve"> </w:t>
      </w:r>
      <w:r w:rsidRPr="00A95096">
        <w:rPr>
          <w:rFonts w:ascii="Calibri" w:hAnsi="Calibri" w:cs="Calibri"/>
          <w:b/>
          <w:bCs/>
          <w:noProof/>
          <w:szCs w:val="24"/>
        </w:rPr>
        <w:t>447</w:t>
      </w:r>
      <w:r w:rsidRPr="00A95096">
        <w:rPr>
          <w:rFonts w:ascii="Calibri" w:hAnsi="Calibri" w:cs="Calibri"/>
          <w:noProof/>
          <w:szCs w:val="24"/>
        </w:rPr>
        <w:t>, 279–283 (2007).</w:t>
      </w:r>
    </w:p>
    <w:p w14:paraId="1C6D0DB2" w14:textId="77777777" w:rsidR="00A95096" w:rsidRPr="00A95096" w:rsidRDefault="00A95096" w:rsidP="00A95096">
      <w:pPr>
        <w:widowControl w:val="0"/>
        <w:autoSpaceDE w:val="0"/>
        <w:autoSpaceDN w:val="0"/>
        <w:adjustRightInd w:val="0"/>
        <w:spacing w:line="240" w:lineRule="auto"/>
        <w:ind w:left="640" w:hanging="640"/>
        <w:rPr>
          <w:rFonts w:ascii="Calibri" w:hAnsi="Calibri" w:cs="Calibri"/>
          <w:noProof/>
          <w:szCs w:val="24"/>
        </w:rPr>
      </w:pPr>
      <w:r w:rsidRPr="00A95096">
        <w:rPr>
          <w:rFonts w:ascii="Calibri" w:hAnsi="Calibri" w:cs="Calibri"/>
          <w:noProof/>
          <w:szCs w:val="24"/>
        </w:rPr>
        <w:t>4.</w:t>
      </w:r>
      <w:r w:rsidRPr="00A95096">
        <w:rPr>
          <w:rFonts w:ascii="Calibri" w:hAnsi="Calibri" w:cs="Calibri"/>
          <w:noProof/>
          <w:szCs w:val="24"/>
        </w:rPr>
        <w:tab/>
        <w:t xml:space="preserve">Munn, Z., Moola, S., Lisy, K., Riitano, D. &amp; Tufanaru, C. Methodological guidance for systematic reviews of observational epidemiological studies reporting prevalence and cumulative incidence data. </w:t>
      </w:r>
      <w:r w:rsidRPr="00A95096">
        <w:rPr>
          <w:rFonts w:ascii="Calibri" w:hAnsi="Calibri" w:cs="Calibri"/>
          <w:i/>
          <w:iCs/>
          <w:noProof/>
          <w:szCs w:val="24"/>
        </w:rPr>
        <w:t>Int. J. Evid. Based. Healthc.</w:t>
      </w:r>
      <w:r w:rsidRPr="00A95096">
        <w:rPr>
          <w:rFonts w:ascii="Calibri" w:hAnsi="Calibri" w:cs="Calibri"/>
          <w:noProof/>
          <w:szCs w:val="24"/>
        </w:rPr>
        <w:t xml:space="preserve"> </w:t>
      </w:r>
      <w:r w:rsidRPr="00A95096">
        <w:rPr>
          <w:rFonts w:ascii="Calibri" w:hAnsi="Calibri" w:cs="Calibri"/>
          <w:b/>
          <w:bCs/>
          <w:noProof/>
          <w:szCs w:val="24"/>
        </w:rPr>
        <w:t>13</w:t>
      </w:r>
      <w:r w:rsidRPr="00A95096">
        <w:rPr>
          <w:rFonts w:ascii="Calibri" w:hAnsi="Calibri" w:cs="Calibri"/>
          <w:noProof/>
          <w:szCs w:val="24"/>
        </w:rPr>
        <w:t>, 147–153 (2015).</w:t>
      </w:r>
    </w:p>
    <w:p w14:paraId="1EB339C4" w14:textId="77777777" w:rsidR="00A95096" w:rsidRPr="00A95096" w:rsidRDefault="00A95096" w:rsidP="00A95096">
      <w:pPr>
        <w:widowControl w:val="0"/>
        <w:autoSpaceDE w:val="0"/>
        <w:autoSpaceDN w:val="0"/>
        <w:adjustRightInd w:val="0"/>
        <w:spacing w:line="240" w:lineRule="auto"/>
        <w:ind w:left="640" w:hanging="640"/>
        <w:rPr>
          <w:rFonts w:ascii="Calibri" w:hAnsi="Calibri" w:cs="Calibri"/>
          <w:noProof/>
          <w:szCs w:val="24"/>
        </w:rPr>
      </w:pPr>
      <w:r w:rsidRPr="00A95096">
        <w:rPr>
          <w:rFonts w:ascii="Calibri" w:hAnsi="Calibri" w:cs="Calibri"/>
          <w:noProof/>
          <w:szCs w:val="24"/>
        </w:rPr>
        <w:t>5.</w:t>
      </w:r>
      <w:r w:rsidRPr="00A95096">
        <w:rPr>
          <w:rFonts w:ascii="Calibri" w:hAnsi="Calibri" w:cs="Calibri"/>
          <w:noProof/>
          <w:szCs w:val="24"/>
        </w:rPr>
        <w:tab/>
        <w:t xml:space="preserve">McGowan, J. </w:t>
      </w:r>
      <w:r w:rsidRPr="00A95096">
        <w:rPr>
          <w:rFonts w:ascii="Calibri" w:hAnsi="Calibri" w:cs="Calibri"/>
          <w:i/>
          <w:iCs/>
          <w:noProof/>
          <w:szCs w:val="24"/>
        </w:rPr>
        <w:t>et al.</w:t>
      </w:r>
      <w:r w:rsidRPr="00A95096">
        <w:rPr>
          <w:rFonts w:ascii="Calibri" w:hAnsi="Calibri" w:cs="Calibri"/>
          <w:noProof/>
          <w:szCs w:val="24"/>
        </w:rPr>
        <w:t xml:space="preserve"> PRESS Peer Review of Electronic Search Strategies: 2015 Guideline Statement. </w:t>
      </w:r>
      <w:r w:rsidRPr="00A95096">
        <w:rPr>
          <w:rFonts w:ascii="Calibri" w:hAnsi="Calibri" w:cs="Calibri"/>
          <w:i/>
          <w:iCs/>
          <w:noProof/>
          <w:szCs w:val="24"/>
        </w:rPr>
        <w:t>J. Clin. Epidemiol.</w:t>
      </w:r>
      <w:r w:rsidRPr="00A95096">
        <w:rPr>
          <w:rFonts w:ascii="Calibri" w:hAnsi="Calibri" w:cs="Calibri"/>
          <w:noProof/>
          <w:szCs w:val="24"/>
        </w:rPr>
        <w:t xml:space="preserve"> </w:t>
      </w:r>
      <w:r w:rsidRPr="00A95096">
        <w:rPr>
          <w:rFonts w:ascii="Calibri" w:hAnsi="Calibri" w:cs="Calibri"/>
          <w:b/>
          <w:bCs/>
          <w:noProof/>
          <w:szCs w:val="24"/>
        </w:rPr>
        <w:t>75</w:t>
      </w:r>
      <w:r w:rsidRPr="00A95096">
        <w:rPr>
          <w:rFonts w:ascii="Calibri" w:hAnsi="Calibri" w:cs="Calibri"/>
          <w:noProof/>
          <w:szCs w:val="24"/>
        </w:rPr>
        <w:t>, 40–46 (2016).</w:t>
      </w:r>
    </w:p>
    <w:p w14:paraId="5CBBC774" w14:textId="77777777" w:rsidR="00A95096" w:rsidRPr="00A95096" w:rsidRDefault="00A95096" w:rsidP="00A95096">
      <w:pPr>
        <w:widowControl w:val="0"/>
        <w:autoSpaceDE w:val="0"/>
        <w:autoSpaceDN w:val="0"/>
        <w:adjustRightInd w:val="0"/>
        <w:spacing w:line="240" w:lineRule="auto"/>
        <w:ind w:left="640" w:hanging="640"/>
        <w:rPr>
          <w:rFonts w:ascii="Calibri" w:hAnsi="Calibri" w:cs="Calibri"/>
          <w:noProof/>
          <w:szCs w:val="24"/>
        </w:rPr>
      </w:pPr>
      <w:r w:rsidRPr="00A95096">
        <w:rPr>
          <w:rFonts w:ascii="Calibri" w:hAnsi="Calibri" w:cs="Calibri"/>
          <w:noProof/>
          <w:szCs w:val="24"/>
        </w:rPr>
        <w:t>6.</w:t>
      </w:r>
      <w:r w:rsidRPr="00A95096">
        <w:rPr>
          <w:rFonts w:ascii="Calibri" w:hAnsi="Calibri" w:cs="Calibri"/>
          <w:noProof/>
          <w:szCs w:val="24"/>
        </w:rPr>
        <w:tab/>
        <w:t xml:space="preserve">Ouzzani, M., Hammady, H., Fedorowicz, Z. &amp; Elmagarmid, A. Rayyan-a web and mobile app for systematic reviews. </w:t>
      </w:r>
      <w:r w:rsidRPr="00A95096">
        <w:rPr>
          <w:rFonts w:ascii="Calibri" w:hAnsi="Calibri" w:cs="Calibri"/>
          <w:i/>
          <w:iCs/>
          <w:noProof/>
          <w:szCs w:val="24"/>
        </w:rPr>
        <w:t>Syst. Rev.</w:t>
      </w:r>
      <w:r w:rsidRPr="00A95096">
        <w:rPr>
          <w:rFonts w:ascii="Calibri" w:hAnsi="Calibri" w:cs="Calibri"/>
          <w:noProof/>
          <w:szCs w:val="24"/>
        </w:rPr>
        <w:t xml:space="preserve"> </w:t>
      </w:r>
      <w:r w:rsidRPr="00A95096">
        <w:rPr>
          <w:rFonts w:ascii="Calibri" w:hAnsi="Calibri" w:cs="Calibri"/>
          <w:b/>
          <w:bCs/>
          <w:noProof/>
          <w:szCs w:val="24"/>
        </w:rPr>
        <w:t>5</w:t>
      </w:r>
      <w:r w:rsidRPr="00A95096">
        <w:rPr>
          <w:rFonts w:ascii="Calibri" w:hAnsi="Calibri" w:cs="Calibri"/>
          <w:noProof/>
          <w:szCs w:val="24"/>
        </w:rPr>
        <w:t>, 210 (2016).</w:t>
      </w:r>
    </w:p>
    <w:p w14:paraId="2ADF9046" w14:textId="77777777" w:rsidR="00A95096" w:rsidRPr="00A95096" w:rsidRDefault="00A95096" w:rsidP="00A95096">
      <w:pPr>
        <w:widowControl w:val="0"/>
        <w:autoSpaceDE w:val="0"/>
        <w:autoSpaceDN w:val="0"/>
        <w:adjustRightInd w:val="0"/>
        <w:spacing w:line="240" w:lineRule="auto"/>
        <w:ind w:left="640" w:hanging="640"/>
        <w:rPr>
          <w:rFonts w:ascii="Calibri" w:hAnsi="Calibri" w:cs="Calibri"/>
          <w:noProof/>
          <w:szCs w:val="24"/>
        </w:rPr>
      </w:pPr>
      <w:r w:rsidRPr="00A95096">
        <w:rPr>
          <w:rFonts w:ascii="Calibri" w:hAnsi="Calibri" w:cs="Calibri"/>
          <w:noProof/>
          <w:szCs w:val="24"/>
        </w:rPr>
        <w:t>7.</w:t>
      </w:r>
      <w:r w:rsidRPr="00A95096">
        <w:rPr>
          <w:rFonts w:ascii="Calibri" w:hAnsi="Calibri" w:cs="Calibri"/>
          <w:noProof/>
          <w:szCs w:val="24"/>
        </w:rPr>
        <w:tab/>
        <w:t xml:space="preserve">Campbell, M. </w:t>
      </w:r>
      <w:r w:rsidRPr="00A95096">
        <w:rPr>
          <w:rFonts w:ascii="Calibri" w:hAnsi="Calibri" w:cs="Calibri"/>
          <w:i/>
          <w:iCs/>
          <w:noProof/>
          <w:szCs w:val="24"/>
        </w:rPr>
        <w:t>et al.</w:t>
      </w:r>
      <w:r w:rsidRPr="00A95096">
        <w:rPr>
          <w:rFonts w:ascii="Calibri" w:hAnsi="Calibri" w:cs="Calibri"/>
          <w:noProof/>
          <w:szCs w:val="24"/>
        </w:rPr>
        <w:t xml:space="preserve"> Synthesis without meta-analysis (SWiM) in systematic reviews: Reporting guideline. </w:t>
      </w:r>
      <w:r w:rsidRPr="00A95096">
        <w:rPr>
          <w:rFonts w:ascii="Calibri" w:hAnsi="Calibri" w:cs="Calibri"/>
          <w:i/>
          <w:iCs/>
          <w:noProof/>
          <w:szCs w:val="24"/>
        </w:rPr>
        <w:t>BMJ</w:t>
      </w:r>
      <w:r w:rsidRPr="00A95096">
        <w:rPr>
          <w:rFonts w:ascii="Calibri" w:hAnsi="Calibri" w:cs="Calibri"/>
          <w:noProof/>
          <w:szCs w:val="24"/>
        </w:rPr>
        <w:t xml:space="preserve"> </w:t>
      </w:r>
      <w:r w:rsidRPr="00A95096">
        <w:rPr>
          <w:rFonts w:ascii="Calibri" w:hAnsi="Calibri" w:cs="Calibri"/>
          <w:b/>
          <w:bCs/>
          <w:noProof/>
          <w:szCs w:val="24"/>
        </w:rPr>
        <w:t>368</w:t>
      </w:r>
      <w:r w:rsidRPr="00A95096">
        <w:rPr>
          <w:rFonts w:ascii="Calibri" w:hAnsi="Calibri" w:cs="Calibri"/>
          <w:noProof/>
          <w:szCs w:val="24"/>
        </w:rPr>
        <w:t>, (2020).</w:t>
      </w:r>
    </w:p>
    <w:p w14:paraId="5DAE8CD1" w14:textId="77777777" w:rsidR="00A95096" w:rsidRPr="00A95096" w:rsidRDefault="00A95096" w:rsidP="00A95096">
      <w:pPr>
        <w:widowControl w:val="0"/>
        <w:autoSpaceDE w:val="0"/>
        <w:autoSpaceDN w:val="0"/>
        <w:adjustRightInd w:val="0"/>
        <w:spacing w:line="240" w:lineRule="auto"/>
        <w:ind w:left="640" w:hanging="640"/>
        <w:rPr>
          <w:rFonts w:ascii="Calibri" w:hAnsi="Calibri" w:cs="Calibri"/>
          <w:noProof/>
          <w:szCs w:val="24"/>
        </w:rPr>
      </w:pPr>
      <w:r w:rsidRPr="00A95096">
        <w:rPr>
          <w:rFonts w:ascii="Calibri" w:hAnsi="Calibri" w:cs="Calibri"/>
          <w:noProof/>
          <w:szCs w:val="24"/>
        </w:rPr>
        <w:t>8.</w:t>
      </w:r>
      <w:r w:rsidRPr="00A95096">
        <w:rPr>
          <w:rFonts w:ascii="Calibri" w:hAnsi="Calibri" w:cs="Calibri"/>
          <w:noProof/>
          <w:szCs w:val="24"/>
        </w:rPr>
        <w:tab/>
        <w:t xml:space="preserve">Ogilvie, D. </w:t>
      </w:r>
      <w:r w:rsidRPr="00A95096">
        <w:rPr>
          <w:rFonts w:ascii="Calibri" w:hAnsi="Calibri" w:cs="Calibri"/>
          <w:i/>
          <w:iCs/>
          <w:noProof/>
          <w:szCs w:val="24"/>
        </w:rPr>
        <w:t>et al.</w:t>
      </w:r>
      <w:r w:rsidRPr="00A95096">
        <w:rPr>
          <w:rFonts w:ascii="Calibri" w:hAnsi="Calibri" w:cs="Calibri"/>
          <w:noProof/>
          <w:szCs w:val="24"/>
        </w:rPr>
        <w:t xml:space="preserve"> The harvest plot: A method for synthesising evidence about the differential effects of interventions. </w:t>
      </w:r>
      <w:r w:rsidRPr="00A95096">
        <w:rPr>
          <w:rFonts w:ascii="Calibri" w:hAnsi="Calibri" w:cs="Calibri"/>
          <w:i/>
          <w:iCs/>
          <w:noProof/>
          <w:szCs w:val="24"/>
        </w:rPr>
        <w:t>BMC Med. Res. Methodol.</w:t>
      </w:r>
      <w:r w:rsidRPr="00A95096">
        <w:rPr>
          <w:rFonts w:ascii="Calibri" w:hAnsi="Calibri" w:cs="Calibri"/>
          <w:noProof/>
          <w:szCs w:val="24"/>
        </w:rPr>
        <w:t xml:space="preserve"> </w:t>
      </w:r>
      <w:r w:rsidRPr="00A95096">
        <w:rPr>
          <w:rFonts w:ascii="Calibri" w:hAnsi="Calibri" w:cs="Calibri"/>
          <w:b/>
          <w:bCs/>
          <w:noProof/>
          <w:szCs w:val="24"/>
        </w:rPr>
        <w:t>8</w:t>
      </w:r>
      <w:r w:rsidRPr="00A95096">
        <w:rPr>
          <w:rFonts w:ascii="Calibri" w:hAnsi="Calibri" w:cs="Calibri"/>
          <w:noProof/>
          <w:szCs w:val="24"/>
        </w:rPr>
        <w:t>, 8 (2008).</w:t>
      </w:r>
    </w:p>
    <w:p w14:paraId="0C5D2165" w14:textId="77777777" w:rsidR="00A95096" w:rsidRPr="00A95096" w:rsidRDefault="00A95096" w:rsidP="00A95096">
      <w:pPr>
        <w:widowControl w:val="0"/>
        <w:autoSpaceDE w:val="0"/>
        <w:autoSpaceDN w:val="0"/>
        <w:adjustRightInd w:val="0"/>
        <w:spacing w:line="240" w:lineRule="auto"/>
        <w:ind w:left="640" w:hanging="640"/>
        <w:rPr>
          <w:rFonts w:ascii="Calibri" w:hAnsi="Calibri" w:cs="Calibri"/>
          <w:noProof/>
          <w:szCs w:val="24"/>
        </w:rPr>
      </w:pPr>
      <w:r w:rsidRPr="00A95096">
        <w:rPr>
          <w:rFonts w:ascii="Calibri" w:hAnsi="Calibri" w:cs="Calibri"/>
          <w:noProof/>
          <w:szCs w:val="24"/>
        </w:rPr>
        <w:t>9.</w:t>
      </w:r>
      <w:r w:rsidRPr="00A95096">
        <w:rPr>
          <w:rFonts w:ascii="Calibri" w:hAnsi="Calibri" w:cs="Calibri"/>
          <w:noProof/>
          <w:szCs w:val="24"/>
        </w:rPr>
        <w:tab/>
        <w:t xml:space="preserve">Guyatt, G. H. </w:t>
      </w:r>
      <w:r w:rsidRPr="00A95096">
        <w:rPr>
          <w:rFonts w:ascii="Calibri" w:hAnsi="Calibri" w:cs="Calibri"/>
          <w:i/>
          <w:iCs/>
          <w:noProof/>
          <w:szCs w:val="24"/>
        </w:rPr>
        <w:t>et al.</w:t>
      </w:r>
      <w:r w:rsidRPr="00A95096">
        <w:rPr>
          <w:rFonts w:ascii="Calibri" w:hAnsi="Calibri" w:cs="Calibri"/>
          <w:noProof/>
          <w:szCs w:val="24"/>
        </w:rPr>
        <w:t xml:space="preserve"> GRADE: An emerging consensus on rating quality of evidence and strength of recommendations. </w:t>
      </w:r>
      <w:r w:rsidRPr="00A95096">
        <w:rPr>
          <w:rFonts w:ascii="Calibri" w:hAnsi="Calibri" w:cs="Calibri"/>
          <w:i/>
          <w:iCs/>
          <w:noProof/>
          <w:szCs w:val="24"/>
        </w:rPr>
        <w:t>BMJ</w:t>
      </w:r>
      <w:r w:rsidRPr="00A95096">
        <w:rPr>
          <w:rFonts w:ascii="Calibri" w:hAnsi="Calibri" w:cs="Calibri"/>
          <w:noProof/>
          <w:szCs w:val="24"/>
        </w:rPr>
        <w:t xml:space="preserve"> </w:t>
      </w:r>
      <w:r w:rsidRPr="00A95096">
        <w:rPr>
          <w:rFonts w:ascii="Calibri" w:hAnsi="Calibri" w:cs="Calibri"/>
          <w:b/>
          <w:bCs/>
          <w:noProof/>
          <w:szCs w:val="24"/>
        </w:rPr>
        <w:t>336</w:t>
      </w:r>
      <w:r w:rsidRPr="00A95096">
        <w:rPr>
          <w:rFonts w:ascii="Calibri" w:hAnsi="Calibri" w:cs="Calibri"/>
          <w:noProof/>
          <w:szCs w:val="24"/>
        </w:rPr>
        <w:t>, 924–926 (2008).</w:t>
      </w:r>
    </w:p>
    <w:p w14:paraId="6BD6CFA5" w14:textId="77777777" w:rsidR="00A95096" w:rsidRPr="00A95096" w:rsidRDefault="00A95096" w:rsidP="00A95096">
      <w:pPr>
        <w:widowControl w:val="0"/>
        <w:autoSpaceDE w:val="0"/>
        <w:autoSpaceDN w:val="0"/>
        <w:adjustRightInd w:val="0"/>
        <w:spacing w:line="240" w:lineRule="auto"/>
        <w:ind w:left="640" w:hanging="640"/>
        <w:rPr>
          <w:rFonts w:ascii="Calibri" w:hAnsi="Calibri" w:cs="Calibri"/>
          <w:noProof/>
        </w:rPr>
      </w:pPr>
      <w:r w:rsidRPr="00A95096">
        <w:rPr>
          <w:rFonts w:ascii="Calibri" w:hAnsi="Calibri" w:cs="Calibri"/>
          <w:noProof/>
          <w:szCs w:val="24"/>
        </w:rPr>
        <w:t>10.</w:t>
      </w:r>
      <w:r w:rsidRPr="00A95096">
        <w:rPr>
          <w:rFonts w:ascii="Calibri" w:hAnsi="Calibri" w:cs="Calibri"/>
          <w:noProof/>
          <w:szCs w:val="24"/>
        </w:rPr>
        <w:tab/>
        <w:t xml:space="preserve">Schünemann, H. J. </w:t>
      </w:r>
      <w:r w:rsidRPr="00A95096">
        <w:rPr>
          <w:rFonts w:ascii="Calibri" w:hAnsi="Calibri" w:cs="Calibri"/>
          <w:i/>
          <w:iCs/>
          <w:noProof/>
          <w:szCs w:val="24"/>
        </w:rPr>
        <w:t>et al.</w:t>
      </w:r>
      <w:r w:rsidRPr="00A95096">
        <w:rPr>
          <w:rFonts w:ascii="Calibri" w:hAnsi="Calibri" w:cs="Calibri"/>
          <w:noProof/>
          <w:szCs w:val="24"/>
        </w:rPr>
        <w:t xml:space="preserve"> Grading quality of evidence and strength of recommendations for diagnostic tests and strategies. </w:t>
      </w:r>
      <w:r w:rsidRPr="00A95096">
        <w:rPr>
          <w:rFonts w:ascii="Calibri" w:hAnsi="Calibri" w:cs="Calibri"/>
          <w:i/>
          <w:iCs/>
          <w:noProof/>
          <w:szCs w:val="24"/>
        </w:rPr>
        <w:t>Chinese Journal of Evidence-Based Medicine</w:t>
      </w:r>
      <w:r w:rsidRPr="00A95096">
        <w:rPr>
          <w:rFonts w:ascii="Calibri" w:hAnsi="Calibri" w:cs="Calibri"/>
          <w:noProof/>
          <w:szCs w:val="24"/>
        </w:rPr>
        <w:t xml:space="preserve"> </w:t>
      </w:r>
      <w:r w:rsidRPr="00A95096">
        <w:rPr>
          <w:rFonts w:ascii="Calibri" w:hAnsi="Calibri" w:cs="Calibri"/>
          <w:b/>
          <w:bCs/>
          <w:noProof/>
          <w:szCs w:val="24"/>
        </w:rPr>
        <w:t>9</w:t>
      </w:r>
      <w:r w:rsidRPr="00A95096">
        <w:rPr>
          <w:rFonts w:ascii="Calibri" w:hAnsi="Calibri" w:cs="Calibri"/>
          <w:noProof/>
          <w:szCs w:val="24"/>
        </w:rPr>
        <w:t>, 503–508 (2009).</w:t>
      </w:r>
    </w:p>
    <w:p w14:paraId="1C9061D1" w14:textId="472A9491" w:rsidR="00667653" w:rsidRDefault="00667653" w:rsidP="00667653">
      <w:r>
        <w:fldChar w:fldCharType="end"/>
      </w:r>
    </w:p>
    <w:p w14:paraId="479254C5" w14:textId="77777777" w:rsidR="00667653" w:rsidRDefault="00667653">
      <w:r>
        <w:br w:type="page"/>
      </w:r>
    </w:p>
    <w:p w14:paraId="40E01808" w14:textId="0AAF1754" w:rsidR="006C1105" w:rsidRDefault="006C1105" w:rsidP="006C1105">
      <w:pPr>
        <w:pStyle w:val="Heading1"/>
      </w:pPr>
      <w:r>
        <w:lastRenderedPageBreak/>
        <w:t>Appendi</w:t>
      </w:r>
      <w:r w:rsidR="00667653">
        <w:t xml:space="preserve">x I – Model Parameters </w:t>
      </w:r>
    </w:p>
    <w:p w14:paraId="1E9E125B" w14:textId="752D0659" w:rsidR="006C1105" w:rsidRDefault="006C1105" w:rsidP="006C1105">
      <w:r>
        <w:t>Data and evidence will be sought to help improve and inform the following model parameters:</w:t>
      </w:r>
    </w:p>
    <w:p w14:paraId="3132E7BB" w14:textId="77777777" w:rsidR="006C1105" w:rsidRDefault="006C1105" w:rsidP="006C1105">
      <w:pPr>
        <w:pStyle w:val="ListParagraph"/>
        <w:numPr>
          <w:ilvl w:val="0"/>
          <w:numId w:val="8"/>
        </w:numPr>
      </w:pPr>
      <w:r>
        <w:t>Human host-parasite interactions</w:t>
      </w:r>
    </w:p>
    <w:p w14:paraId="35268FD9" w14:textId="211FE2CC" w:rsidR="005F2D80" w:rsidRDefault="006C1105" w:rsidP="005F2D80">
      <w:pPr>
        <w:pStyle w:val="ListParagraph"/>
        <w:numPr>
          <w:ilvl w:val="1"/>
          <w:numId w:val="8"/>
        </w:numPr>
      </w:pPr>
      <w:r>
        <w:t>Parasite virulence</w:t>
      </w:r>
      <w:r w:rsidR="005F2D80" w:rsidRPr="005F2D80">
        <w:t xml:space="preserve"> </w:t>
      </w:r>
    </w:p>
    <w:p w14:paraId="08F0AD08" w14:textId="7457CDDA" w:rsidR="006C1105" w:rsidRDefault="005F2D80" w:rsidP="006C1105">
      <w:pPr>
        <w:pStyle w:val="ListParagraph"/>
        <w:numPr>
          <w:ilvl w:val="1"/>
          <w:numId w:val="8"/>
        </w:numPr>
      </w:pPr>
      <w:r>
        <w:t>Parasite binding to human red blood cells</w:t>
      </w:r>
    </w:p>
    <w:p w14:paraId="6C48BC5F" w14:textId="28689777" w:rsidR="005F2D80" w:rsidRDefault="005F2D80" w:rsidP="006C1105">
      <w:pPr>
        <w:pStyle w:val="ListParagraph"/>
        <w:numPr>
          <w:ilvl w:val="1"/>
          <w:numId w:val="8"/>
        </w:numPr>
      </w:pPr>
      <w:r>
        <w:t>Duration of infection/infectivity</w:t>
      </w:r>
    </w:p>
    <w:p w14:paraId="6D2580F7" w14:textId="1FCBBB10" w:rsidR="006C1105" w:rsidRDefault="006C1105" w:rsidP="006C1105">
      <w:pPr>
        <w:pStyle w:val="ListParagraph"/>
        <w:numPr>
          <w:ilvl w:val="0"/>
          <w:numId w:val="8"/>
        </w:numPr>
      </w:pPr>
      <w:r>
        <w:t>Human host-vector interactions</w:t>
      </w:r>
    </w:p>
    <w:p w14:paraId="65D40D62" w14:textId="63622516" w:rsidR="005F2D80" w:rsidRDefault="005F2D80" w:rsidP="005F2D80">
      <w:pPr>
        <w:pStyle w:val="ListParagraph"/>
        <w:numPr>
          <w:ilvl w:val="1"/>
          <w:numId w:val="8"/>
        </w:numPr>
      </w:pPr>
      <w:r>
        <w:t>Human-mosquito infectiousness</w:t>
      </w:r>
    </w:p>
    <w:p w14:paraId="52D186DB" w14:textId="77777777" w:rsidR="006C1105" w:rsidRDefault="006C1105" w:rsidP="006C1105">
      <w:pPr>
        <w:pStyle w:val="ListParagraph"/>
        <w:numPr>
          <w:ilvl w:val="1"/>
          <w:numId w:val="8"/>
        </w:numPr>
      </w:pPr>
      <w:r>
        <w:t>Human host biting rate</w:t>
      </w:r>
    </w:p>
    <w:p w14:paraId="4B2F549A" w14:textId="77777777" w:rsidR="006C1105" w:rsidRDefault="006C1105" w:rsidP="006C1105">
      <w:pPr>
        <w:pStyle w:val="ListParagraph"/>
        <w:numPr>
          <w:ilvl w:val="1"/>
          <w:numId w:val="8"/>
        </w:numPr>
      </w:pPr>
      <w:r>
        <w:t>Biting preference</w:t>
      </w:r>
    </w:p>
    <w:p w14:paraId="71CD7800" w14:textId="77777777" w:rsidR="006C1105" w:rsidRDefault="006C1105" w:rsidP="006C1105">
      <w:pPr>
        <w:pStyle w:val="ListParagraph"/>
        <w:numPr>
          <w:ilvl w:val="1"/>
          <w:numId w:val="8"/>
        </w:numPr>
      </w:pPr>
      <w:proofErr w:type="spellStart"/>
      <w:r>
        <w:t>Mosquito:</w:t>
      </w:r>
      <w:proofErr w:type="gramStart"/>
      <w:r>
        <w:t>humans</w:t>
      </w:r>
      <w:proofErr w:type="spellEnd"/>
      <w:proofErr w:type="gramEnd"/>
      <w:r>
        <w:t xml:space="preserve"> ratio</w:t>
      </w:r>
    </w:p>
    <w:p w14:paraId="728192F4" w14:textId="77777777" w:rsidR="006C1105" w:rsidRDefault="006C1105" w:rsidP="006C1105">
      <w:pPr>
        <w:pStyle w:val="ListParagraph"/>
        <w:numPr>
          <w:ilvl w:val="0"/>
          <w:numId w:val="8"/>
        </w:numPr>
      </w:pPr>
      <w:r>
        <w:t>Vector-parasite interactions</w:t>
      </w:r>
    </w:p>
    <w:p w14:paraId="6FEF9DB0" w14:textId="77777777" w:rsidR="006C1105" w:rsidRDefault="006C1105" w:rsidP="006C1105">
      <w:pPr>
        <w:pStyle w:val="ListParagraph"/>
        <w:numPr>
          <w:ilvl w:val="1"/>
          <w:numId w:val="8"/>
        </w:numPr>
      </w:pPr>
      <w:r>
        <w:t>Mosquito lifespan</w:t>
      </w:r>
    </w:p>
    <w:p w14:paraId="56815D4D" w14:textId="77777777" w:rsidR="006C1105" w:rsidRDefault="006C1105" w:rsidP="006C1105">
      <w:pPr>
        <w:pStyle w:val="ListParagraph"/>
        <w:numPr>
          <w:ilvl w:val="1"/>
          <w:numId w:val="8"/>
        </w:numPr>
      </w:pPr>
      <w:r>
        <w:t>Reproductive ability of parasite inside mosquito</w:t>
      </w:r>
    </w:p>
    <w:p w14:paraId="3BE53042" w14:textId="77777777" w:rsidR="006C1105" w:rsidRDefault="006C1105" w:rsidP="006C1105">
      <w:pPr>
        <w:pStyle w:val="ListParagraph"/>
        <w:numPr>
          <w:ilvl w:val="1"/>
          <w:numId w:val="8"/>
        </w:numPr>
      </w:pPr>
      <w:r>
        <w:t>Duration of development in mosquito</w:t>
      </w:r>
    </w:p>
    <w:p w14:paraId="62793349" w14:textId="77777777" w:rsidR="006C1105" w:rsidRDefault="006C1105" w:rsidP="006C1105">
      <w:pPr>
        <w:pStyle w:val="ListParagraph"/>
        <w:numPr>
          <w:ilvl w:val="0"/>
          <w:numId w:val="8"/>
        </w:numPr>
      </w:pPr>
      <w:r>
        <w:t>Simian host-vector interactions</w:t>
      </w:r>
    </w:p>
    <w:p w14:paraId="71B9139E" w14:textId="77777777" w:rsidR="006C1105" w:rsidRDefault="006C1105" w:rsidP="006C1105">
      <w:pPr>
        <w:pStyle w:val="ListParagraph"/>
        <w:numPr>
          <w:ilvl w:val="1"/>
          <w:numId w:val="8"/>
        </w:numPr>
      </w:pPr>
      <w:r>
        <w:t>Simian ecology</w:t>
      </w:r>
    </w:p>
    <w:p w14:paraId="53D004FD" w14:textId="63348AAE" w:rsidR="006C1105" w:rsidRDefault="006C1105" w:rsidP="006C1105">
      <w:pPr>
        <w:pStyle w:val="ListParagraph"/>
        <w:numPr>
          <w:ilvl w:val="1"/>
          <w:numId w:val="8"/>
        </w:numPr>
      </w:pPr>
      <w:r>
        <w:t>Biting rate</w:t>
      </w:r>
    </w:p>
    <w:p w14:paraId="6E5C477B" w14:textId="14CCF7B0" w:rsidR="006C1105" w:rsidRDefault="006C1105" w:rsidP="006C1105">
      <w:pPr>
        <w:pStyle w:val="ListParagraph"/>
        <w:numPr>
          <w:ilvl w:val="1"/>
          <w:numId w:val="8"/>
        </w:numPr>
      </w:pPr>
      <w:r>
        <w:t>Biting preference</w:t>
      </w:r>
    </w:p>
    <w:p w14:paraId="1646CABF" w14:textId="22732B79" w:rsidR="005F2D80" w:rsidRDefault="005F2D80" w:rsidP="006C1105">
      <w:pPr>
        <w:pStyle w:val="ListParagraph"/>
        <w:numPr>
          <w:ilvl w:val="1"/>
          <w:numId w:val="8"/>
        </w:numPr>
      </w:pPr>
      <w:r>
        <w:t>Duration of infection/infectivity</w:t>
      </w:r>
    </w:p>
    <w:p w14:paraId="5C470236" w14:textId="77777777" w:rsidR="00FD3105" w:rsidRDefault="00FD3105">
      <w:pPr>
        <w:sectPr w:rsidR="00FD3105">
          <w:pgSz w:w="11906" w:h="16838"/>
          <w:pgMar w:top="1440" w:right="1440" w:bottom="1440" w:left="1440" w:header="708" w:footer="708" w:gutter="0"/>
          <w:cols w:space="708"/>
          <w:docGrid w:linePitch="360"/>
        </w:sectPr>
      </w:pPr>
      <w:r>
        <w:br w:type="page"/>
      </w:r>
    </w:p>
    <w:p w14:paraId="7291510A" w14:textId="26350D2B" w:rsidR="00FD3105" w:rsidRDefault="00FD3105"/>
    <w:p w14:paraId="6487319A" w14:textId="14587528" w:rsidR="006C1105" w:rsidRDefault="00FD3105" w:rsidP="0000749E">
      <w:pPr>
        <w:pStyle w:val="Heading1"/>
      </w:pPr>
      <w:r>
        <w:t xml:space="preserve">Appendix II – Sample extraction forms </w:t>
      </w:r>
    </w:p>
    <w:p w14:paraId="0BD94486" w14:textId="77777777" w:rsidR="0000749E" w:rsidRDefault="0000749E" w:rsidP="000A0003">
      <w:pPr>
        <w:jc w:val="both"/>
      </w:pPr>
    </w:p>
    <w:p w14:paraId="209338C7" w14:textId="30857B55" w:rsidR="00FD3105" w:rsidRDefault="0000749E" w:rsidP="000A0003">
      <w:pPr>
        <w:jc w:val="both"/>
      </w:pPr>
      <w:r>
        <w:t>Evidence synthesis:</w:t>
      </w:r>
    </w:p>
    <w:tbl>
      <w:tblPr>
        <w:tblStyle w:val="GridTable1Light"/>
        <w:tblW w:w="9920" w:type="dxa"/>
        <w:tblLook w:val="04A0" w:firstRow="1" w:lastRow="0" w:firstColumn="1" w:lastColumn="0" w:noHBand="0" w:noVBand="1"/>
      </w:tblPr>
      <w:tblGrid>
        <w:gridCol w:w="360"/>
        <w:gridCol w:w="510"/>
        <w:gridCol w:w="777"/>
        <w:gridCol w:w="747"/>
        <w:gridCol w:w="516"/>
        <w:gridCol w:w="702"/>
        <w:gridCol w:w="2160"/>
        <w:gridCol w:w="920"/>
        <w:gridCol w:w="820"/>
        <w:gridCol w:w="1460"/>
        <w:gridCol w:w="1840"/>
      </w:tblGrid>
      <w:tr w:rsidR="0000749E" w:rsidRPr="0000749E" w14:paraId="1F176F1F" w14:textId="77777777" w:rsidTr="0000749E">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20" w:type="dxa"/>
            <w:shd w:val="clear" w:color="auto" w:fill="F2F2F2" w:themeFill="background1" w:themeFillShade="F2"/>
            <w:noWrap/>
            <w:hideMark/>
          </w:tcPr>
          <w:p w14:paraId="543D8FD6" w14:textId="77777777" w:rsidR="0000749E" w:rsidRPr="0000749E" w:rsidRDefault="0000749E" w:rsidP="0000749E">
            <w:pPr>
              <w:jc w:val="center"/>
              <w:rPr>
                <w:rFonts w:ascii="Calibri" w:eastAsia="Times New Roman" w:hAnsi="Calibri" w:cs="Calibri"/>
                <w:color w:val="000000"/>
                <w:sz w:val="16"/>
                <w:szCs w:val="16"/>
                <w:lang w:eastAsia="en-GB"/>
              </w:rPr>
            </w:pPr>
            <w:r w:rsidRPr="0000749E">
              <w:rPr>
                <w:rFonts w:ascii="Calibri" w:eastAsia="Times New Roman" w:hAnsi="Calibri" w:cs="Calibri"/>
                <w:color w:val="000000"/>
                <w:sz w:val="16"/>
                <w:szCs w:val="16"/>
                <w:lang w:eastAsia="en-GB"/>
              </w:rPr>
              <w:t>ID</w:t>
            </w:r>
          </w:p>
        </w:tc>
        <w:tc>
          <w:tcPr>
            <w:tcW w:w="400" w:type="dxa"/>
            <w:shd w:val="clear" w:color="auto" w:fill="F2F2F2" w:themeFill="background1" w:themeFillShade="F2"/>
            <w:noWrap/>
            <w:hideMark/>
          </w:tcPr>
          <w:p w14:paraId="58C3D79D" w14:textId="77777777" w:rsidR="0000749E" w:rsidRPr="0000749E" w:rsidRDefault="0000749E" w:rsidP="0000749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00749E">
              <w:rPr>
                <w:rFonts w:ascii="Calibri" w:eastAsia="Times New Roman" w:hAnsi="Calibri" w:cs="Calibri"/>
                <w:color w:val="000000"/>
                <w:sz w:val="16"/>
                <w:szCs w:val="16"/>
                <w:lang w:eastAsia="en-GB"/>
              </w:rPr>
              <w:t xml:space="preserve">Title </w:t>
            </w:r>
          </w:p>
        </w:tc>
        <w:tc>
          <w:tcPr>
            <w:tcW w:w="620" w:type="dxa"/>
            <w:shd w:val="clear" w:color="auto" w:fill="F2F2F2" w:themeFill="background1" w:themeFillShade="F2"/>
            <w:noWrap/>
            <w:hideMark/>
          </w:tcPr>
          <w:p w14:paraId="6C3377D3" w14:textId="77777777" w:rsidR="0000749E" w:rsidRPr="0000749E" w:rsidRDefault="0000749E" w:rsidP="0000749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00749E">
              <w:rPr>
                <w:rFonts w:ascii="Calibri" w:eastAsia="Times New Roman" w:hAnsi="Calibri" w:cs="Calibri"/>
                <w:color w:val="000000"/>
                <w:sz w:val="16"/>
                <w:szCs w:val="16"/>
                <w:lang w:eastAsia="en-GB"/>
              </w:rPr>
              <w:t>Abstract</w:t>
            </w:r>
          </w:p>
        </w:tc>
        <w:tc>
          <w:tcPr>
            <w:tcW w:w="580" w:type="dxa"/>
            <w:shd w:val="clear" w:color="auto" w:fill="F2F2F2" w:themeFill="background1" w:themeFillShade="F2"/>
            <w:noWrap/>
            <w:hideMark/>
          </w:tcPr>
          <w:p w14:paraId="0D88D909" w14:textId="77777777" w:rsidR="0000749E" w:rsidRPr="0000749E" w:rsidRDefault="0000749E" w:rsidP="0000749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00749E">
              <w:rPr>
                <w:rFonts w:ascii="Calibri" w:eastAsia="Times New Roman" w:hAnsi="Calibri" w:cs="Calibri"/>
                <w:color w:val="000000"/>
                <w:sz w:val="16"/>
                <w:szCs w:val="16"/>
                <w:lang w:eastAsia="en-GB"/>
              </w:rPr>
              <w:t>Authors</w:t>
            </w:r>
          </w:p>
        </w:tc>
        <w:tc>
          <w:tcPr>
            <w:tcW w:w="360" w:type="dxa"/>
            <w:shd w:val="clear" w:color="auto" w:fill="F2F2F2" w:themeFill="background1" w:themeFillShade="F2"/>
            <w:noWrap/>
            <w:hideMark/>
          </w:tcPr>
          <w:p w14:paraId="55FAD9A7" w14:textId="77777777" w:rsidR="0000749E" w:rsidRPr="0000749E" w:rsidRDefault="0000749E" w:rsidP="0000749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00749E">
              <w:rPr>
                <w:rFonts w:ascii="Calibri" w:eastAsia="Times New Roman" w:hAnsi="Calibri" w:cs="Calibri"/>
                <w:color w:val="000000"/>
                <w:sz w:val="16"/>
                <w:szCs w:val="16"/>
                <w:lang w:eastAsia="en-GB"/>
              </w:rPr>
              <w:t>Year</w:t>
            </w:r>
          </w:p>
        </w:tc>
        <w:tc>
          <w:tcPr>
            <w:tcW w:w="540" w:type="dxa"/>
            <w:shd w:val="clear" w:color="auto" w:fill="F2F2F2" w:themeFill="background1" w:themeFillShade="F2"/>
            <w:noWrap/>
            <w:hideMark/>
          </w:tcPr>
          <w:p w14:paraId="137CBC07" w14:textId="77777777" w:rsidR="0000749E" w:rsidRPr="0000749E" w:rsidRDefault="0000749E" w:rsidP="0000749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00749E">
              <w:rPr>
                <w:rFonts w:ascii="Calibri" w:eastAsia="Times New Roman" w:hAnsi="Calibri" w:cs="Calibri"/>
                <w:color w:val="000000"/>
                <w:sz w:val="16"/>
                <w:szCs w:val="16"/>
                <w:lang w:eastAsia="en-GB"/>
              </w:rPr>
              <w:t>Journal</w:t>
            </w:r>
          </w:p>
        </w:tc>
        <w:tc>
          <w:tcPr>
            <w:tcW w:w="2160" w:type="dxa"/>
            <w:shd w:val="clear" w:color="auto" w:fill="F2F2F2" w:themeFill="background1" w:themeFillShade="F2"/>
            <w:noWrap/>
            <w:hideMark/>
          </w:tcPr>
          <w:p w14:paraId="334622A6" w14:textId="77777777" w:rsidR="0000749E" w:rsidRPr="0000749E" w:rsidRDefault="0000749E" w:rsidP="0000749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00749E">
              <w:rPr>
                <w:rFonts w:ascii="Calibri" w:eastAsia="Times New Roman" w:hAnsi="Calibri" w:cs="Calibri"/>
                <w:color w:val="000000"/>
                <w:sz w:val="16"/>
                <w:szCs w:val="16"/>
                <w:lang w:eastAsia="en-GB"/>
              </w:rPr>
              <w:t>Evidence category (epi/lab/eco)</w:t>
            </w:r>
          </w:p>
        </w:tc>
        <w:tc>
          <w:tcPr>
            <w:tcW w:w="920" w:type="dxa"/>
            <w:shd w:val="clear" w:color="auto" w:fill="F2F2F2" w:themeFill="background1" w:themeFillShade="F2"/>
            <w:noWrap/>
            <w:hideMark/>
          </w:tcPr>
          <w:p w14:paraId="24AC066F" w14:textId="77777777" w:rsidR="0000749E" w:rsidRPr="0000749E" w:rsidRDefault="0000749E" w:rsidP="0000749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00749E">
              <w:rPr>
                <w:rFonts w:ascii="Calibri" w:eastAsia="Times New Roman" w:hAnsi="Calibri" w:cs="Calibri"/>
                <w:color w:val="000000"/>
                <w:sz w:val="16"/>
                <w:szCs w:val="16"/>
                <w:lang w:eastAsia="en-GB"/>
              </w:rPr>
              <w:t>Sub-category</w:t>
            </w:r>
          </w:p>
        </w:tc>
        <w:tc>
          <w:tcPr>
            <w:tcW w:w="820" w:type="dxa"/>
            <w:shd w:val="clear" w:color="auto" w:fill="F2F2F2" w:themeFill="background1" w:themeFillShade="F2"/>
            <w:noWrap/>
            <w:hideMark/>
          </w:tcPr>
          <w:p w14:paraId="767F98C7" w14:textId="77777777" w:rsidR="0000749E" w:rsidRPr="0000749E" w:rsidRDefault="0000749E" w:rsidP="0000749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00749E">
              <w:rPr>
                <w:rFonts w:ascii="Calibri" w:eastAsia="Times New Roman" w:hAnsi="Calibri" w:cs="Calibri"/>
                <w:color w:val="000000"/>
                <w:sz w:val="16"/>
                <w:szCs w:val="16"/>
                <w:lang w:eastAsia="en-GB"/>
              </w:rPr>
              <w:t>Risk of bias</w:t>
            </w:r>
          </w:p>
        </w:tc>
        <w:tc>
          <w:tcPr>
            <w:tcW w:w="1460" w:type="dxa"/>
            <w:shd w:val="clear" w:color="auto" w:fill="F2F2F2" w:themeFill="background1" w:themeFillShade="F2"/>
            <w:noWrap/>
            <w:hideMark/>
          </w:tcPr>
          <w:p w14:paraId="1814FCF0" w14:textId="77777777" w:rsidR="0000749E" w:rsidRPr="0000749E" w:rsidRDefault="0000749E" w:rsidP="0000749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00749E">
              <w:rPr>
                <w:rFonts w:ascii="Calibri" w:eastAsia="Times New Roman" w:hAnsi="Calibri" w:cs="Calibri"/>
                <w:color w:val="000000"/>
                <w:sz w:val="16"/>
                <w:szCs w:val="16"/>
                <w:lang w:eastAsia="en-GB"/>
              </w:rPr>
              <w:t>Certainty of evidence</w:t>
            </w:r>
          </w:p>
        </w:tc>
        <w:tc>
          <w:tcPr>
            <w:tcW w:w="1840" w:type="dxa"/>
            <w:shd w:val="clear" w:color="auto" w:fill="F2F2F2" w:themeFill="background1" w:themeFillShade="F2"/>
            <w:hideMark/>
          </w:tcPr>
          <w:p w14:paraId="7838335D" w14:textId="318BFBC4" w:rsidR="0000749E" w:rsidRPr="0000749E" w:rsidRDefault="0000749E" w:rsidP="0000749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00749E">
              <w:rPr>
                <w:rFonts w:ascii="Calibri" w:eastAsia="Times New Roman" w:hAnsi="Calibri" w:cs="Calibri"/>
                <w:color w:val="000000"/>
                <w:sz w:val="16"/>
                <w:szCs w:val="16"/>
                <w:lang w:eastAsia="en-GB"/>
              </w:rPr>
              <w:t>Direction of evidence (vote counting</w:t>
            </w:r>
            <w:r>
              <w:rPr>
                <w:rFonts w:ascii="Calibri" w:eastAsia="Times New Roman" w:hAnsi="Calibri" w:cs="Calibri"/>
                <w:color w:val="000000"/>
                <w:sz w:val="16"/>
                <w:szCs w:val="16"/>
                <w:lang w:eastAsia="en-GB"/>
              </w:rPr>
              <w:t xml:space="preserve">: </w:t>
            </w:r>
            <w:r>
              <w:rPr>
                <w:rFonts w:ascii="Calibri" w:eastAsia="Times New Roman" w:hAnsi="Calibri" w:cs="Calibri"/>
                <w:color w:val="000000"/>
                <w:sz w:val="16"/>
                <w:szCs w:val="16"/>
                <w:lang w:eastAsia="en-GB"/>
              </w:rPr>
              <w:sym w:font="Wingdings" w:char="F0E1"/>
            </w:r>
            <w:r>
              <w:rPr>
                <w:rFonts w:ascii="Calibri" w:eastAsia="Times New Roman" w:hAnsi="Calibri" w:cs="Calibri"/>
                <w:color w:val="000000"/>
                <w:sz w:val="16"/>
                <w:szCs w:val="16"/>
                <w:lang w:eastAsia="en-GB"/>
              </w:rPr>
              <w:t xml:space="preserve">, - , </w:t>
            </w:r>
            <w:r>
              <w:rPr>
                <w:rFonts w:ascii="Calibri" w:eastAsia="Times New Roman" w:hAnsi="Calibri" w:cs="Calibri"/>
                <w:color w:val="000000"/>
                <w:sz w:val="16"/>
                <w:szCs w:val="16"/>
                <w:lang w:eastAsia="en-GB"/>
              </w:rPr>
              <w:sym w:font="Wingdings" w:char="F0E2"/>
            </w:r>
            <w:r w:rsidRPr="0000749E">
              <w:rPr>
                <w:rFonts w:ascii="Calibri" w:eastAsia="Times New Roman" w:hAnsi="Calibri" w:cs="Calibri"/>
                <w:color w:val="000000"/>
                <w:sz w:val="16"/>
                <w:szCs w:val="16"/>
                <w:lang w:eastAsia="en-GB"/>
              </w:rPr>
              <w:t>)</w:t>
            </w:r>
          </w:p>
        </w:tc>
      </w:tr>
      <w:tr w:rsidR="0000749E" w:rsidRPr="0000749E" w14:paraId="688D8129" w14:textId="77777777" w:rsidTr="0000749E">
        <w:trPr>
          <w:trHeight w:val="290"/>
        </w:trPr>
        <w:tc>
          <w:tcPr>
            <w:cnfStyle w:val="001000000000" w:firstRow="0" w:lastRow="0" w:firstColumn="1" w:lastColumn="0" w:oddVBand="0" w:evenVBand="0" w:oddHBand="0" w:evenHBand="0" w:firstRowFirstColumn="0" w:firstRowLastColumn="0" w:lastRowFirstColumn="0" w:lastRowLastColumn="0"/>
            <w:tcW w:w="220" w:type="dxa"/>
            <w:noWrap/>
            <w:hideMark/>
          </w:tcPr>
          <w:p w14:paraId="610EC74F" w14:textId="77777777" w:rsidR="0000749E" w:rsidRPr="0000749E" w:rsidRDefault="0000749E" w:rsidP="0000749E">
            <w:pPr>
              <w:jc w:val="center"/>
              <w:rPr>
                <w:rFonts w:ascii="Calibri" w:eastAsia="Times New Roman" w:hAnsi="Calibri" w:cs="Calibri"/>
                <w:color w:val="000000"/>
                <w:sz w:val="16"/>
                <w:szCs w:val="16"/>
                <w:lang w:eastAsia="en-GB"/>
              </w:rPr>
            </w:pPr>
          </w:p>
        </w:tc>
        <w:tc>
          <w:tcPr>
            <w:tcW w:w="400" w:type="dxa"/>
            <w:noWrap/>
            <w:hideMark/>
          </w:tcPr>
          <w:p w14:paraId="0F0113BE"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620" w:type="dxa"/>
            <w:noWrap/>
            <w:hideMark/>
          </w:tcPr>
          <w:p w14:paraId="375F2509"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580" w:type="dxa"/>
            <w:noWrap/>
            <w:hideMark/>
          </w:tcPr>
          <w:p w14:paraId="581C88E9"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360" w:type="dxa"/>
            <w:noWrap/>
            <w:hideMark/>
          </w:tcPr>
          <w:p w14:paraId="59BD26CA"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540" w:type="dxa"/>
            <w:noWrap/>
            <w:hideMark/>
          </w:tcPr>
          <w:p w14:paraId="4885EC8C"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2160" w:type="dxa"/>
            <w:noWrap/>
            <w:hideMark/>
          </w:tcPr>
          <w:p w14:paraId="54D0968B"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920" w:type="dxa"/>
            <w:noWrap/>
            <w:hideMark/>
          </w:tcPr>
          <w:p w14:paraId="612C2A9C"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820" w:type="dxa"/>
            <w:noWrap/>
            <w:hideMark/>
          </w:tcPr>
          <w:p w14:paraId="766B93E3"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1460" w:type="dxa"/>
            <w:noWrap/>
            <w:hideMark/>
          </w:tcPr>
          <w:p w14:paraId="181556EA"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1840" w:type="dxa"/>
            <w:noWrap/>
            <w:hideMark/>
          </w:tcPr>
          <w:p w14:paraId="05B414C5"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00749E" w:rsidRPr="0000749E" w14:paraId="64165633" w14:textId="77777777" w:rsidTr="0000749E">
        <w:trPr>
          <w:trHeight w:val="290"/>
        </w:trPr>
        <w:tc>
          <w:tcPr>
            <w:cnfStyle w:val="001000000000" w:firstRow="0" w:lastRow="0" w:firstColumn="1" w:lastColumn="0" w:oddVBand="0" w:evenVBand="0" w:oddHBand="0" w:evenHBand="0" w:firstRowFirstColumn="0" w:firstRowLastColumn="0" w:lastRowFirstColumn="0" w:lastRowLastColumn="0"/>
            <w:tcW w:w="220" w:type="dxa"/>
            <w:noWrap/>
            <w:hideMark/>
          </w:tcPr>
          <w:p w14:paraId="17A0F98F" w14:textId="77777777" w:rsidR="0000749E" w:rsidRPr="0000749E" w:rsidRDefault="0000749E" w:rsidP="0000749E">
            <w:pPr>
              <w:rPr>
                <w:rFonts w:ascii="Times New Roman" w:eastAsia="Times New Roman" w:hAnsi="Times New Roman" w:cs="Times New Roman"/>
                <w:sz w:val="20"/>
                <w:szCs w:val="20"/>
                <w:lang w:eastAsia="en-GB"/>
              </w:rPr>
            </w:pPr>
          </w:p>
        </w:tc>
        <w:tc>
          <w:tcPr>
            <w:tcW w:w="400" w:type="dxa"/>
            <w:noWrap/>
            <w:hideMark/>
          </w:tcPr>
          <w:p w14:paraId="15929980"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620" w:type="dxa"/>
            <w:noWrap/>
            <w:hideMark/>
          </w:tcPr>
          <w:p w14:paraId="34177FF8"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580" w:type="dxa"/>
            <w:noWrap/>
            <w:hideMark/>
          </w:tcPr>
          <w:p w14:paraId="049516FA"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360" w:type="dxa"/>
            <w:noWrap/>
            <w:hideMark/>
          </w:tcPr>
          <w:p w14:paraId="669F2C0A"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540" w:type="dxa"/>
            <w:noWrap/>
            <w:hideMark/>
          </w:tcPr>
          <w:p w14:paraId="036976D2"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2160" w:type="dxa"/>
            <w:noWrap/>
            <w:hideMark/>
          </w:tcPr>
          <w:p w14:paraId="7FFFFB13"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920" w:type="dxa"/>
            <w:noWrap/>
            <w:hideMark/>
          </w:tcPr>
          <w:p w14:paraId="1A500F3A"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820" w:type="dxa"/>
            <w:noWrap/>
            <w:hideMark/>
          </w:tcPr>
          <w:p w14:paraId="0C64D959"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1460" w:type="dxa"/>
            <w:noWrap/>
            <w:hideMark/>
          </w:tcPr>
          <w:p w14:paraId="13F2E46E"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1840" w:type="dxa"/>
            <w:noWrap/>
            <w:hideMark/>
          </w:tcPr>
          <w:p w14:paraId="6832132B"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00749E" w:rsidRPr="0000749E" w14:paraId="13C58E8D" w14:textId="77777777" w:rsidTr="0000749E">
        <w:trPr>
          <w:trHeight w:val="290"/>
        </w:trPr>
        <w:tc>
          <w:tcPr>
            <w:cnfStyle w:val="001000000000" w:firstRow="0" w:lastRow="0" w:firstColumn="1" w:lastColumn="0" w:oddVBand="0" w:evenVBand="0" w:oddHBand="0" w:evenHBand="0" w:firstRowFirstColumn="0" w:firstRowLastColumn="0" w:lastRowFirstColumn="0" w:lastRowLastColumn="0"/>
            <w:tcW w:w="220" w:type="dxa"/>
            <w:noWrap/>
            <w:hideMark/>
          </w:tcPr>
          <w:p w14:paraId="47F5CCDA" w14:textId="77777777" w:rsidR="0000749E" w:rsidRPr="0000749E" w:rsidRDefault="0000749E" w:rsidP="0000749E">
            <w:pPr>
              <w:rPr>
                <w:rFonts w:ascii="Times New Roman" w:eastAsia="Times New Roman" w:hAnsi="Times New Roman" w:cs="Times New Roman"/>
                <w:sz w:val="20"/>
                <w:szCs w:val="20"/>
                <w:lang w:eastAsia="en-GB"/>
              </w:rPr>
            </w:pPr>
          </w:p>
        </w:tc>
        <w:tc>
          <w:tcPr>
            <w:tcW w:w="400" w:type="dxa"/>
            <w:noWrap/>
            <w:hideMark/>
          </w:tcPr>
          <w:p w14:paraId="3BC0975F"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620" w:type="dxa"/>
            <w:noWrap/>
            <w:hideMark/>
          </w:tcPr>
          <w:p w14:paraId="667BD89F"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580" w:type="dxa"/>
            <w:noWrap/>
            <w:hideMark/>
          </w:tcPr>
          <w:p w14:paraId="3832460C"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360" w:type="dxa"/>
            <w:noWrap/>
            <w:hideMark/>
          </w:tcPr>
          <w:p w14:paraId="7BB5FE9E"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540" w:type="dxa"/>
            <w:noWrap/>
            <w:hideMark/>
          </w:tcPr>
          <w:p w14:paraId="0FF5DF73"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2160" w:type="dxa"/>
            <w:noWrap/>
            <w:hideMark/>
          </w:tcPr>
          <w:p w14:paraId="6689EF8E"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920" w:type="dxa"/>
            <w:noWrap/>
            <w:hideMark/>
          </w:tcPr>
          <w:p w14:paraId="54B7FDF1"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820" w:type="dxa"/>
            <w:noWrap/>
            <w:hideMark/>
          </w:tcPr>
          <w:p w14:paraId="3195DAD9"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1460" w:type="dxa"/>
            <w:noWrap/>
            <w:hideMark/>
          </w:tcPr>
          <w:p w14:paraId="5CF97792"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1840" w:type="dxa"/>
            <w:noWrap/>
            <w:hideMark/>
          </w:tcPr>
          <w:p w14:paraId="696CF37A"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00749E" w:rsidRPr="0000749E" w14:paraId="3A75F220" w14:textId="77777777" w:rsidTr="0000749E">
        <w:trPr>
          <w:trHeight w:val="290"/>
        </w:trPr>
        <w:tc>
          <w:tcPr>
            <w:cnfStyle w:val="001000000000" w:firstRow="0" w:lastRow="0" w:firstColumn="1" w:lastColumn="0" w:oddVBand="0" w:evenVBand="0" w:oddHBand="0" w:evenHBand="0" w:firstRowFirstColumn="0" w:firstRowLastColumn="0" w:lastRowFirstColumn="0" w:lastRowLastColumn="0"/>
            <w:tcW w:w="220" w:type="dxa"/>
            <w:noWrap/>
            <w:hideMark/>
          </w:tcPr>
          <w:p w14:paraId="1CFA7B09" w14:textId="77777777" w:rsidR="0000749E" w:rsidRPr="0000749E" w:rsidRDefault="0000749E" w:rsidP="0000749E">
            <w:pPr>
              <w:rPr>
                <w:rFonts w:ascii="Times New Roman" w:eastAsia="Times New Roman" w:hAnsi="Times New Roman" w:cs="Times New Roman"/>
                <w:sz w:val="20"/>
                <w:szCs w:val="20"/>
                <w:lang w:eastAsia="en-GB"/>
              </w:rPr>
            </w:pPr>
          </w:p>
        </w:tc>
        <w:tc>
          <w:tcPr>
            <w:tcW w:w="400" w:type="dxa"/>
            <w:noWrap/>
            <w:hideMark/>
          </w:tcPr>
          <w:p w14:paraId="504ECA81"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620" w:type="dxa"/>
            <w:noWrap/>
            <w:hideMark/>
          </w:tcPr>
          <w:p w14:paraId="79BBA694"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580" w:type="dxa"/>
            <w:noWrap/>
            <w:hideMark/>
          </w:tcPr>
          <w:p w14:paraId="2EF2754D"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360" w:type="dxa"/>
            <w:noWrap/>
            <w:hideMark/>
          </w:tcPr>
          <w:p w14:paraId="268AD66D"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540" w:type="dxa"/>
            <w:noWrap/>
            <w:hideMark/>
          </w:tcPr>
          <w:p w14:paraId="3750EA11"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2160" w:type="dxa"/>
            <w:noWrap/>
            <w:hideMark/>
          </w:tcPr>
          <w:p w14:paraId="3630592E"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920" w:type="dxa"/>
            <w:noWrap/>
            <w:hideMark/>
          </w:tcPr>
          <w:p w14:paraId="77DA0CBA"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820" w:type="dxa"/>
            <w:noWrap/>
            <w:hideMark/>
          </w:tcPr>
          <w:p w14:paraId="032745AB"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1460" w:type="dxa"/>
            <w:noWrap/>
            <w:hideMark/>
          </w:tcPr>
          <w:p w14:paraId="14A85B9C"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1840" w:type="dxa"/>
            <w:noWrap/>
            <w:hideMark/>
          </w:tcPr>
          <w:p w14:paraId="19CF22C7"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bl>
    <w:p w14:paraId="59BBED06" w14:textId="0CA8ED8D" w:rsidR="00FD3105" w:rsidRDefault="00FD3105" w:rsidP="000A0003">
      <w:pPr>
        <w:jc w:val="both"/>
      </w:pPr>
    </w:p>
    <w:p w14:paraId="47ADFA70" w14:textId="11816996" w:rsidR="0000749E" w:rsidRDefault="0000749E" w:rsidP="000A0003">
      <w:pPr>
        <w:jc w:val="both"/>
      </w:pPr>
      <w:r>
        <w:t xml:space="preserve">Vector/host data extraction: </w:t>
      </w:r>
    </w:p>
    <w:tbl>
      <w:tblPr>
        <w:tblStyle w:val="GridTable1Light"/>
        <w:tblW w:w="7780" w:type="dxa"/>
        <w:tblLook w:val="04A0" w:firstRow="1" w:lastRow="0" w:firstColumn="1" w:lastColumn="0" w:noHBand="0" w:noVBand="1"/>
      </w:tblPr>
      <w:tblGrid>
        <w:gridCol w:w="360"/>
        <w:gridCol w:w="1032"/>
        <w:gridCol w:w="709"/>
        <w:gridCol w:w="1534"/>
        <w:gridCol w:w="761"/>
        <w:gridCol w:w="532"/>
        <w:gridCol w:w="747"/>
        <w:gridCol w:w="783"/>
        <w:gridCol w:w="766"/>
        <w:gridCol w:w="879"/>
        <w:gridCol w:w="892"/>
        <w:gridCol w:w="668"/>
      </w:tblGrid>
      <w:tr w:rsidR="0000749E" w:rsidRPr="0000749E" w14:paraId="3786D63B" w14:textId="77777777" w:rsidTr="0000749E">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00" w:type="dxa"/>
            <w:shd w:val="clear" w:color="auto" w:fill="F2F2F2" w:themeFill="background1" w:themeFillShade="F2"/>
            <w:noWrap/>
            <w:hideMark/>
          </w:tcPr>
          <w:p w14:paraId="3F2BE189" w14:textId="77777777" w:rsidR="0000749E" w:rsidRPr="0000749E" w:rsidRDefault="0000749E" w:rsidP="0000749E">
            <w:pPr>
              <w:jc w:val="center"/>
              <w:rPr>
                <w:rFonts w:ascii="Calibri" w:eastAsia="Times New Roman" w:hAnsi="Calibri" w:cs="Calibri"/>
                <w:color w:val="000000"/>
                <w:sz w:val="16"/>
                <w:szCs w:val="16"/>
                <w:lang w:eastAsia="en-GB"/>
              </w:rPr>
            </w:pPr>
            <w:r w:rsidRPr="0000749E">
              <w:rPr>
                <w:rFonts w:ascii="Calibri" w:eastAsia="Times New Roman" w:hAnsi="Calibri" w:cs="Calibri"/>
                <w:color w:val="000000"/>
                <w:sz w:val="16"/>
                <w:szCs w:val="16"/>
                <w:lang w:eastAsia="en-GB"/>
              </w:rPr>
              <w:t>ID</w:t>
            </w:r>
          </w:p>
        </w:tc>
        <w:tc>
          <w:tcPr>
            <w:tcW w:w="860" w:type="dxa"/>
            <w:shd w:val="clear" w:color="auto" w:fill="F2F2F2" w:themeFill="background1" w:themeFillShade="F2"/>
            <w:noWrap/>
            <w:hideMark/>
          </w:tcPr>
          <w:p w14:paraId="1178147F" w14:textId="77777777" w:rsidR="0000749E" w:rsidRPr="0000749E" w:rsidRDefault="0000749E" w:rsidP="0000749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00749E">
              <w:rPr>
                <w:rFonts w:ascii="Calibri" w:eastAsia="Times New Roman" w:hAnsi="Calibri" w:cs="Calibri"/>
                <w:color w:val="000000"/>
                <w:sz w:val="16"/>
                <w:szCs w:val="16"/>
                <w:lang w:eastAsia="en-GB"/>
              </w:rPr>
              <w:t>Vector/Host</w:t>
            </w:r>
          </w:p>
        </w:tc>
        <w:tc>
          <w:tcPr>
            <w:tcW w:w="560" w:type="dxa"/>
            <w:shd w:val="clear" w:color="auto" w:fill="F2F2F2" w:themeFill="background1" w:themeFillShade="F2"/>
            <w:noWrap/>
            <w:hideMark/>
          </w:tcPr>
          <w:p w14:paraId="46B709CD" w14:textId="77777777" w:rsidR="0000749E" w:rsidRPr="0000749E" w:rsidRDefault="0000749E" w:rsidP="0000749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00749E">
              <w:rPr>
                <w:rFonts w:ascii="Calibri" w:eastAsia="Times New Roman" w:hAnsi="Calibri" w:cs="Calibri"/>
                <w:color w:val="000000"/>
                <w:sz w:val="16"/>
                <w:szCs w:val="16"/>
                <w:lang w:eastAsia="en-GB"/>
              </w:rPr>
              <w:t>Species</w:t>
            </w:r>
          </w:p>
        </w:tc>
        <w:tc>
          <w:tcPr>
            <w:tcW w:w="1360" w:type="dxa"/>
            <w:shd w:val="clear" w:color="auto" w:fill="F2F2F2" w:themeFill="background1" w:themeFillShade="F2"/>
            <w:noWrap/>
            <w:hideMark/>
          </w:tcPr>
          <w:p w14:paraId="76FFEA1E" w14:textId="77777777" w:rsidR="0000749E" w:rsidRPr="0000749E" w:rsidRDefault="0000749E" w:rsidP="0000749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00749E">
              <w:rPr>
                <w:rFonts w:ascii="Calibri" w:eastAsia="Times New Roman" w:hAnsi="Calibri" w:cs="Calibri"/>
                <w:color w:val="000000"/>
                <w:sz w:val="16"/>
                <w:szCs w:val="16"/>
                <w:lang w:eastAsia="en-GB"/>
              </w:rPr>
              <w:t>Presence/</w:t>
            </w:r>
            <w:proofErr w:type="spellStart"/>
            <w:r w:rsidRPr="0000749E">
              <w:rPr>
                <w:rFonts w:ascii="Calibri" w:eastAsia="Times New Roman" w:hAnsi="Calibri" w:cs="Calibri"/>
                <w:color w:val="000000"/>
                <w:sz w:val="16"/>
                <w:szCs w:val="16"/>
                <w:lang w:eastAsia="en-GB"/>
              </w:rPr>
              <w:t>abundace</w:t>
            </w:r>
            <w:proofErr w:type="spellEnd"/>
          </w:p>
        </w:tc>
        <w:tc>
          <w:tcPr>
            <w:tcW w:w="580" w:type="dxa"/>
            <w:shd w:val="clear" w:color="auto" w:fill="F2F2F2" w:themeFill="background1" w:themeFillShade="F2"/>
            <w:noWrap/>
            <w:hideMark/>
          </w:tcPr>
          <w:p w14:paraId="52C56946" w14:textId="77777777" w:rsidR="0000749E" w:rsidRPr="0000749E" w:rsidRDefault="0000749E" w:rsidP="0000749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00749E">
              <w:rPr>
                <w:rFonts w:ascii="Calibri" w:eastAsia="Times New Roman" w:hAnsi="Calibri" w:cs="Calibri"/>
                <w:color w:val="000000"/>
                <w:sz w:val="16"/>
                <w:szCs w:val="16"/>
                <w:lang w:eastAsia="en-GB"/>
              </w:rPr>
              <w:t>Number</w:t>
            </w:r>
          </w:p>
        </w:tc>
        <w:tc>
          <w:tcPr>
            <w:tcW w:w="380" w:type="dxa"/>
            <w:shd w:val="clear" w:color="auto" w:fill="F2F2F2" w:themeFill="background1" w:themeFillShade="F2"/>
            <w:noWrap/>
            <w:hideMark/>
          </w:tcPr>
          <w:p w14:paraId="7A647D51" w14:textId="77777777" w:rsidR="0000749E" w:rsidRPr="0000749E" w:rsidRDefault="0000749E" w:rsidP="0000749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00749E">
              <w:rPr>
                <w:rFonts w:ascii="Calibri" w:eastAsia="Times New Roman" w:hAnsi="Calibri" w:cs="Calibri"/>
                <w:color w:val="000000"/>
                <w:sz w:val="16"/>
                <w:szCs w:val="16"/>
                <w:lang w:eastAsia="en-GB"/>
              </w:rPr>
              <w:t>Date</w:t>
            </w:r>
          </w:p>
        </w:tc>
        <w:tc>
          <w:tcPr>
            <w:tcW w:w="580" w:type="dxa"/>
            <w:shd w:val="clear" w:color="auto" w:fill="F2F2F2" w:themeFill="background1" w:themeFillShade="F2"/>
            <w:noWrap/>
            <w:hideMark/>
          </w:tcPr>
          <w:p w14:paraId="7C2872ED" w14:textId="77777777" w:rsidR="0000749E" w:rsidRPr="0000749E" w:rsidRDefault="0000749E" w:rsidP="0000749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00749E">
              <w:rPr>
                <w:rFonts w:ascii="Calibri" w:eastAsia="Times New Roman" w:hAnsi="Calibri" w:cs="Calibri"/>
                <w:color w:val="000000"/>
                <w:sz w:val="16"/>
                <w:szCs w:val="16"/>
                <w:lang w:eastAsia="en-GB"/>
              </w:rPr>
              <w:t>Country</w:t>
            </w:r>
          </w:p>
        </w:tc>
        <w:tc>
          <w:tcPr>
            <w:tcW w:w="620" w:type="dxa"/>
            <w:shd w:val="clear" w:color="auto" w:fill="F2F2F2" w:themeFill="background1" w:themeFillShade="F2"/>
            <w:noWrap/>
            <w:hideMark/>
          </w:tcPr>
          <w:p w14:paraId="36CDDA85" w14:textId="77777777" w:rsidR="0000749E" w:rsidRPr="0000749E" w:rsidRDefault="0000749E" w:rsidP="0000749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00749E">
              <w:rPr>
                <w:rFonts w:ascii="Calibri" w:eastAsia="Times New Roman" w:hAnsi="Calibri" w:cs="Calibri"/>
                <w:color w:val="000000"/>
                <w:sz w:val="16"/>
                <w:szCs w:val="16"/>
                <w:lang w:eastAsia="en-GB"/>
              </w:rPr>
              <w:t>Location</w:t>
            </w:r>
          </w:p>
        </w:tc>
        <w:tc>
          <w:tcPr>
            <w:tcW w:w="600" w:type="dxa"/>
            <w:shd w:val="clear" w:color="auto" w:fill="F2F2F2" w:themeFill="background1" w:themeFillShade="F2"/>
            <w:noWrap/>
            <w:hideMark/>
          </w:tcPr>
          <w:p w14:paraId="1244F3DD" w14:textId="77777777" w:rsidR="0000749E" w:rsidRPr="0000749E" w:rsidRDefault="0000749E" w:rsidP="0000749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00749E">
              <w:rPr>
                <w:rFonts w:ascii="Calibri" w:eastAsia="Times New Roman" w:hAnsi="Calibri" w:cs="Calibri"/>
                <w:color w:val="000000"/>
                <w:sz w:val="16"/>
                <w:szCs w:val="16"/>
                <w:lang w:eastAsia="en-GB"/>
              </w:rPr>
              <w:t>Latitude</w:t>
            </w:r>
          </w:p>
        </w:tc>
        <w:tc>
          <w:tcPr>
            <w:tcW w:w="720" w:type="dxa"/>
            <w:shd w:val="clear" w:color="auto" w:fill="F2F2F2" w:themeFill="background1" w:themeFillShade="F2"/>
            <w:noWrap/>
            <w:hideMark/>
          </w:tcPr>
          <w:p w14:paraId="7A4C2D10" w14:textId="77777777" w:rsidR="0000749E" w:rsidRPr="0000749E" w:rsidRDefault="0000749E" w:rsidP="0000749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00749E">
              <w:rPr>
                <w:rFonts w:ascii="Calibri" w:eastAsia="Times New Roman" w:hAnsi="Calibri" w:cs="Calibri"/>
                <w:color w:val="000000"/>
                <w:sz w:val="16"/>
                <w:szCs w:val="16"/>
                <w:lang w:eastAsia="en-GB"/>
              </w:rPr>
              <w:t>Longitude</w:t>
            </w:r>
          </w:p>
        </w:tc>
        <w:tc>
          <w:tcPr>
            <w:tcW w:w="720" w:type="dxa"/>
            <w:shd w:val="clear" w:color="auto" w:fill="F2F2F2" w:themeFill="background1" w:themeFillShade="F2"/>
            <w:noWrap/>
            <w:hideMark/>
          </w:tcPr>
          <w:p w14:paraId="5769BF77" w14:textId="77777777" w:rsidR="0000749E" w:rsidRPr="0000749E" w:rsidRDefault="0000749E" w:rsidP="0000749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proofErr w:type="spellStart"/>
            <w:r w:rsidRPr="0000749E">
              <w:rPr>
                <w:rFonts w:ascii="Calibri" w:eastAsia="Times New Roman" w:hAnsi="Calibri" w:cs="Calibri"/>
                <w:color w:val="000000"/>
                <w:sz w:val="16"/>
                <w:szCs w:val="16"/>
                <w:lang w:eastAsia="en-GB"/>
              </w:rPr>
              <w:t>Source_ID</w:t>
            </w:r>
            <w:proofErr w:type="spellEnd"/>
          </w:p>
        </w:tc>
        <w:tc>
          <w:tcPr>
            <w:tcW w:w="500" w:type="dxa"/>
            <w:shd w:val="clear" w:color="auto" w:fill="F2F2F2" w:themeFill="background1" w:themeFillShade="F2"/>
            <w:noWrap/>
            <w:hideMark/>
          </w:tcPr>
          <w:p w14:paraId="0EE30D6D" w14:textId="77777777" w:rsidR="0000749E" w:rsidRPr="0000749E" w:rsidRDefault="0000749E" w:rsidP="0000749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n-GB"/>
              </w:rPr>
            </w:pPr>
            <w:r w:rsidRPr="0000749E">
              <w:rPr>
                <w:rFonts w:ascii="Calibri" w:eastAsia="Times New Roman" w:hAnsi="Calibri" w:cs="Calibri"/>
                <w:color w:val="000000"/>
                <w:sz w:val="16"/>
                <w:szCs w:val="16"/>
                <w:lang w:eastAsia="en-GB"/>
              </w:rPr>
              <w:t>Source</w:t>
            </w:r>
          </w:p>
        </w:tc>
      </w:tr>
      <w:tr w:rsidR="0000749E" w:rsidRPr="0000749E" w14:paraId="4A9BD22E" w14:textId="77777777" w:rsidTr="0000749E">
        <w:trPr>
          <w:trHeight w:val="290"/>
        </w:trPr>
        <w:tc>
          <w:tcPr>
            <w:cnfStyle w:val="001000000000" w:firstRow="0" w:lastRow="0" w:firstColumn="1" w:lastColumn="0" w:oddVBand="0" w:evenVBand="0" w:oddHBand="0" w:evenHBand="0" w:firstRowFirstColumn="0" w:firstRowLastColumn="0" w:lastRowFirstColumn="0" w:lastRowLastColumn="0"/>
            <w:tcW w:w="300" w:type="dxa"/>
            <w:noWrap/>
            <w:hideMark/>
          </w:tcPr>
          <w:p w14:paraId="4AD561C9" w14:textId="77777777" w:rsidR="0000749E" w:rsidRPr="0000749E" w:rsidRDefault="0000749E" w:rsidP="0000749E">
            <w:pPr>
              <w:rPr>
                <w:rFonts w:ascii="Calibri" w:eastAsia="Times New Roman" w:hAnsi="Calibri" w:cs="Calibri"/>
                <w:color w:val="000000"/>
                <w:sz w:val="16"/>
                <w:szCs w:val="16"/>
                <w:lang w:eastAsia="en-GB"/>
              </w:rPr>
            </w:pPr>
          </w:p>
        </w:tc>
        <w:tc>
          <w:tcPr>
            <w:tcW w:w="860" w:type="dxa"/>
            <w:noWrap/>
            <w:hideMark/>
          </w:tcPr>
          <w:p w14:paraId="77153961"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560" w:type="dxa"/>
            <w:noWrap/>
            <w:hideMark/>
          </w:tcPr>
          <w:p w14:paraId="04472485"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1360" w:type="dxa"/>
            <w:noWrap/>
            <w:hideMark/>
          </w:tcPr>
          <w:p w14:paraId="3850B38C"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580" w:type="dxa"/>
            <w:noWrap/>
            <w:hideMark/>
          </w:tcPr>
          <w:p w14:paraId="0B04C24D"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380" w:type="dxa"/>
            <w:noWrap/>
            <w:hideMark/>
          </w:tcPr>
          <w:p w14:paraId="509EBF8A"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580" w:type="dxa"/>
            <w:noWrap/>
            <w:hideMark/>
          </w:tcPr>
          <w:p w14:paraId="7526FA7B"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620" w:type="dxa"/>
            <w:noWrap/>
            <w:hideMark/>
          </w:tcPr>
          <w:p w14:paraId="7364295B"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600" w:type="dxa"/>
            <w:noWrap/>
            <w:hideMark/>
          </w:tcPr>
          <w:p w14:paraId="64937ED1"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720" w:type="dxa"/>
            <w:noWrap/>
            <w:hideMark/>
          </w:tcPr>
          <w:p w14:paraId="09751463"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720" w:type="dxa"/>
            <w:noWrap/>
            <w:hideMark/>
          </w:tcPr>
          <w:p w14:paraId="6B9BC220"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500" w:type="dxa"/>
            <w:noWrap/>
            <w:hideMark/>
          </w:tcPr>
          <w:p w14:paraId="51732D40"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00749E" w:rsidRPr="0000749E" w14:paraId="46B9D75C" w14:textId="77777777" w:rsidTr="0000749E">
        <w:trPr>
          <w:trHeight w:val="290"/>
        </w:trPr>
        <w:tc>
          <w:tcPr>
            <w:cnfStyle w:val="001000000000" w:firstRow="0" w:lastRow="0" w:firstColumn="1" w:lastColumn="0" w:oddVBand="0" w:evenVBand="0" w:oddHBand="0" w:evenHBand="0" w:firstRowFirstColumn="0" w:firstRowLastColumn="0" w:lastRowFirstColumn="0" w:lastRowLastColumn="0"/>
            <w:tcW w:w="300" w:type="dxa"/>
            <w:noWrap/>
            <w:hideMark/>
          </w:tcPr>
          <w:p w14:paraId="56DB180F" w14:textId="77777777" w:rsidR="0000749E" w:rsidRPr="0000749E" w:rsidRDefault="0000749E" w:rsidP="0000749E">
            <w:pPr>
              <w:rPr>
                <w:rFonts w:ascii="Times New Roman" w:eastAsia="Times New Roman" w:hAnsi="Times New Roman" w:cs="Times New Roman"/>
                <w:sz w:val="20"/>
                <w:szCs w:val="20"/>
                <w:lang w:eastAsia="en-GB"/>
              </w:rPr>
            </w:pPr>
          </w:p>
        </w:tc>
        <w:tc>
          <w:tcPr>
            <w:tcW w:w="860" w:type="dxa"/>
            <w:noWrap/>
            <w:hideMark/>
          </w:tcPr>
          <w:p w14:paraId="2E36E020"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560" w:type="dxa"/>
            <w:noWrap/>
            <w:hideMark/>
          </w:tcPr>
          <w:p w14:paraId="0A40FBF4"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1360" w:type="dxa"/>
            <w:noWrap/>
            <w:hideMark/>
          </w:tcPr>
          <w:p w14:paraId="7A0E6853"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580" w:type="dxa"/>
            <w:noWrap/>
            <w:hideMark/>
          </w:tcPr>
          <w:p w14:paraId="15C52A32"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380" w:type="dxa"/>
            <w:noWrap/>
            <w:hideMark/>
          </w:tcPr>
          <w:p w14:paraId="47F08553"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580" w:type="dxa"/>
            <w:noWrap/>
            <w:hideMark/>
          </w:tcPr>
          <w:p w14:paraId="71378DBA"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620" w:type="dxa"/>
            <w:noWrap/>
            <w:hideMark/>
          </w:tcPr>
          <w:p w14:paraId="7B450AD5"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600" w:type="dxa"/>
            <w:noWrap/>
            <w:hideMark/>
          </w:tcPr>
          <w:p w14:paraId="22BD8DBC"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720" w:type="dxa"/>
            <w:noWrap/>
            <w:hideMark/>
          </w:tcPr>
          <w:p w14:paraId="5CF31E9E"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720" w:type="dxa"/>
            <w:noWrap/>
            <w:hideMark/>
          </w:tcPr>
          <w:p w14:paraId="75EA6B83"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500" w:type="dxa"/>
            <w:noWrap/>
            <w:hideMark/>
          </w:tcPr>
          <w:p w14:paraId="3D2B71CF"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00749E" w:rsidRPr="0000749E" w14:paraId="78B9F321" w14:textId="77777777" w:rsidTr="0000749E">
        <w:trPr>
          <w:trHeight w:val="290"/>
        </w:trPr>
        <w:tc>
          <w:tcPr>
            <w:cnfStyle w:val="001000000000" w:firstRow="0" w:lastRow="0" w:firstColumn="1" w:lastColumn="0" w:oddVBand="0" w:evenVBand="0" w:oddHBand="0" w:evenHBand="0" w:firstRowFirstColumn="0" w:firstRowLastColumn="0" w:lastRowFirstColumn="0" w:lastRowLastColumn="0"/>
            <w:tcW w:w="300" w:type="dxa"/>
            <w:noWrap/>
            <w:hideMark/>
          </w:tcPr>
          <w:p w14:paraId="6287B0FF" w14:textId="77777777" w:rsidR="0000749E" w:rsidRPr="0000749E" w:rsidRDefault="0000749E" w:rsidP="0000749E">
            <w:pPr>
              <w:rPr>
                <w:rFonts w:ascii="Times New Roman" w:eastAsia="Times New Roman" w:hAnsi="Times New Roman" w:cs="Times New Roman"/>
                <w:sz w:val="20"/>
                <w:szCs w:val="20"/>
                <w:lang w:eastAsia="en-GB"/>
              </w:rPr>
            </w:pPr>
          </w:p>
        </w:tc>
        <w:tc>
          <w:tcPr>
            <w:tcW w:w="860" w:type="dxa"/>
            <w:noWrap/>
            <w:hideMark/>
          </w:tcPr>
          <w:p w14:paraId="0A9E18E8"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560" w:type="dxa"/>
            <w:noWrap/>
            <w:hideMark/>
          </w:tcPr>
          <w:p w14:paraId="6E2E2FD4"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1360" w:type="dxa"/>
            <w:noWrap/>
            <w:hideMark/>
          </w:tcPr>
          <w:p w14:paraId="7CEDD704"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580" w:type="dxa"/>
            <w:noWrap/>
            <w:hideMark/>
          </w:tcPr>
          <w:p w14:paraId="4B5EB029"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380" w:type="dxa"/>
            <w:noWrap/>
            <w:hideMark/>
          </w:tcPr>
          <w:p w14:paraId="0A98EA8B"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580" w:type="dxa"/>
            <w:noWrap/>
            <w:hideMark/>
          </w:tcPr>
          <w:p w14:paraId="276A7B36"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620" w:type="dxa"/>
            <w:noWrap/>
            <w:hideMark/>
          </w:tcPr>
          <w:p w14:paraId="3B05A09B"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600" w:type="dxa"/>
            <w:noWrap/>
            <w:hideMark/>
          </w:tcPr>
          <w:p w14:paraId="61EF39EA"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720" w:type="dxa"/>
            <w:noWrap/>
            <w:hideMark/>
          </w:tcPr>
          <w:p w14:paraId="318DBD85"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720" w:type="dxa"/>
            <w:noWrap/>
            <w:hideMark/>
          </w:tcPr>
          <w:p w14:paraId="25AC664B"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500" w:type="dxa"/>
            <w:noWrap/>
            <w:hideMark/>
          </w:tcPr>
          <w:p w14:paraId="61DD0FF4" w14:textId="29267796"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00749E" w:rsidRPr="0000749E" w14:paraId="4F378600" w14:textId="77777777" w:rsidTr="0000749E">
        <w:trPr>
          <w:trHeight w:val="290"/>
        </w:trPr>
        <w:tc>
          <w:tcPr>
            <w:cnfStyle w:val="001000000000" w:firstRow="0" w:lastRow="0" w:firstColumn="1" w:lastColumn="0" w:oddVBand="0" w:evenVBand="0" w:oddHBand="0" w:evenHBand="0" w:firstRowFirstColumn="0" w:firstRowLastColumn="0" w:lastRowFirstColumn="0" w:lastRowLastColumn="0"/>
            <w:tcW w:w="300" w:type="dxa"/>
            <w:noWrap/>
          </w:tcPr>
          <w:p w14:paraId="3BF5C043" w14:textId="77777777" w:rsidR="0000749E" w:rsidRPr="0000749E" w:rsidRDefault="0000749E" w:rsidP="0000749E">
            <w:pPr>
              <w:rPr>
                <w:rFonts w:ascii="Times New Roman" w:eastAsia="Times New Roman" w:hAnsi="Times New Roman" w:cs="Times New Roman"/>
                <w:sz w:val="20"/>
                <w:szCs w:val="20"/>
                <w:lang w:eastAsia="en-GB"/>
              </w:rPr>
            </w:pPr>
          </w:p>
        </w:tc>
        <w:tc>
          <w:tcPr>
            <w:tcW w:w="860" w:type="dxa"/>
            <w:noWrap/>
          </w:tcPr>
          <w:p w14:paraId="5DDD9065"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560" w:type="dxa"/>
            <w:noWrap/>
          </w:tcPr>
          <w:p w14:paraId="17F96C87"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1360" w:type="dxa"/>
            <w:noWrap/>
          </w:tcPr>
          <w:p w14:paraId="56C537DB"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580" w:type="dxa"/>
            <w:noWrap/>
          </w:tcPr>
          <w:p w14:paraId="66FCAAF7"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380" w:type="dxa"/>
            <w:noWrap/>
          </w:tcPr>
          <w:p w14:paraId="0637C0D7"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580" w:type="dxa"/>
            <w:noWrap/>
          </w:tcPr>
          <w:p w14:paraId="23EDBC4B"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620" w:type="dxa"/>
            <w:noWrap/>
          </w:tcPr>
          <w:p w14:paraId="725D47F5"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600" w:type="dxa"/>
            <w:noWrap/>
          </w:tcPr>
          <w:p w14:paraId="7F9E837A"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720" w:type="dxa"/>
            <w:noWrap/>
          </w:tcPr>
          <w:p w14:paraId="7F26DAB9"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720" w:type="dxa"/>
            <w:noWrap/>
          </w:tcPr>
          <w:p w14:paraId="10A1F1B5"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c>
          <w:tcPr>
            <w:tcW w:w="500" w:type="dxa"/>
            <w:noWrap/>
          </w:tcPr>
          <w:p w14:paraId="2FC26207" w14:textId="77777777" w:rsidR="0000749E" w:rsidRPr="0000749E" w:rsidRDefault="0000749E" w:rsidP="000074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bl>
    <w:p w14:paraId="3E916805" w14:textId="77777777" w:rsidR="0000749E" w:rsidRPr="006C1105" w:rsidRDefault="0000749E" w:rsidP="000A0003">
      <w:pPr>
        <w:jc w:val="both"/>
      </w:pPr>
    </w:p>
    <w:sectPr w:rsidR="0000749E" w:rsidRPr="006C1105" w:rsidSect="00FD3105">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8E225C"/>
    <w:multiLevelType w:val="hybridMultilevel"/>
    <w:tmpl w:val="7B2CE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823E77"/>
    <w:multiLevelType w:val="hybridMultilevel"/>
    <w:tmpl w:val="5624F7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6A1A08"/>
    <w:multiLevelType w:val="hybridMultilevel"/>
    <w:tmpl w:val="9DB49A38"/>
    <w:lvl w:ilvl="0" w:tplc="4A30984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C034C7"/>
    <w:multiLevelType w:val="hybridMultilevel"/>
    <w:tmpl w:val="D68A1B1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4196CED"/>
    <w:multiLevelType w:val="hybridMultilevel"/>
    <w:tmpl w:val="EC7E4D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856DE8"/>
    <w:multiLevelType w:val="hybridMultilevel"/>
    <w:tmpl w:val="6FC2D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8129AE"/>
    <w:multiLevelType w:val="hybridMultilevel"/>
    <w:tmpl w:val="671C2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133D8C"/>
    <w:multiLevelType w:val="hybridMultilevel"/>
    <w:tmpl w:val="B0FAF3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587308"/>
    <w:multiLevelType w:val="hybridMultilevel"/>
    <w:tmpl w:val="A57AA6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B0041A"/>
    <w:multiLevelType w:val="hybridMultilevel"/>
    <w:tmpl w:val="2C1CB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A541FA"/>
    <w:multiLevelType w:val="hybridMultilevel"/>
    <w:tmpl w:val="C32292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120074"/>
    <w:multiLevelType w:val="hybridMultilevel"/>
    <w:tmpl w:val="D466F1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2E535A"/>
    <w:multiLevelType w:val="hybridMultilevel"/>
    <w:tmpl w:val="C5E699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F76CC0"/>
    <w:multiLevelType w:val="hybridMultilevel"/>
    <w:tmpl w:val="A478F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2"/>
  </w:num>
  <w:num w:numId="3">
    <w:abstractNumId w:val="10"/>
  </w:num>
  <w:num w:numId="4">
    <w:abstractNumId w:val="9"/>
  </w:num>
  <w:num w:numId="5">
    <w:abstractNumId w:val="1"/>
  </w:num>
  <w:num w:numId="6">
    <w:abstractNumId w:val="13"/>
  </w:num>
  <w:num w:numId="7">
    <w:abstractNumId w:val="5"/>
  </w:num>
  <w:num w:numId="8">
    <w:abstractNumId w:val="11"/>
  </w:num>
  <w:num w:numId="9">
    <w:abstractNumId w:val="4"/>
  </w:num>
  <w:num w:numId="10">
    <w:abstractNumId w:val="0"/>
  </w:num>
  <w:num w:numId="11">
    <w:abstractNumId w:val="3"/>
  </w:num>
  <w:num w:numId="12">
    <w:abstractNumId w:val="6"/>
  </w:num>
  <w:num w:numId="13">
    <w:abstractNumId w:val="8"/>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449"/>
    <w:rsid w:val="0000749E"/>
    <w:rsid w:val="00050EB2"/>
    <w:rsid w:val="000633A6"/>
    <w:rsid w:val="000718B8"/>
    <w:rsid w:val="000A0003"/>
    <w:rsid w:val="000A45BB"/>
    <w:rsid w:val="000D0CCC"/>
    <w:rsid w:val="000E21C3"/>
    <w:rsid w:val="00101F60"/>
    <w:rsid w:val="001247BB"/>
    <w:rsid w:val="00135FA6"/>
    <w:rsid w:val="0014179A"/>
    <w:rsid w:val="0018198C"/>
    <w:rsid w:val="00187197"/>
    <w:rsid w:val="001A7A64"/>
    <w:rsid w:val="001D329A"/>
    <w:rsid w:val="00222657"/>
    <w:rsid w:val="0022543A"/>
    <w:rsid w:val="0025303E"/>
    <w:rsid w:val="00270369"/>
    <w:rsid w:val="00274495"/>
    <w:rsid w:val="00283736"/>
    <w:rsid w:val="00295684"/>
    <w:rsid w:val="00296259"/>
    <w:rsid w:val="002B65A6"/>
    <w:rsid w:val="002E4020"/>
    <w:rsid w:val="0030389C"/>
    <w:rsid w:val="00321AD5"/>
    <w:rsid w:val="00323161"/>
    <w:rsid w:val="003456BB"/>
    <w:rsid w:val="00346A35"/>
    <w:rsid w:val="003476E7"/>
    <w:rsid w:val="003A04E3"/>
    <w:rsid w:val="003D7D5B"/>
    <w:rsid w:val="003E600F"/>
    <w:rsid w:val="00430A46"/>
    <w:rsid w:val="00433646"/>
    <w:rsid w:val="004375BC"/>
    <w:rsid w:val="004C0108"/>
    <w:rsid w:val="004D0B8F"/>
    <w:rsid w:val="004E1B6B"/>
    <w:rsid w:val="004E4C26"/>
    <w:rsid w:val="00516064"/>
    <w:rsid w:val="00527DFC"/>
    <w:rsid w:val="0053525E"/>
    <w:rsid w:val="00542D76"/>
    <w:rsid w:val="00564FC9"/>
    <w:rsid w:val="00576639"/>
    <w:rsid w:val="005952BC"/>
    <w:rsid w:val="005A5ED1"/>
    <w:rsid w:val="005F2D80"/>
    <w:rsid w:val="005F3AAC"/>
    <w:rsid w:val="0065541A"/>
    <w:rsid w:val="00667653"/>
    <w:rsid w:val="0068120A"/>
    <w:rsid w:val="006831BC"/>
    <w:rsid w:val="00684B1E"/>
    <w:rsid w:val="006A2A57"/>
    <w:rsid w:val="006C1105"/>
    <w:rsid w:val="006E3EB1"/>
    <w:rsid w:val="0074397F"/>
    <w:rsid w:val="00756D0C"/>
    <w:rsid w:val="007708D1"/>
    <w:rsid w:val="00783186"/>
    <w:rsid w:val="007A0B8A"/>
    <w:rsid w:val="007A46AC"/>
    <w:rsid w:val="007A59B3"/>
    <w:rsid w:val="007B79E6"/>
    <w:rsid w:val="00805BD8"/>
    <w:rsid w:val="00821523"/>
    <w:rsid w:val="008259BE"/>
    <w:rsid w:val="00832083"/>
    <w:rsid w:val="00840614"/>
    <w:rsid w:val="008E3E4F"/>
    <w:rsid w:val="008E7E26"/>
    <w:rsid w:val="00942A9F"/>
    <w:rsid w:val="00944BBD"/>
    <w:rsid w:val="009800FF"/>
    <w:rsid w:val="009B69BD"/>
    <w:rsid w:val="009E4C6D"/>
    <w:rsid w:val="009F01AD"/>
    <w:rsid w:val="00A242AA"/>
    <w:rsid w:val="00A269BB"/>
    <w:rsid w:val="00A46725"/>
    <w:rsid w:val="00A51E54"/>
    <w:rsid w:val="00A610CE"/>
    <w:rsid w:val="00A71B42"/>
    <w:rsid w:val="00A7536A"/>
    <w:rsid w:val="00A94629"/>
    <w:rsid w:val="00A94C0F"/>
    <w:rsid w:val="00A95096"/>
    <w:rsid w:val="00AA429E"/>
    <w:rsid w:val="00AA78F0"/>
    <w:rsid w:val="00AB0AEC"/>
    <w:rsid w:val="00AD5435"/>
    <w:rsid w:val="00B04FC8"/>
    <w:rsid w:val="00B17D06"/>
    <w:rsid w:val="00B24382"/>
    <w:rsid w:val="00B71A0F"/>
    <w:rsid w:val="00BD0DE2"/>
    <w:rsid w:val="00BF0B1F"/>
    <w:rsid w:val="00C10C30"/>
    <w:rsid w:val="00C700F8"/>
    <w:rsid w:val="00C86356"/>
    <w:rsid w:val="00C90B9D"/>
    <w:rsid w:val="00CB49BF"/>
    <w:rsid w:val="00CB660F"/>
    <w:rsid w:val="00CC6A7B"/>
    <w:rsid w:val="00CD4DB6"/>
    <w:rsid w:val="00CF3702"/>
    <w:rsid w:val="00CF5C00"/>
    <w:rsid w:val="00D02E6A"/>
    <w:rsid w:val="00D04BE0"/>
    <w:rsid w:val="00D27669"/>
    <w:rsid w:val="00D52C58"/>
    <w:rsid w:val="00D538E8"/>
    <w:rsid w:val="00D6576D"/>
    <w:rsid w:val="00DB7774"/>
    <w:rsid w:val="00DD7AF0"/>
    <w:rsid w:val="00E01ECE"/>
    <w:rsid w:val="00E02A94"/>
    <w:rsid w:val="00E26697"/>
    <w:rsid w:val="00E369F9"/>
    <w:rsid w:val="00E51DC9"/>
    <w:rsid w:val="00E53034"/>
    <w:rsid w:val="00E873BB"/>
    <w:rsid w:val="00EA1237"/>
    <w:rsid w:val="00EA767B"/>
    <w:rsid w:val="00EC5449"/>
    <w:rsid w:val="00F06D7C"/>
    <w:rsid w:val="00F336BC"/>
    <w:rsid w:val="00F356DE"/>
    <w:rsid w:val="00F67CAD"/>
    <w:rsid w:val="00FB713E"/>
    <w:rsid w:val="00FB7813"/>
    <w:rsid w:val="00FD3105"/>
    <w:rsid w:val="00FD62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84557"/>
  <w15:chartTrackingRefBased/>
  <w15:docId w15:val="{E00A53E8-C76E-4745-890D-B9CA21665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3AA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54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5449"/>
    <w:rPr>
      <w:rFonts w:ascii="Segoe UI" w:hAnsi="Segoe UI" w:cs="Segoe UI"/>
      <w:sz w:val="18"/>
      <w:szCs w:val="18"/>
    </w:rPr>
  </w:style>
  <w:style w:type="character" w:customStyle="1" w:styleId="Heading1Char">
    <w:name w:val="Heading 1 Char"/>
    <w:basedOn w:val="DefaultParagraphFont"/>
    <w:link w:val="Heading1"/>
    <w:uiPriority w:val="9"/>
    <w:rsid w:val="005F3AAC"/>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5F3AA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3AAC"/>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F67CAD"/>
    <w:pPr>
      <w:ind w:left="720"/>
      <w:contextualSpacing/>
    </w:pPr>
  </w:style>
  <w:style w:type="character" w:styleId="CommentReference">
    <w:name w:val="annotation reference"/>
    <w:basedOn w:val="DefaultParagraphFont"/>
    <w:uiPriority w:val="99"/>
    <w:semiHidden/>
    <w:unhideWhenUsed/>
    <w:rsid w:val="00E53034"/>
    <w:rPr>
      <w:sz w:val="16"/>
      <w:szCs w:val="16"/>
    </w:rPr>
  </w:style>
  <w:style w:type="paragraph" w:styleId="CommentText">
    <w:name w:val="annotation text"/>
    <w:basedOn w:val="Normal"/>
    <w:link w:val="CommentTextChar"/>
    <w:uiPriority w:val="99"/>
    <w:semiHidden/>
    <w:unhideWhenUsed/>
    <w:rsid w:val="00E53034"/>
    <w:pPr>
      <w:spacing w:line="240" w:lineRule="auto"/>
    </w:pPr>
    <w:rPr>
      <w:sz w:val="20"/>
      <w:szCs w:val="20"/>
    </w:rPr>
  </w:style>
  <w:style w:type="character" w:customStyle="1" w:styleId="CommentTextChar">
    <w:name w:val="Comment Text Char"/>
    <w:basedOn w:val="DefaultParagraphFont"/>
    <w:link w:val="CommentText"/>
    <w:uiPriority w:val="99"/>
    <w:semiHidden/>
    <w:rsid w:val="00E53034"/>
    <w:rPr>
      <w:sz w:val="20"/>
      <w:szCs w:val="20"/>
    </w:rPr>
  </w:style>
  <w:style w:type="paragraph" w:styleId="CommentSubject">
    <w:name w:val="annotation subject"/>
    <w:basedOn w:val="CommentText"/>
    <w:next w:val="CommentText"/>
    <w:link w:val="CommentSubjectChar"/>
    <w:uiPriority w:val="99"/>
    <w:semiHidden/>
    <w:unhideWhenUsed/>
    <w:rsid w:val="00E53034"/>
    <w:rPr>
      <w:b/>
      <w:bCs/>
    </w:rPr>
  </w:style>
  <w:style w:type="character" w:customStyle="1" w:styleId="CommentSubjectChar">
    <w:name w:val="Comment Subject Char"/>
    <w:basedOn w:val="CommentTextChar"/>
    <w:link w:val="CommentSubject"/>
    <w:uiPriority w:val="99"/>
    <w:semiHidden/>
    <w:rsid w:val="00E53034"/>
    <w:rPr>
      <w:b/>
      <w:bCs/>
      <w:sz w:val="20"/>
      <w:szCs w:val="20"/>
    </w:rPr>
  </w:style>
  <w:style w:type="paragraph" w:styleId="Header">
    <w:name w:val="header"/>
    <w:basedOn w:val="Normal"/>
    <w:link w:val="HeaderChar"/>
    <w:uiPriority w:val="99"/>
    <w:unhideWhenUsed/>
    <w:rsid w:val="004C0108"/>
    <w:pPr>
      <w:tabs>
        <w:tab w:val="center" w:pos="4513"/>
        <w:tab w:val="right" w:pos="9026"/>
      </w:tabs>
      <w:spacing w:after="0" w:line="240" w:lineRule="auto"/>
    </w:pPr>
    <w:rPr>
      <w:rFonts w:eastAsiaTheme="minorEastAsia"/>
      <w:lang w:eastAsia="zh-CN"/>
    </w:rPr>
  </w:style>
  <w:style w:type="character" w:customStyle="1" w:styleId="HeaderChar">
    <w:name w:val="Header Char"/>
    <w:basedOn w:val="DefaultParagraphFont"/>
    <w:link w:val="Header"/>
    <w:uiPriority w:val="99"/>
    <w:rsid w:val="004C0108"/>
    <w:rPr>
      <w:rFonts w:eastAsiaTheme="minorEastAsia"/>
      <w:lang w:eastAsia="zh-CN"/>
    </w:rPr>
  </w:style>
  <w:style w:type="paragraph" w:customStyle="1" w:styleId="Default">
    <w:name w:val="Default"/>
    <w:rsid w:val="00295684"/>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5A5ED1"/>
    <w:rPr>
      <w:color w:val="0563C1" w:themeColor="hyperlink"/>
      <w:u w:val="single"/>
    </w:rPr>
  </w:style>
  <w:style w:type="character" w:styleId="UnresolvedMention">
    <w:name w:val="Unresolved Mention"/>
    <w:basedOn w:val="DefaultParagraphFont"/>
    <w:uiPriority w:val="99"/>
    <w:semiHidden/>
    <w:unhideWhenUsed/>
    <w:rsid w:val="005A5ED1"/>
    <w:rPr>
      <w:color w:val="605E5C"/>
      <w:shd w:val="clear" w:color="auto" w:fill="E1DFDD"/>
    </w:rPr>
  </w:style>
  <w:style w:type="character" w:styleId="FollowedHyperlink">
    <w:name w:val="FollowedHyperlink"/>
    <w:basedOn w:val="DefaultParagraphFont"/>
    <w:uiPriority w:val="99"/>
    <w:semiHidden/>
    <w:unhideWhenUsed/>
    <w:rsid w:val="00564FC9"/>
    <w:rPr>
      <w:color w:val="954F72" w:themeColor="followedHyperlink"/>
      <w:u w:val="single"/>
    </w:rPr>
  </w:style>
  <w:style w:type="paragraph" w:styleId="Revision">
    <w:name w:val="Revision"/>
    <w:hidden/>
    <w:uiPriority w:val="99"/>
    <w:semiHidden/>
    <w:rsid w:val="00EA1237"/>
    <w:pPr>
      <w:spacing w:after="0" w:line="240" w:lineRule="auto"/>
    </w:pPr>
  </w:style>
  <w:style w:type="table" w:styleId="GridTable1Light-Accent1">
    <w:name w:val="Grid Table 1 Light Accent 1"/>
    <w:basedOn w:val="TableNormal"/>
    <w:uiPriority w:val="46"/>
    <w:rsid w:val="00CB660F"/>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4-Accent6">
    <w:name w:val="Grid Table 4 Accent 6"/>
    <w:basedOn w:val="TableNormal"/>
    <w:uiPriority w:val="49"/>
    <w:rsid w:val="00CB660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4-Accent1">
    <w:name w:val="Grid Table 4 Accent 1"/>
    <w:basedOn w:val="TableNormal"/>
    <w:uiPriority w:val="49"/>
    <w:rsid w:val="00CB660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
    <w:name w:val="Grid Table 4"/>
    <w:basedOn w:val="TableNormal"/>
    <w:uiPriority w:val="49"/>
    <w:rsid w:val="00CB660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B660F"/>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1Light">
    <w:name w:val="Grid Table 1 Light"/>
    <w:basedOn w:val="TableNormal"/>
    <w:uiPriority w:val="46"/>
    <w:rsid w:val="0000749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8249488">
      <w:bodyDiv w:val="1"/>
      <w:marLeft w:val="0"/>
      <w:marRight w:val="0"/>
      <w:marTop w:val="0"/>
      <w:marBottom w:val="0"/>
      <w:divBdr>
        <w:top w:val="none" w:sz="0" w:space="0" w:color="auto"/>
        <w:left w:val="none" w:sz="0" w:space="0" w:color="auto"/>
        <w:bottom w:val="none" w:sz="0" w:space="0" w:color="auto"/>
        <w:right w:val="none" w:sz="0" w:space="0" w:color="auto"/>
      </w:divBdr>
    </w:div>
    <w:div w:id="676467242">
      <w:bodyDiv w:val="1"/>
      <w:marLeft w:val="0"/>
      <w:marRight w:val="0"/>
      <w:marTop w:val="0"/>
      <w:marBottom w:val="0"/>
      <w:divBdr>
        <w:top w:val="none" w:sz="0" w:space="0" w:color="auto"/>
        <w:left w:val="none" w:sz="0" w:space="0" w:color="auto"/>
        <w:bottom w:val="none" w:sz="0" w:space="0" w:color="auto"/>
        <w:right w:val="none" w:sz="0" w:space="0" w:color="auto"/>
      </w:divBdr>
    </w:div>
    <w:div w:id="683671679">
      <w:bodyDiv w:val="1"/>
      <w:marLeft w:val="0"/>
      <w:marRight w:val="0"/>
      <w:marTop w:val="0"/>
      <w:marBottom w:val="0"/>
      <w:divBdr>
        <w:top w:val="none" w:sz="0" w:space="0" w:color="auto"/>
        <w:left w:val="none" w:sz="0" w:space="0" w:color="auto"/>
        <w:bottom w:val="none" w:sz="0" w:space="0" w:color="auto"/>
        <w:right w:val="none" w:sz="0" w:space="0" w:color="auto"/>
      </w:divBdr>
    </w:div>
    <w:div w:id="777020081">
      <w:bodyDiv w:val="1"/>
      <w:marLeft w:val="0"/>
      <w:marRight w:val="0"/>
      <w:marTop w:val="0"/>
      <w:marBottom w:val="0"/>
      <w:divBdr>
        <w:top w:val="none" w:sz="0" w:space="0" w:color="auto"/>
        <w:left w:val="none" w:sz="0" w:space="0" w:color="auto"/>
        <w:bottom w:val="none" w:sz="0" w:space="0" w:color="auto"/>
        <w:right w:val="none" w:sz="0" w:space="0" w:color="auto"/>
      </w:divBdr>
    </w:div>
    <w:div w:id="841428130">
      <w:bodyDiv w:val="1"/>
      <w:marLeft w:val="0"/>
      <w:marRight w:val="0"/>
      <w:marTop w:val="0"/>
      <w:marBottom w:val="0"/>
      <w:divBdr>
        <w:top w:val="none" w:sz="0" w:space="0" w:color="auto"/>
        <w:left w:val="none" w:sz="0" w:space="0" w:color="auto"/>
        <w:bottom w:val="none" w:sz="0" w:space="0" w:color="auto"/>
        <w:right w:val="none" w:sz="0" w:space="0" w:color="auto"/>
      </w:divBdr>
    </w:div>
    <w:div w:id="1969319061">
      <w:bodyDiv w:val="1"/>
      <w:marLeft w:val="0"/>
      <w:marRight w:val="0"/>
      <w:marTop w:val="0"/>
      <w:marBottom w:val="0"/>
      <w:divBdr>
        <w:top w:val="none" w:sz="0" w:space="0" w:color="auto"/>
        <w:left w:val="none" w:sz="0" w:space="0" w:color="auto"/>
        <w:bottom w:val="none" w:sz="0" w:space="0" w:color="auto"/>
        <w:right w:val="none" w:sz="0" w:space="0" w:color="auto"/>
      </w:divBdr>
      <w:divsChild>
        <w:div w:id="993946307">
          <w:marLeft w:val="0"/>
          <w:marRight w:val="0"/>
          <w:marTop w:val="0"/>
          <w:marBottom w:val="0"/>
          <w:divBdr>
            <w:top w:val="none" w:sz="0" w:space="0" w:color="auto"/>
            <w:left w:val="none" w:sz="0" w:space="0" w:color="auto"/>
            <w:bottom w:val="none" w:sz="0" w:space="0" w:color="auto"/>
            <w:right w:val="none" w:sz="0" w:space="0" w:color="auto"/>
          </w:divBdr>
        </w:div>
        <w:div w:id="1624923773">
          <w:marLeft w:val="0"/>
          <w:marRight w:val="0"/>
          <w:marTop w:val="0"/>
          <w:marBottom w:val="0"/>
          <w:divBdr>
            <w:top w:val="none" w:sz="0" w:space="0" w:color="auto"/>
            <w:left w:val="none" w:sz="0" w:space="0" w:color="auto"/>
            <w:bottom w:val="none" w:sz="0" w:space="0" w:color="auto"/>
            <w:right w:val="none" w:sz="0" w:space="0" w:color="auto"/>
          </w:divBdr>
        </w:div>
        <w:div w:id="303970159">
          <w:marLeft w:val="0"/>
          <w:marRight w:val="0"/>
          <w:marTop w:val="0"/>
          <w:marBottom w:val="0"/>
          <w:divBdr>
            <w:top w:val="none" w:sz="0" w:space="0" w:color="auto"/>
            <w:left w:val="none" w:sz="0" w:space="0" w:color="auto"/>
            <w:bottom w:val="none" w:sz="0" w:space="0" w:color="auto"/>
            <w:right w:val="none" w:sz="0" w:space="0" w:color="auto"/>
          </w:divBdr>
        </w:div>
        <w:div w:id="1070149842">
          <w:marLeft w:val="0"/>
          <w:marRight w:val="0"/>
          <w:marTop w:val="0"/>
          <w:marBottom w:val="0"/>
          <w:divBdr>
            <w:top w:val="none" w:sz="0" w:space="0" w:color="auto"/>
            <w:left w:val="none" w:sz="0" w:space="0" w:color="auto"/>
            <w:bottom w:val="none" w:sz="0" w:space="0" w:color="auto"/>
            <w:right w:val="none" w:sz="0" w:space="0" w:color="auto"/>
          </w:divBdr>
        </w:div>
      </w:divsChild>
    </w:div>
    <w:div w:id="2032946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9AA25421584824F9BD6F8996586A88E" ma:contentTypeVersion="13" ma:contentTypeDescription="Create a new document." ma:contentTypeScope="" ma:versionID="9c047190ee3b8852452a25fe8f4c3b13">
  <xsd:schema xmlns:xsd="http://www.w3.org/2001/XMLSchema" xmlns:xs="http://www.w3.org/2001/XMLSchema" xmlns:p="http://schemas.microsoft.com/office/2006/metadata/properties" xmlns:ns3="1f33b567-8934-4065-9424-365bd2493b30" xmlns:ns4="a9733e5a-5ef7-415c-80e3-a2618da45423" targetNamespace="http://schemas.microsoft.com/office/2006/metadata/properties" ma:root="true" ma:fieldsID="f5392ec3ca81a299d4c669fbdcde0c93" ns3:_="" ns4:_="">
    <xsd:import namespace="1f33b567-8934-4065-9424-365bd2493b30"/>
    <xsd:import namespace="a9733e5a-5ef7-415c-80e3-a2618da4542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33b567-8934-4065-9424-365bd2493b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733e5a-5ef7-415c-80e3-a2618da4542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119D43-4A84-49F9-B170-3084B139CC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4067AFE-7AD8-4669-8F1D-F548CF3A54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33b567-8934-4065-9424-365bd2493b30"/>
    <ds:schemaRef ds:uri="a9733e5a-5ef7-415c-80e3-a2618da454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48A87F-DFDE-419C-AAA7-F29B044E0A9B}">
  <ds:schemaRefs>
    <ds:schemaRef ds:uri="http://schemas.microsoft.com/sharepoint/v3/contenttype/forms"/>
  </ds:schemaRefs>
</ds:datastoreItem>
</file>

<file path=customXml/itemProps4.xml><?xml version="1.0" encoding="utf-8"?>
<ds:datastoreItem xmlns:ds="http://schemas.openxmlformats.org/officeDocument/2006/customXml" ds:itemID="{50D66DC7-FA20-4ACB-934E-766ACE937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8</Pages>
  <Words>7457</Words>
  <Characters>42505</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Ruiz Cuenca</dc:creator>
  <cp:keywords/>
  <dc:description/>
  <cp:lastModifiedBy>Pablo Ruiz Cuenca</cp:lastModifiedBy>
  <cp:revision>3</cp:revision>
  <dcterms:created xsi:type="dcterms:W3CDTF">2021-01-13T20:37:00Z</dcterms:created>
  <dcterms:modified xsi:type="dcterms:W3CDTF">2021-01-14T11:48:00Z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e475d0ec-c093-3451-a46b-2be60ba450f7</vt:lpwstr>
  </property>
  <property fmtid="{D5CDD505-2E9C-101B-9397-08002B2CF9AE}" pid="4" name="Mendeley Citation Style_1">
    <vt:lpwstr>http://www.zotero.org/styles/nature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ContentTypeId">
    <vt:lpwstr>0x010100C9AA25421584824F9BD6F8996586A88E</vt:lpwstr>
  </property>
</Properties>
</file>