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975" w:rsidRDefault="00385975" w:rsidP="00385975">
      <w:pPr>
        <w:spacing w:after="200" w:line="276" w:lineRule="auto"/>
        <w:rPr>
          <w:sz w:val="24"/>
          <w:szCs w:val="24"/>
        </w:rPr>
      </w:pPr>
    </w:p>
    <w:p w:rsidR="00385975" w:rsidRPr="00484931" w:rsidRDefault="00385975" w:rsidP="00385975">
      <w:pPr>
        <w:spacing w:line="480" w:lineRule="auto"/>
        <w:jc w:val="both"/>
        <w:rPr>
          <w:sz w:val="24"/>
          <w:szCs w:val="24"/>
        </w:rPr>
      </w:pPr>
      <w:r w:rsidRPr="00484931">
        <w:rPr>
          <w:b/>
          <w:sz w:val="24"/>
          <w:szCs w:val="24"/>
        </w:rPr>
        <w:t>SUPPLEMENTARY MATERIALS</w:t>
      </w:r>
    </w:p>
    <w:p w:rsidR="00385975" w:rsidRPr="00484931" w:rsidRDefault="00385975" w:rsidP="00385975">
      <w:pPr>
        <w:spacing w:line="480" w:lineRule="auto"/>
        <w:contextualSpacing/>
        <w:jc w:val="both"/>
        <w:rPr>
          <w:b/>
          <w:spacing w:val="-1"/>
          <w:sz w:val="24"/>
          <w:szCs w:val="24"/>
        </w:rPr>
      </w:pPr>
      <w:r w:rsidRPr="00484931">
        <w:rPr>
          <w:b/>
          <w:spacing w:val="-1"/>
          <w:sz w:val="24"/>
          <w:szCs w:val="24"/>
        </w:rPr>
        <w:t xml:space="preserve">Basic concepts of the proposed approach </w:t>
      </w:r>
    </w:p>
    <w:p w:rsidR="00385975" w:rsidRPr="00484931" w:rsidRDefault="00385975" w:rsidP="00385975">
      <w:pPr>
        <w:spacing w:line="480" w:lineRule="auto"/>
        <w:contextualSpacing/>
        <w:jc w:val="both"/>
        <w:rPr>
          <w:sz w:val="24"/>
          <w:szCs w:val="24"/>
        </w:rPr>
      </w:pPr>
      <w:r w:rsidRPr="00484931">
        <w:rPr>
          <w:sz w:val="24"/>
          <w:szCs w:val="24"/>
        </w:rPr>
        <w:t xml:space="preserve"> Handover (HO) refers to the transfer of a user’s (UE) connection from one radio channel to another channel (can be the same or different cell). Handoffs are broadly classified into two categories—hard and soft handoffs which are also known as Break-Before-Connect (BBC) and Connect (Entry)-Before-Break (CBB), respectively. The hard handoff can be further divided into two different types— intra- and inter cell handoffs. The soft handoff can also be divided into two different types—multi way soft handoffs and softer handoffs</w:t>
      </w:r>
      <w:r>
        <w:rPr>
          <w:sz w:val="24"/>
          <w:szCs w:val="24"/>
        </w:rPr>
        <w:t xml:space="preserve"> </w:t>
      </w:r>
      <w:r w:rsidRPr="00484931">
        <w:rPr>
          <w:sz w:val="24"/>
          <w:szCs w:val="24"/>
        </w:rPr>
        <w:fldChar w:fldCharType="begin"/>
      </w:r>
      <w:r w:rsidRPr="00484931">
        <w:rPr>
          <w:sz w:val="24"/>
          <w:szCs w:val="24"/>
        </w:rPr>
        <w:instrText xml:space="preserve"> ADDIN EN.CITE &lt;EndNote&gt;&lt;Cite&gt;&lt;Author&gt;Alagu&lt;/Author&gt;&lt;Year&gt;2011&lt;/Year&gt;&lt;RecNum&gt;22&lt;/RecNum&gt;&lt;DisplayText&gt;(31, 32)&lt;/DisplayText&gt;&lt;record&gt;&lt;rec-number&gt;22&lt;/rec-number&gt;&lt;foreign-keys&gt;&lt;key app="EN" db-id="serr5f2f70wavrerrflvz0verrs2txedw5az" timestamp="1644238249"&gt;22&lt;/key&gt;&lt;/foreign-keys&gt;&lt;ref-type name="Journal Article"&gt;17&lt;/ref-type&gt;&lt;contributors&gt;&lt;authors&gt;&lt;author&gt;Alagu, S&lt;/author&gt;&lt;author&gt;Meyyappan, T&lt;/author&gt;&lt;/authors&gt;&lt;/contributors&gt;&lt;titles&gt;&lt;title&gt;Analysis of handoff schemes in wireless mobile network&lt;/title&gt;&lt;secondary-title&gt;IJCES International Journal of Computer Engineering Science&lt;/secondary-title&gt;&lt;/titles&gt;&lt;periodical&gt;&lt;full-title&gt;IJCES International Journal of Computer Engineering Science&lt;/full-title&gt;&lt;/periodical&gt;&lt;pages&gt;1-12&lt;/pages&gt;&lt;volume&gt;1&lt;/volume&gt;&lt;number&gt;2&lt;/number&gt;&lt;dates&gt;&lt;year&gt;2011&lt;/year&gt;&lt;/dates&gt;&lt;urls&gt;&lt;/urls&gt;&lt;/record&gt;&lt;/Cite&gt;&lt;Cite&gt;&lt;Author&gt;3GPP&lt;/Author&gt;&lt;Year&gt;2008&lt;/Year&gt;&lt;RecNum&gt;35&lt;/RecNum&gt;&lt;record&gt;&lt;rec-number&gt;35&lt;/rec-number&gt;&lt;foreign-keys&gt;&lt;key app="EN" db-id="serr5f2f70wavrerrflvz0verrs2txedw5az" timestamp="1644242641"&gt;35&lt;/key&gt;&lt;/foreign-keys&gt;&lt;ref-type name="Journal Article"&gt;17&lt;/ref-type&gt;&lt;contributors&gt;&lt;authors&gt;&lt;author&gt;3GPP&lt;/author&gt;&lt;/authors&gt;&lt;/contributors&gt;&lt;titles&gt;&lt;title&gt;3rd Generation Partnership Project Technical Specification Group Services and System Aspects&lt;/title&gt;&lt;secondary-title&gt;Vocabulary for 3GPP Specifications (Release 8) TR 21.905&lt;/secondary-title&gt;&lt;/titles&gt;&lt;periodical&gt;&lt;full-title&gt;Vocabulary for 3GPP Specifications (Release 8) TR 21.905&lt;/full-title&gt;&lt;/periodical&gt;&lt;volume&gt;V8.4.0,&amp;quot; 03&lt;/volume&gt;&lt;dates&gt;&lt;year&gt;2008&lt;/year&gt;&lt;/dates&gt;&lt;urls&gt;&lt;/urls&gt;&lt;/record&gt;&lt;/Cite&gt;&lt;/EndNote&gt;</w:instrText>
      </w:r>
      <w:r w:rsidRPr="00484931">
        <w:rPr>
          <w:sz w:val="24"/>
          <w:szCs w:val="24"/>
        </w:rPr>
        <w:fldChar w:fldCharType="separate"/>
      </w:r>
      <w:r>
        <w:rPr>
          <w:noProof/>
          <w:sz w:val="24"/>
          <w:szCs w:val="24"/>
        </w:rPr>
        <w:t>[</w:t>
      </w:r>
      <w:r w:rsidRPr="00484931">
        <w:rPr>
          <w:noProof/>
          <w:sz w:val="24"/>
          <w:szCs w:val="24"/>
        </w:rPr>
        <w:t>31, 32</w:t>
      </w:r>
      <w:r w:rsidRPr="00484931">
        <w:rPr>
          <w:sz w:val="24"/>
          <w:szCs w:val="24"/>
        </w:rPr>
        <w:fldChar w:fldCharType="end"/>
      </w:r>
      <w:r>
        <w:rPr>
          <w:sz w:val="24"/>
          <w:szCs w:val="24"/>
        </w:rPr>
        <w:t>,</w:t>
      </w:r>
      <w:r w:rsidRPr="00484931">
        <w:rPr>
          <w:sz w:val="24"/>
          <w:szCs w:val="24"/>
        </w:rPr>
        <w:t xml:space="preserve"> </w:t>
      </w:r>
      <w:r w:rsidRPr="00484931">
        <w:rPr>
          <w:sz w:val="24"/>
          <w:szCs w:val="24"/>
        </w:rPr>
        <w:fldChar w:fldCharType="begin"/>
      </w:r>
      <w:r w:rsidRPr="00484931">
        <w:rPr>
          <w:sz w:val="24"/>
          <w:szCs w:val="24"/>
        </w:rPr>
        <w:instrText xml:space="preserve"> ADDIN EN.CITE &lt;EndNote&gt;&lt;Cite&gt;&lt;Author&gt;3GPP&lt;/Author&gt;&lt;Year&gt;2001&lt;/Year&gt;&lt;RecNum&gt;36&lt;/RecNum&gt;&lt;DisplayText&gt;(33, 34)&lt;/DisplayText&gt;&lt;record&gt;&lt;rec-number&gt;36&lt;/rec-number&gt;&lt;foreign-keys&gt;&lt;key app="EN" db-id="serr5f2f70wavrerrflvz0verrs2txedw5az" timestamp="1644242756"&gt;36&lt;/key&gt;&lt;/foreign-keys&gt;&lt;ref-type name="Journal Article"&gt;17&lt;/ref-type&gt;&lt;contributors&gt;&lt;authors&gt;&lt;author&gt;3GPP, &lt;/author&gt;&lt;/authors&gt;&lt;/contributors&gt;&lt;titles&gt;&lt;title&gt;3rd Generation Partnership Project (3GPP); Technical Specification Group (TSG) RAN 3&lt;/title&gt;&lt;secondary-title&gt;Handovers for real-time services from PS domain; (Release 4) TR 25.936 &lt;/secondary-title&gt;&lt;/titles&gt;&lt;periodical&gt;&lt;full-title&gt;Handovers for real-time services from PS domain; (Release 4) TR 25.936&lt;/full-title&gt;&lt;/periodical&gt;&lt;volume&gt; V4.0.1,&amp;quot; 12&lt;/volume&gt;&lt;dates&gt;&lt;year&gt;2001&lt;/year&gt;&lt;/dates&gt;&lt;urls&gt;&lt;/urls&gt;&lt;/record&gt;&lt;/Cite&gt;&lt;Cite&gt;&lt;Author&gt;3GPP&lt;/Author&gt;&lt;Year&gt;2009&lt;/Year&gt;&lt;RecNum&gt;37&lt;/RecNum&gt;&lt;record&gt;&lt;rec-number&gt;37&lt;/rec-number&gt;&lt;foreign-keys&gt;&lt;key app="EN" db-id="serr5f2f70wavrerrflvz0verrs2txedw5az" timestamp="1644242842"&gt;37&lt;/key&gt;&lt;/foreign-keys&gt;&lt;ref-type name="Journal Article"&gt;17&lt;/ref-type&gt;&lt;contributors&gt;&lt;authors&gt;&lt;author&gt;3GPP &lt;/author&gt;&lt;/authors&gt;&lt;/contributors&gt;&lt;titles&gt;&lt;title&gt;3rd Generation Partnership Project; Technical Specification Group Radio Access Network&lt;/title&gt;&lt;secondary-title&gt; UTRAN functions, examples on signalling procedures (Release 9) TR 25.931 &lt;/secondary-title&gt;&lt;/titles&gt;&lt;volume&gt;V9.0.0,&amp;quot; 12&lt;/volume&gt;&lt;dates&gt;&lt;year&gt;2009&lt;/year&gt;&lt;/dates&gt;&lt;urls&gt;&lt;/urls&gt;&lt;/record&gt;&lt;/Cite&gt;&lt;/EndNote&gt;</w:instrText>
      </w:r>
      <w:r w:rsidRPr="00484931">
        <w:rPr>
          <w:sz w:val="24"/>
          <w:szCs w:val="24"/>
        </w:rPr>
        <w:fldChar w:fldCharType="separate"/>
      </w:r>
      <w:r w:rsidRPr="00484931">
        <w:rPr>
          <w:noProof/>
          <w:sz w:val="24"/>
          <w:szCs w:val="24"/>
        </w:rPr>
        <w:t>33, 34</w:t>
      </w:r>
      <w:r w:rsidRPr="00484931">
        <w:rPr>
          <w:sz w:val="24"/>
          <w:szCs w:val="24"/>
        </w:rPr>
        <w:fldChar w:fldCharType="end"/>
      </w:r>
      <w:r>
        <w:rPr>
          <w:sz w:val="24"/>
          <w:szCs w:val="24"/>
        </w:rPr>
        <w:t>]</w:t>
      </w:r>
      <w:r w:rsidRPr="00484931">
        <w:rPr>
          <w:sz w:val="24"/>
          <w:szCs w:val="24"/>
        </w:rPr>
        <w:t xml:space="preserve">. </w:t>
      </w:r>
    </w:p>
    <w:p w:rsidR="00385975" w:rsidRPr="00484931" w:rsidRDefault="00385975" w:rsidP="00385975">
      <w:pPr>
        <w:tabs>
          <w:tab w:val="left" w:pos="1760"/>
        </w:tabs>
        <w:spacing w:line="480" w:lineRule="auto"/>
        <w:contextualSpacing/>
        <w:jc w:val="both"/>
        <w:rPr>
          <w:sz w:val="24"/>
          <w:szCs w:val="24"/>
        </w:rPr>
      </w:pPr>
      <w:r>
        <w:rPr>
          <w:sz w:val="24"/>
          <w:szCs w:val="24"/>
        </w:rPr>
        <w:tab/>
      </w:r>
    </w:p>
    <w:p w:rsidR="00385975" w:rsidRPr="00484931" w:rsidRDefault="00385975" w:rsidP="00385975">
      <w:pPr>
        <w:spacing w:line="480" w:lineRule="auto"/>
        <w:contextualSpacing/>
        <w:jc w:val="both"/>
        <w:rPr>
          <w:sz w:val="24"/>
          <w:szCs w:val="24"/>
        </w:rPr>
      </w:pPr>
      <w:r w:rsidRPr="00484931">
        <w:rPr>
          <w:sz w:val="24"/>
          <w:szCs w:val="24"/>
        </w:rPr>
        <w:t>The handover process is performed mainly via the radio resource control (RRC) layer between UE, serving eNB (evolved node B) and Target eNB in the control-plane as per the 3GPP LTE standard and has been described by Perez and his colleagues</w:t>
      </w:r>
      <w:r>
        <w:rPr>
          <w:sz w:val="24"/>
          <w:szCs w:val="24"/>
        </w:rPr>
        <w:t xml:space="preserve"> </w:t>
      </w:r>
      <w:r w:rsidRPr="00484931">
        <w:rPr>
          <w:sz w:val="24"/>
          <w:szCs w:val="24"/>
        </w:rPr>
        <w:fldChar w:fldCharType="begin"/>
      </w:r>
      <w:r w:rsidRPr="00484931">
        <w:rPr>
          <w:sz w:val="24"/>
          <w:szCs w:val="24"/>
        </w:rPr>
        <w:instrText xml:space="preserve"> ADDIN EN.CITE &lt;EndNote&gt;&lt;Cite&gt;&lt;Author&gt;Lopez-Perez&lt;/Author&gt;&lt;Year&gt;2012&lt;/Year&gt;&lt;RecNum&gt;26&lt;/RecNum&gt;&lt;DisplayText&gt;(35)&lt;/DisplayText&gt;&lt;record&gt;&lt;rec-number&gt;26&lt;/rec-number&gt;&lt;foreign-keys&gt;&lt;key app="EN" db-id="serr5f2f70wavrerrflvz0verrs2txedw5az" timestamp="1644238578"&gt;26&lt;/key&gt;&lt;/foreign-keys&gt;&lt;ref-type name="Journal Article"&gt;17&lt;/ref-type&gt;&lt;contributors&gt;&lt;authors&gt;&lt;author&gt;Lopez-Perez, David&lt;/author&gt;&lt;author&gt;Guvenc, Ismail&lt;/author&gt;&lt;author&gt;Chu, Xiaoli&lt;/author&gt;&lt;/authors&gt;&lt;/contributors&gt;&lt;titles&gt;&lt;title&gt;Mobility management challenges in 3GPP heterogeneous networks&lt;/title&gt;&lt;secondary-title&gt;IEEE Communications Magazine&lt;/secondary-title&gt;&lt;/titles&gt;&lt;periodical&gt;&lt;full-title&gt;IEEE Communications Magazine&lt;/full-title&gt;&lt;/periodical&gt;&lt;pages&gt;70-78&lt;/pages&gt;&lt;volume&gt;50&lt;/volume&gt;&lt;number&gt;12&lt;/number&gt;&lt;dates&gt;&lt;year&gt;2012&lt;/year&gt;&lt;/dates&gt;&lt;isbn&gt;0163-6804&lt;/isbn&gt;&lt;urls&gt;&lt;/urls&gt;&lt;/record&gt;&lt;/Cite&gt;&lt;/EndNote&gt;</w:instrText>
      </w:r>
      <w:r w:rsidRPr="00484931">
        <w:rPr>
          <w:sz w:val="24"/>
          <w:szCs w:val="24"/>
        </w:rPr>
        <w:fldChar w:fldCharType="separate"/>
      </w:r>
      <w:r>
        <w:rPr>
          <w:noProof/>
          <w:sz w:val="24"/>
          <w:szCs w:val="24"/>
        </w:rPr>
        <w:t>[</w:t>
      </w:r>
      <w:r w:rsidRPr="00484931">
        <w:rPr>
          <w:noProof/>
          <w:sz w:val="24"/>
          <w:szCs w:val="24"/>
        </w:rPr>
        <w:t>35</w:t>
      </w:r>
      <w:r w:rsidRPr="00484931">
        <w:rPr>
          <w:sz w:val="24"/>
          <w:szCs w:val="24"/>
        </w:rPr>
        <w:fldChar w:fldCharType="end"/>
      </w:r>
      <w:r>
        <w:rPr>
          <w:sz w:val="24"/>
          <w:szCs w:val="24"/>
        </w:rPr>
        <w:t>]</w:t>
      </w:r>
      <w:r w:rsidRPr="00484931">
        <w:rPr>
          <w:sz w:val="24"/>
          <w:szCs w:val="24"/>
        </w:rPr>
        <w:t xml:space="preserve">. eNB is the hardware that is connected to the mobile phone network that communicates directly and wirelessly with UEs. The HO is triggered by the eNB, based on the received measurement reports from the UE and the decisions are based on the signal strength measurements of the neighboring BSs done at the UE. However, due to the user’s mobility, the conditions or decision of a handover algorithm could vary over time. </w:t>
      </w:r>
    </w:p>
    <w:p w:rsidR="00385975" w:rsidRPr="00484931" w:rsidRDefault="00385975" w:rsidP="00385975">
      <w:pPr>
        <w:spacing w:line="480" w:lineRule="auto"/>
        <w:contextualSpacing/>
        <w:jc w:val="both"/>
        <w:rPr>
          <w:sz w:val="24"/>
          <w:szCs w:val="24"/>
        </w:rPr>
      </w:pPr>
    </w:p>
    <w:p w:rsidR="00385975" w:rsidRPr="00484931" w:rsidRDefault="00385975" w:rsidP="00385975">
      <w:pPr>
        <w:spacing w:line="480" w:lineRule="auto"/>
        <w:contextualSpacing/>
        <w:jc w:val="both"/>
        <w:rPr>
          <w:sz w:val="24"/>
          <w:szCs w:val="24"/>
        </w:rPr>
      </w:pPr>
      <w:r w:rsidRPr="00484931">
        <w:rPr>
          <w:sz w:val="24"/>
          <w:szCs w:val="24"/>
        </w:rPr>
        <w:t xml:space="preserve">Generally, the handover procedure consists of three phases: preparation, execution, and completion phases. In addition to this a HO process completes into five different key steps. One: The UE measures the downlink signal strength periodically. Two: The UE processes the measurement results. Three: The UE sends the measurement report (MR) to the serving eNB based on predefined HO criteria. Four: After receiving the MR from UE, the Serving eNB takes the handover decision based on the received MR and issues a handover request message to the target eNB. Five: The UE receives a handover command from the serving eNB and data forwarding from serving eNB to target eNB starts and the serving eNB sends a handover command (it completes the handover) </w:t>
      </w:r>
      <w:r w:rsidRPr="00484931">
        <w:rPr>
          <w:sz w:val="24"/>
          <w:szCs w:val="24"/>
        </w:rPr>
        <w:fldChar w:fldCharType="begin"/>
      </w:r>
      <w:r w:rsidRPr="00484931">
        <w:rPr>
          <w:sz w:val="24"/>
          <w:szCs w:val="24"/>
        </w:rPr>
        <w:instrText xml:space="preserve"> ADDIN EN.CITE &lt;EndNote&gt;&lt;Cite&gt;&lt;Author&gt;3GPP&lt;/Author&gt;&lt;Year&gt;2009&lt;/Year&gt;&lt;RecNum&gt;37&lt;/RecNum&gt;&lt;DisplayText&gt;(34)&lt;/DisplayText&gt;&lt;record&gt;&lt;rec-number&gt;37&lt;/rec-number&gt;&lt;foreign-keys&gt;&lt;key app="EN" db-id="serr5f2f70wavrerrflvz0verrs2txedw5az" timestamp="1644242842"&gt;37&lt;/key&gt;&lt;/foreign-keys&gt;&lt;ref-type name="Journal Article"&gt;17&lt;/ref-type&gt;&lt;contributors&gt;&lt;authors&gt;&lt;author&gt;3GPP &lt;/author&gt;&lt;/authors&gt;&lt;/contributors&gt;&lt;titles&gt;&lt;title&gt;3rd Generation Partnership Project; Technical Specification Group Radio Access Network&lt;/title&gt;&lt;secondary-title&gt; UTRAN functions, examples on signalling procedures (Release 9) TR 25.931 &lt;/secondary-title&gt;&lt;/titles&gt;&lt;volume&gt;V9.0.0,&amp;quot; 12&lt;/volume&gt;&lt;dates&gt;&lt;year&gt;2009&lt;/year&gt;&lt;/dates&gt;&lt;urls&gt;&lt;/urls&gt;&lt;/record&gt;&lt;/Cite&gt;&lt;/EndNote&gt;</w:instrText>
      </w:r>
      <w:r w:rsidRPr="00484931">
        <w:rPr>
          <w:sz w:val="24"/>
          <w:szCs w:val="24"/>
        </w:rPr>
        <w:fldChar w:fldCharType="separate"/>
      </w:r>
      <w:r>
        <w:rPr>
          <w:noProof/>
          <w:sz w:val="24"/>
          <w:szCs w:val="24"/>
        </w:rPr>
        <w:t>[</w:t>
      </w:r>
      <w:r w:rsidRPr="00484931">
        <w:rPr>
          <w:noProof/>
          <w:sz w:val="24"/>
          <w:szCs w:val="24"/>
        </w:rPr>
        <w:t>34</w:t>
      </w:r>
      <w:r w:rsidRPr="00484931">
        <w:rPr>
          <w:sz w:val="24"/>
          <w:szCs w:val="24"/>
        </w:rPr>
        <w:fldChar w:fldCharType="end"/>
      </w:r>
      <w:r>
        <w:rPr>
          <w:sz w:val="24"/>
          <w:szCs w:val="24"/>
        </w:rPr>
        <w:t>]</w:t>
      </w:r>
      <w:r w:rsidRPr="00484931">
        <w:rPr>
          <w:sz w:val="24"/>
          <w:szCs w:val="24"/>
        </w:rPr>
        <w:t>.</w:t>
      </w:r>
    </w:p>
    <w:p w:rsidR="00385975" w:rsidRPr="00484931" w:rsidRDefault="00385975" w:rsidP="00385975">
      <w:pPr>
        <w:pStyle w:val="ListParagraph"/>
        <w:spacing w:after="0" w:line="480" w:lineRule="auto"/>
        <w:ind w:left="0"/>
        <w:jc w:val="both"/>
        <w:rPr>
          <w:rFonts w:ascii="Times New Roman" w:eastAsiaTheme="minorEastAsia" w:hAnsi="Times New Roman"/>
          <w:sz w:val="24"/>
          <w:szCs w:val="24"/>
        </w:rPr>
      </w:pPr>
      <w:r w:rsidRPr="00484931">
        <w:rPr>
          <w:rFonts w:ascii="Times New Roman" w:eastAsiaTheme="minorEastAsia" w:hAnsi="Times New Roman"/>
          <w:b/>
          <w:sz w:val="24"/>
          <w:szCs w:val="24"/>
        </w:rPr>
        <w:t xml:space="preserve">Approach for quantification of human mobility </w:t>
      </w:r>
    </w:p>
    <w:p w:rsidR="00385975" w:rsidRPr="00484931" w:rsidRDefault="00385975" w:rsidP="00385975">
      <w:pPr>
        <w:spacing w:line="480" w:lineRule="auto"/>
        <w:jc w:val="both"/>
        <w:rPr>
          <w:rFonts w:eastAsiaTheme="minorEastAsia"/>
          <w:sz w:val="24"/>
          <w:szCs w:val="24"/>
        </w:rPr>
      </w:pPr>
      <w:r w:rsidRPr="00484931">
        <w:rPr>
          <w:rFonts w:eastAsiaTheme="minorEastAsia"/>
          <w:sz w:val="24"/>
          <w:szCs w:val="24"/>
        </w:rPr>
        <w:t xml:space="preserve">For this study we considered the geographical displacements </w:t>
      </w:r>
      <m:oMath>
        <m:r>
          <w:rPr>
            <w:rFonts w:ascii="Cambria Math" w:eastAsiaTheme="minorEastAsia" w:hAnsi="Cambria Math"/>
            <w:sz w:val="24"/>
            <w:szCs w:val="24"/>
          </w:rPr>
          <m:t>r=</m:t>
        </m:r>
        <m:d>
          <m:dPr>
            <m:begChr m:val="|"/>
            <m:endChr m:val="|"/>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1</m:t>
                </m:r>
              </m:sub>
            </m:sSub>
          </m:e>
        </m:d>
      </m:oMath>
      <w:r w:rsidRPr="00484931">
        <w:rPr>
          <w:rFonts w:eastAsiaTheme="minorEastAsia"/>
          <w:sz w:val="24"/>
          <w:szCs w:val="24"/>
        </w:rPr>
        <w:t xml:space="preserve"> between a first </w:t>
      </w:r>
      <m:oMath>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1</m:t>
            </m:r>
          </m:sub>
        </m:sSub>
        <m:r>
          <w:rPr>
            <w:rFonts w:ascii="Cambria Math" w:eastAsiaTheme="minorEastAsia" w:hAnsi="Cambria Math"/>
            <w:sz w:val="24"/>
            <w:szCs w:val="24"/>
          </w:rPr>
          <m:t>)</m:t>
        </m:r>
      </m:oMath>
      <w:r w:rsidRPr="00484931">
        <w:rPr>
          <w:rFonts w:eastAsiaTheme="minorEastAsia"/>
          <w:sz w:val="24"/>
          <w:szCs w:val="24"/>
        </w:rPr>
        <w:t xml:space="preserve"> and secondary </w:t>
      </w:r>
      <m:oMath>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2</m:t>
            </m:r>
          </m:sub>
        </m:sSub>
        <m:r>
          <w:rPr>
            <w:rFonts w:ascii="Cambria Math" w:eastAsiaTheme="minorEastAsia" w:hAnsi="Cambria Math"/>
            <w:sz w:val="24"/>
            <w:szCs w:val="24"/>
          </w:rPr>
          <m:t>)</m:t>
        </m:r>
      </m:oMath>
      <w:r w:rsidRPr="00484931">
        <w:rPr>
          <w:rFonts w:eastAsiaTheme="minorEastAsia"/>
          <w:sz w:val="24"/>
          <w:szCs w:val="24"/>
        </w:rPr>
        <w:t xml:space="preserve"> measurement location with the elapsed time t between successive reports. For dense urban, urban and rural it becomes </w:t>
      </w:r>
      <m:oMath>
        <m:d>
          <m:dPr>
            <m:begChr m:val="|"/>
            <m:endChr m:val="|"/>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1</m:t>
                </m:r>
              </m:sub>
            </m:sSub>
          </m:e>
        </m:d>
      </m:oMath>
      <w:r w:rsidRPr="00484931">
        <w:rPr>
          <w:rFonts w:eastAsiaTheme="minorEastAsia"/>
          <w:sz w:val="24"/>
          <w:szCs w:val="24"/>
        </w:rPr>
        <w:t xml:space="preserve">  </w:t>
      </w:r>
      <m:oMath>
        <m:r>
          <w:rPr>
            <w:rFonts w:ascii="Cambria Math" w:hAnsi="Cambria Math"/>
            <w:sz w:val="24"/>
            <w:szCs w:val="24"/>
          </w:rPr>
          <m:t>≤300m</m:t>
        </m:r>
      </m:oMath>
      <w:r w:rsidRPr="00484931">
        <w:rPr>
          <w:rFonts w:eastAsiaTheme="minorEastAsia"/>
          <w:sz w:val="24"/>
          <w:szCs w:val="24"/>
        </w:rPr>
        <w:t xml:space="preserve">, </w:t>
      </w:r>
      <m:oMath>
        <m:d>
          <m:dPr>
            <m:begChr m:val="|"/>
            <m:endChr m:val="|"/>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1</m:t>
                </m:r>
              </m:sub>
            </m:sSub>
          </m:e>
        </m:d>
      </m:oMath>
      <w:r w:rsidRPr="00484931">
        <w:rPr>
          <w:rFonts w:eastAsiaTheme="minorEastAsia"/>
          <w:sz w:val="24"/>
          <w:szCs w:val="24"/>
        </w:rPr>
        <w:t xml:space="preserve">  </w:t>
      </w:r>
      <m:oMath>
        <m:r>
          <w:rPr>
            <w:rFonts w:ascii="Cambria Math" w:hAnsi="Cambria Math"/>
            <w:sz w:val="24"/>
            <w:szCs w:val="24"/>
          </w:rPr>
          <m:t>≤3Km</m:t>
        </m:r>
      </m:oMath>
      <w:r w:rsidRPr="00484931">
        <w:rPr>
          <w:rFonts w:eastAsiaTheme="minorEastAsia"/>
          <w:sz w:val="24"/>
          <w:szCs w:val="24"/>
        </w:rPr>
        <w:t xml:space="preserve"> and </w:t>
      </w:r>
      <m:oMath>
        <m:d>
          <m:dPr>
            <m:begChr m:val="|"/>
            <m:endChr m:val="|"/>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1</m:t>
                </m:r>
              </m:sub>
            </m:sSub>
          </m:e>
        </m:d>
      </m:oMath>
      <w:r w:rsidRPr="00484931">
        <w:rPr>
          <w:rFonts w:eastAsiaTheme="minorEastAsia"/>
          <w:sz w:val="24"/>
          <w:szCs w:val="24"/>
        </w:rPr>
        <w:t xml:space="preserve">  </w:t>
      </w:r>
      <m:oMath>
        <m:r>
          <w:rPr>
            <w:rFonts w:ascii="Cambria Math" w:hAnsi="Cambria Math"/>
            <w:sz w:val="24"/>
            <w:szCs w:val="24"/>
          </w:rPr>
          <m:t>≤5 km</m:t>
        </m:r>
      </m:oMath>
      <w:r w:rsidRPr="00484931">
        <w:rPr>
          <w:rFonts w:eastAsiaTheme="minorEastAsia"/>
          <w:sz w:val="24"/>
          <w:szCs w:val="24"/>
        </w:rPr>
        <w:t xml:space="preserve"> respectively. These different spatial extents were used because mobile phone tower distribution is spatially clustered in urban settings and much more dispersed in rural settings. </w:t>
      </w:r>
    </w:p>
    <w:p w:rsidR="00385975" w:rsidRPr="00484931" w:rsidRDefault="00385975" w:rsidP="00385975">
      <w:pPr>
        <w:spacing w:line="480" w:lineRule="auto"/>
        <w:jc w:val="both"/>
        <w:rPr>
          <w:rFonts w:eastAsiaTheme="minorEastAsia"/>
          <w:sz w:val="24"/>
          <w:szCs w:val="24"/>
        </w:rPr>
      </w:pPr>
    </w:p>
    <w:p w:rsidR="00385975" w:rsidRPr="00484931" w:rsidRDefault="00385975" w:rsidP="00385975">
      <w:pPr>
        <w:spacing w:line="480" w:lineRule="auto"/>
        <w:jc w:val="both"/>
        <w:rPr>
          <w:sz w:val="24"/>
          <w:szCs w:val="24"/>
        </w:rPr>
      </w:pPr>
      <w:r w:rsidRPr="00484931">
        <w:rPr>
          <w:sz w:val="24"/>
          <w:szCs w:val="24"/>
        </w:rPr>
        <w:t>The average handovers per UE per unit of time represents the number of handovers that occurs during a time under consideration.  With the total number of successful handovers</w:t>
      </w:r>
      <m:oMath>
        <m:sSub>
          <m:sSubPr>
            <m:ctrlPr>
              <w:rPr>
                <w:rFonts w:ascii="Cambria Math" w:hAnsi="Cambria Math"/>
                <w:i/>
                <w:sz w:val="24"/>
                <w:szCs w:val="24"/>
              </w:rPr>
            </m:ctrlPr>
          </m:sSubPr>
          <m:e>
            <m:r>
              <w:rPr>
                <w:rFonts w:ascii="Cambria Math" w:hAnsi="Cambria Math"/>
                <w:sz w:val="24"/>
                <w:szCs w:val="24"/>
              </w:rPr>
              <m:t>HO</m:t>
            </m:r>
          </m:e>
          <m:sub>
            <m:r>
              <w:rPr>
                <w:rFonts w:ascii="Cambria Math" w:hAnsi="Cambria Math"/>
                <w:sz w:val="24"/>
                <w:szCs w:val="24"/>
              </w:rPr>
              <m:t>Total</m:t>
            </m:r>
          </m:sub>
        </m:sSub>
      </m:oMath>
      <w:r w:rsidRPr="00484931">
        <w:rPr>
          <w:rFonts w:eastAsiaTheme="minorEastAsia"/>
          <w:sz w:val="24"/>
          <w:szCs w:val="24"/>
        </w:rPr>
        <w:t xml:space="preserve">, and </w:t>
      </w:r>
      <w:r w:rsidRPr="00484931">
        <w:rPr>
          <w:sz w:val="24"/>
          <w:szCs w:val="24"/>
        </w:rPr>
        <w:t>the total number of users</w:t>
      </w:r>
      <m:oMath>
        <m:r>
          <w:rPr>
            <w:rFonts w:ascii="Cambria Math" w:hAnsi="Cambria Math"/>
            <w:sz w:val="24"/>
            <w:szCs w:val="24"/>
          </w:rPr>
          <m:t>J</m:t>
        </m:r>
      </m:oMath>
      <w:r w:rsidRPr="00484931">
        <w:rPr>
          <w:rFonts w:eastAsiaTheme="minorEastAsia"/>
          <w:sz w:val="24"/>
          <w:szCs w:val="24"/>
        </w:rPr>
        <w:t xml:space="preserve">, the </w:t>
      </w:r>
      <w:r w:rsidRPr="00484931">
        <w:rPr>
          <w:sz w:val="24"/>
          <w:szCs w:val="24"/>
        </w:rPr>
        <w:t xml:space="preserve">average handovers per UE per second  </w:t>
      </w:r>
      <m:oMath>
        <m:sSub>
          <m:sSubPr>
            <m:ctrlPr>
              <w:rPr>
                <w:rFonts w:ascii="Cambria Math" w:hAnsi="Cambria Math"/>
                <w:i/>
                <w:sz w:val="24"/>
                <w:szCs w:val="24"/>
              </w:rPr>
            </m:ctrlPr>
          </m:sSubPr>
          <m:e>
            <m:r>
              <w:rPr>
                <w:rFonts w:ascii="Cambria Math" w:hAnsi="Cambria Math"/>
                <w:sz w:val="24"/>
                <w:szCs w:val="24"/>
              </w:rPr>
              <m:t>HO</m:t>
            </m:r>
          </m:e>
          <m:sub>
            <m:r>
              <w:rPr>
                <w:rFonts w:ascii="Cambria Math" w:hAnsi="Cambria Math"/>
                <w:sz w:val="24"/>
                <w:szCs w:val="24"/>
              </w:rPr>
              <m:t>avg</m:t>
            </m:r>
          </m:sub>
        </m:sSub>
      </m:oMath>
      <w:r w:rsidRPr="00484931">
        <w:rPr>
          <w:sz w:val="24"/>
          <w:szCs w:val="24"/>
        </w:rPr>
        <w:t xml:space="preserve">  can be defined</w:t>
      </w:r>
      <w:r>
        <w:rPr>
          <w:sz w:val="24"/>
          <w:szCs w:val="24"/>
        </w:rPr>
        <w:t xml:space="preserve"> </w:t>
      </w:r>
      <w:r w:rsidRPr="00484931">
        <w:rPr>
          <w:sz w:val="24"/>
          <w:szCs w:val="24"/>
        </w:rPr>
        <w:fldChar w:fldCharType="begin"/>
      </w:r>
      <w:r w:rsidRPr="00484931">
        <w:rPr>
          <w:sz w:val="24"/>
          <w:szCs w:val="24"/>
        </w:rPr>
        <w:instrText xml:space="preserve"> ADDIN EN.CITE &lt;EndNote&gt;&lt;Cite&gt;&lt;Author&gt;Lin&lt;/Author&gt;&lt;Year&gt;2011&lt;/Year&gt;&lt;RecNum&gt;28&lt;/RecNum&gt;&lt;DisplayText&gt;(36)&lt;/DisplayText&gt;&lt;record&gt;&lt;rec-number&gt;28&lt;/rec-number&gt;&lt;foreign-keys&gt;&lt;key app="EN" db-id="serr5f2f70wavrerrflvz0verrs2txedw5az" timestamp="1644238730"&gt;28&lt;/key&gt;&lt;/foreign-keys&gt;&lt;ref-type name="Journal Article"&gt;17&lt;/ref-type&gt;&lt;contributors&gt;&lt;authors&gt;&lt;author&gt;Lin, Cheng-Chung&lt;/author&gt;&lt;author&gt;Sandrasegaran, Kumbesan&lt;/author&gt;&lt;author&gt;Ramli, Huda Adibah Mohd&lt;/author&gt;&lt;author&gt;Basukala, Riyaj&lt;/author&gt;&lt;/authors&gt;&lt;/contributors&gt;&lt;titles&gt;&lt;title&gt;Optimized performance evaluation of LTE hard handover algorithm with average RSRP constraint&lt;/title&gt;&lt;secondary-title&gt;arXiv preprint arXiv:1105.0234&lt;/secondary-title&gt;&lt;/titles&gt;&lt;periodical&gt;&lt;full-title&gt;arXiv preprint arXiv:1105.0234&lt;/full-title&gt;&lt;/periodical&gt;&lt;dates&gt;&lt;year&gt;2011&lt;/year&gt;&lt;/dates&gt;&lt;urls&gt;&lt;/urls&gt;&lt;/record&gt;&lt;/Cite&gt;&lt;/EndNote&gt;</w:instrText>
      </w:r>
      <w:r w:rsidRPr="00484931">
        <w:rPr>
          <w:sz w:val="24"/>
          <w:szCs w:val="24"/>
        </w:rPr>
        <w:fldChar w:fldCharType="separate"/>
      </w:r>
      <w:r>
        <w:rPr>
          <w:noProof/>
          <w:sz w:val="24"/>
          <w:szCs w:val="24"/>
        </w:rPr>
        <w:t>[</w:t>
      </w:r>
      <w:r w:rsidRPr="00484931">
        <w:rPr>
          <w:noProof/>
          <w:sz w:val="24"/>
          <w:szCs w:val="24"/>
        </w:rPr>
        <w:t>36</w:t>
      </w:r>
      <w:r w:rsidRPr="00484931">
        <w:rPr>
          <w:sz w:val="24"/>
          <w:szCs w:val="24"/>
        </w:rPr>
        <w:fldChar w:fldCharType="end"/>
      </w:r>
      <w:r>
        <w:rPr>
          <w:sz w:val="24"/>
          <w:szCs w:val="24"/>
        </w:rPr>
        <w:t>]</w:t>
      </w:r>
      <w:r w:rsidRPr="00484931">
        <w:rPr>
          <w:sz w:val="24"/>
          <w:szCs w:val="24"/>
        </w:rPr>
        <w:t>.</w:t>
      </w:r>
    </w:p>
    <w:p w:rsidR="00385975" w:rsidRPr="00484931" w:rsidRDefault="00385975" w:rsidP="00385975">
      <w:pPr>
        <w:spacing w:line="480" w:lineRule="auto"/>
        <w:jc w:val="both"/>
        <w:rPr>
          <w:sz w:val="24"/>
          <w:szCs w:val="24"/>
        </w:rPr>
      </w:pPr>
      <m:oMathPara>
        <m:oMath>
          <m:sSub>
            <m:sSubPr>
              <m:ctrlPr>
                <w:rPr>
                  <w:rFonts w:ascii="Cambria Math" w:hAnsi="Cambria Math"/>
                  <w:i/>
                  <w:sz w:val="24"/>
                  <w:szCs w:val="24"/>
                </w:rPr>
              </m:ctrlPr>
            </m:sSubPr>
            <m:e>
              <m:r>
                <w:rPr>
                  <w:rFonts w:ascii="Cambria Math" w:hAnsi="Cambria Math"/>
                  <w:sz w:val="24"/>
                  <w:szCs w:val="24"/>
                </w:rPr>
                <m:t>HO</m:t>
              </m:r>
            </m:e>
            <m:sub>
              <m:r>
                <w:rPr>
                  <w:rFonts w:ascii="Cambria Math" w:hAnsi="Cambria Math"/>
                  <w:sz w:val="24"/>
                  <w:szCs w:val="24"/>
                </w:rPr>
                <m:t>avg</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HO</m:t>
                  </m:r>
                </m:e>
                <m:sub>
                  <m:r>
                    <w:rPr>
                      <w:rFonts w:ascii="Cambria Math" w:hAnsi="Cambria Math"/>
                      <w:sz w:val="24"/>
                      <w:szCs w:val="24"/>
                    </w:rPr>
                    <m:t>Total</m:t>
                  </m:r>
                </m:sub>
              </m:sSub>
            </m:num>
            <m:den>
              <m:r>
                <w:rPr>
                  <w:rFonts w:ascii="Cambria Math" w:hAnsi="Cambria Math"/>
                  <w:sz w:val="24"/>
                  <w:szCs w:val="24"/>
                </w:rPr>
                <m:t>JxT</m:t>
              </m:r>
            </m:den>
          </m:f>
        </m:oMath>
      </m:oMathPara>
    </w:p>
    <w:p w:rsidR="00385975" w:rsidRPr="00484931" w:rsidRDefault="00385975" w:rsidP="00385975">
      <w:pPr>
        <w:spacing w:line="480" w:lineRule="auto"/>
        <w:jc w:val="both"/>
        <w:rPr>
          <w:sz w:val="24"/>
          <w:szCs w:val="24"/>
        </w:rPr>
      </w:pPr>
      <w:r w:rsidRPr="00484931">
        <w:rPr>
          <w:sz w:val="24"/>
          <w:szCs w:val="24"/>
        </w:rPr>
        <w:t xml:space="preserve">Where, </w:t>
      </w:r>
      <w:r w:rsidRPr="00484931">
        <w:rPr>
          <w:i/>
          <w:sz w:val="24"/>
          <w:szCs w:val="24"/>
        </w:rPr>
        <w:t>J</w:t>
      </w:r>
      <w:r w:rsidRPr="00484931">
        <w:rPr>
          <w:sz w:val="24"/>
          <w:szCs w:val="24"/>
        </w:rPr>
        <w:t xml:space="preserve"> and </w:t>
      </w:r>
      <w:r w:rsidRPr="00484931">
        <w:rPr>
          <w:i/>
          <w:sz w:val="24"/>
          <w:szCs w:val="24"/>
        </w:rPr>
        <w:t>T</w:t>
      </w:r>
      <w:r w:rsidRPr="00484931">
        <w:rPr>
          <w:sz w:val="24"/>
          <w:szCs w:val="24"/>
        </w:rPr>
        <w:t xml:space="preserve"> are the total number of users and total time under consideration, respectively.  </w:t>
      </w:r>
    </w:p>
    <w:p w:rsidR="00385975" w:rsidRPr="00484931" w:rsidRDefault="00385975" w:rsidP="00385975">
      <w:pPr>
        <w:spacing w:line="480" w:lineRule="auto"/>
        <w:rPr>
          <w:sz w:val="24"/>
          <w:szCs w:val="24"/>
        </w:rPr>
      </w:pPr>
    </w:p>
    <w:p w:rsidR="00385975" w:rsidRPr="00484931" w:rsidRDefault="00385975" w:rsidP="00385975">
      <w:pPr>
        <w:spacing w:line="480" w:lineRule="auto"/>
        <w:contextualSpacing/>
        <w:jc w:val="both"/>
        <w:rPr>
          <w:rFonts w:eastAsiaTheme="minorEastAsia"/>
          <w:sz w:val="24"/>
          <w:szCs w:val="24"/>
        </w:rPr>
      </w:pPr>
      <w:r w:rsidRPr="00484931">
        <w:rPr>
          <w:rFonts w:eastAsiaTheme="minorEastAsia"/>
          <w:sz w:val="24"/>
          <w:szCs w:val="24"/>
        </w:rPr>
        <w:t xml:space="preserve">Using mobile phone users, Gonzalez et al.(2008) showed that the distribution of displacements over all users is well approximated by a truncated power-law with an exponential cut-off </w:t>
      </w:r>
      <m:oMath>
        <m:d>
          <m:dPr>
            <m:ctrlPr>
              <w:rPr>
                <w:rFonts w:ascii="Cambria Math" w:eastAsiaTheme="minorEastAsia" w:hAnsi="Cambria Math"/>
                <w:i/>
                <w:sz w:val="24"/>
                <w:szCs w:val="24"/>
              </w:rPr>
            </m:ctrlPr>
          </m:dPr>
          <m:e>
            <m:r>
              <w:rPr>
                <w:rFonts w:ascii="Cambria Math" w:eastAsiaTheme="minorEastAsia" w:hAnsi="Cambria Math"/>
                <w:sz w:val="24"/>
                <w:szCs w:val="24"/>
              </w:rPr>
              <m:t>P</m:t>
            </m:r>
            <m:d>
              <m:dPr>
                <m:ctrlPr>
                  <w:rPr>
                    <w:rFonts w:ascii="Cambria Math" w:eastAsiaTheme="minorEastAsia" w:hAnsi="Cambria Math"/>
                    <w:i/>
                    <w:sz w:val="24"/>
                    <w:szCs w:val="24"/>
                  </w:rPr>
                </m:ctrlPr>
              </m:dPr>
              <m:e>
                <m:r>
                  <w:rPr>
                    <w:rFonts w:ascii="Cambria Math" w:eastAsiaTheme="minorEastAsia" w:hAnsi="Cambria Math"/>
                    <w:sz w:val="24"/>
                    <w:szCs w:val="24"/>
                  </w:rPr>
                  <m:t>△r</m:t>
                </m:r>
              </m:e>
            </m:d>
            <m:r>
              <w:rPr>
                <w:rFonts w:ascii="Cambria Math" w:eastAsiaTheme="minorEastAsia" w:hAnsi="Cambria Math"/>
                <w:sz w:val="24"/>
                <w:szCs w:val="24"/>
              </w:rPr>
              <m:t>=</m:t>
            </m:r>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r>
                      <w:rPr>
                        <w:rFonts w:ascii="Cambria Math" w:eastAsiaTheme="minorEastAsia" w:hAnsi="Cambria Math"/>
                        <w:sz w:val="24"/>
                        <w:szCs w:val="24"/>
                      </w:rPr>
                      <m:t>△r+△</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o</m:t>
                        </m:r>
                      </m:sub>
                    </m:sSub>
                  </m:e>
                </m:d>
              </m:e>
              <m:sup>
                <m:r>
                  <w:rPr>
                    <w:rFonts w:ascii="Cambria Math" w:eastAsiaTheme="minorEastAsia" w:hAnsi="Cambria Math"/>
                    <w:sz w:val="24"/>
                    <w:szCs w:val="24"/>
                  </w:rPr>
                  <m:t>-β</m:t>
                </m:r>
              </m:sup>
            </m:sSup>
            <m:func>
              <m:funcPr>
                <m:ctrlPr>
                  <w:rPr>
                    <w:rFonts w:ascii="Cambria Math" w:eastAsiaTheme="minorEastAsia" w:hAnsi="Cambria Math"/>
                    <w:sz w:val="24"/>
                    <w:szCs w:val="24"/>
                  </w:rPr>
                </m:ctrlPr>
              </m:funcPr>
              <m:fName>
                <m:r>
                  <m:rPr>
                    <m:sty m:val="p"/>
                  </m:rPr>
                  <w:rPr>
                    <w:rFonts w:ascii="Cambria Math" w:eastAsiaTheme="minorEastAsia" w:hAnsi="Cambria Math"/>
                    <w:sz w:val="24"/>
                    <w:szCs w:val="24"/>
                  </w:rPr>
                  <m:t>exp</m:t>
                </m:r>
              </m:fName>
              <m:e>
                <m:d>
                  <m:dPr>
                    <m:ctrlPr>
                      <w:rPr>
                        <w:rFonts w:ascii="Cambria Math" w:eastAsiaTheme="minorEastAsia" w:hAnsi="Cambria Math"/>
                        <w:i/>
                        <w:sz w:val="24"/>
                        <w:szCs w:val="24"/>
                      </w:rPr>
                    </m:ctrlPr>
                  </m:dPr>
                  <m:e>
                    <m:r>
                      <w:rPr>
                        <w:rFonts w:ascii="Cambria Math" w:eastAsiaTheme="minorEastAsia" w:hAnsi="Cambria Math"/>
                        <w:sz w:val="24"/>
                        <w:szCs w:val="24"/>
                      </w:rPr>
                      <m:t>-</m:t>
                    </m:r>
                    <m:f>
                      <m:fPr>
                        <m:ctrlPr>
                          <w:rPr>
                            <w:rFonts w:ascii="Cambria Math" w:eastAsiaTheme="minorEastAsia" w:hAnsi="Cambria Math"/>
                            <w:i/>
                            <w:sz w:val="24"/>
                            <w:szCs w:val="24"/>
                          </w:rPr>
                        </m:ctrlPr>
                      </m:fPr>
                      <m:num>
                        <m:r>
                          <w:rPr>
                            <w:rFonts w:ascii="Cambria Math" w:eastAsiaTheme="minorEastAsia" w:hAnsi="Cambria Math"/>
                            <w:sz w:val="24"/>
                            <w:szCs w:val="24"/>
                          </w:rPr>
                          <m:t>∆r</m:t>
                        </m:r>
                      </m:num>
                      <m:den>
                        <m:r>
                          <w:rPr>
                            <w:rFonts w:ascii="Cambria Math" w:eastAsiaTheme="minorEastAsia" w:hAnsi="Cambria Math"/>
                            <w:sz w:val="24"/>
                            <w:szCs w:val="24"/>
                          </w:rPr>
                          <m:t>k</m:t>
                        </m:r>
                      </m:den>
                    </m:f>
                  </m:e>
                </m:d>
              </m:e>
            </m:func>
          </m:e>
        </m:d>
      </m:oMath>
      <w:r w:rsidRPr="00484931">
        <w:rPr>
          <w:rFonts w:eastAsiaTheme="minorEastAsia"/>
          <w:sz w:val="24"/>
          <w:szCs w:val="24"/>
        </w:rPr>
        <w:t xml:space="preserve"> , </w:t>
      </w:r>
      <m:oMath>
        <m:r>
          <w:rPr>
            <w:rFonts w:ascii="Cambria Math" w:eastAsiaTheme="minorEastAsia" w:hAnsi="Cambria Math"/>
            <w:sz w:val="24"/>
            <w:szCs w:val="24"/>
          </w:rPr>
          <m:t xml:space="preserve">where,  </m:t>
        </m:r>
        <m:r>
          <m:rPr>
            <m:sty m:val="p"/>
          </m:rPr>
          <w:rPr>
            <w:rFonts w:ascii="Cambria Math" w:eastAsiaTheme="minorEastAsia" w:hAnsi="Cambria Math"/>
            <w:sz w:val="24"/>
            <w:szCs w:val="24"/>
          </w:rPr>
          <m:t>△</m:t>
        </m:r>
        <m:r>
          <w:rPr>
            <w:rFonts w:ascii="Cambria Math" w:eastAsiaTheme="minorEastAsia" w:hAnsi="Cambria Math"/>
            <w:sz w:val="24"/>
            <w:szCs w:val="24"/>
          </w:rPr>
          <m:t>r</m:t>
        </m:r>
      </m:oMath>
      <w:r w:rsidRPr="00484931">
        <w:rPr>
          <w:rFonts w:eastAsiaTheme="minorEastAsia"/>
          <w:sz w:val="24"/>
          <w:szCs w:val="24"/>
        </w:rPr>
        <w:t xml:space="preserve"> =frequently called jump size, </w:t>
      </w:r>
      <m:oMath>
        <m:r>
          <m:rPr>
            <m:sty m:val="p"/>
          </m:rPr>
          <w:rPr>
            <w:rFonts w:ascii="Cambria Math" w:eastAsiaTheme="minorEastAsia" w:hAnsi="Cambria Math"/>
            <w:sz w:val="24"/>
            <w:szCs w:val="24"/>
          </w:rPr>
          <m:t xml:space="preserve"> </m:t>
        </m:r>
        <m:r>
          <w:rPr>
            <w:rFonts w:ascii="Cambria Math" w:eastAsiaTheme="minorEastAsia" w:hAnsi="Cambria Math"/>
            <w:sz w:val="24"/>
            <w:szCs w:val="24"/>
          </w:rPr>
          <m:t>β</m:t>
        </m:r>
      </m:oMath>
      <w:r w:rsidRPr="00484931">
        <w:rPr>
          <w:rFonts w:eastAsiaTheme="minorEastAsia"/>
          <w:sz w:val="24"/>
          <w:szCs w:val="24"/>
        </w:rPr>
        <w:t xml:space="preserve"> =</w:t>
      </w:r>
      <m:oMath>
        <m:r>
          <w:rPr>
            <w:rFonts w:ascii="Cambria Math" w:eastAsiaTheme="minorEastAsia" w:hAnsi="Cambria Math"/>
            <w:sz w:val="24"/>
            <w:szCs w:val="24"/>
          </w:rPr>
          <m:t xml:space="preserve">1.75±0.15 , </m:t>
        </m:r>
      </m:oMath>
      <w:r w:rsidRPr="00484931">
        <w:rPr>
          <w:rFonts w:eastAsiaTheme="minorEastAsia"/>
          <w:sz w:val="24"/>
          <w:szCs w:val="24"/>
        </w:rPr>
        <w:t xml:space="preserve">(mean </w:t>
      </w:r>
      <m:oMath>
        <m:r>
          <w:rPr>
            <w:rFonts w:ascii="Cambria Math" w:eastAsiaTheme="minorEastAsia" w:hAnsi="Cambria Math"/>
            <w:sz w:val="24"/>
            <w:szCs w:val="24"/>
          </w:rPr>
          <m:t xml:space="preserve">± </m:t>
        </m:r>
      </m:oMath>
      <w:r w:rsidRPr="00484931">
        <w:rPr>
          <w:rFonts w:eastAsiaTheme="minorEastAsia"/>
          <w:sz w:val="24"/>
          <w:szCs w:val="24"/>
        </w:rPr>
        <w:t xml:space="preserve">standard deviation), </w:t>
      </w:r>
      <m:oMath>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o</m:t>
            </m:r>
          </m:sub>
        </m:sSub>
        <m:r>
          <w:rPr>
            <w:rFonts w:ascii="Cambria Math" w:eastAsiaTheme="minorEastAsia" w:hAnsi="Cambria Math"/>
            <w:sz w:val="24"/>
            <w:szCs w:val="24"/>
          </w:rPr>
          <m:t xml:space="preserve">=1.5 km,  and k a cut-off value </m:t>
        </m:r>
      </m:oMath>
      <w:r w:rsidRPr="00484931">
        <w:rPr>
          <w:rFonts w:eastAsiaTheme="minorEastAsia"/>
          <w:sz w:val="24"/>
          <w:szCs w:val="24"/>
        </w:rPr>
        <w:t>varying in different experiments) and showed that individual truncated Levy trajectories co-exist with population-based heterogeneity. This heterogeneity was measured in terms of the radius of gyration distribution</w:t>
      </w:r>
      <m:oMath>
        <m:r>
          <w:rPr>
            <w:rFonts w:ascii="Cambria Math" w:eastAsiaTheme="minorEastAsia" w:hAnsi="Cambria Math"/>
            <w:sz w:val="24"/>
            <w:szCs w:val="24"/>
          </w:rPr>
          <m:t>P(</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g</m:t>
            </m:r>
          </m:sub>
        </m:sSub>
        <m:r>
          <w:rPr>
            <w:rFonts w:ascii="Cambria Math" w:eastAsiaTheme="minorEastAsia" w:hAnsi="Cambria Math"/>
            <w:sz w:val="24"/>
            <w:szCs w:val="24"/>
          </w:rPr>
          <m:t>)</m:t>
        </m:r>
      </m:oMath>
      <w:r w:rsidRPr="00484931">
        <w:rPr>
          <w:rFonts w:eastAsiaTheme="minorEastAsia"/>
          <w:sz w:val="24"/>
          <w:szCs w:val="24"/>
        </w:rPr>
        <w:t xml:space="preserve">, by calculating </w:t>
      </w:r>
      <m:oMath>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g</m:t>
            </m:r>
          </m:sub>
        </m:sSub>
      </m:oMath>
      <w:r w:rsidRPr="00484931">
        <w:rPr>
          <w:rFonts w:eastAsiaTheme="minorEastAsia"/>
          <w:sz w:val="24"/>
          <w:szCs w:val="24"/>
        </w:rPr>
        <w:t xml:space="preserve"> for distance traveled by a user. Meaning, most of people usually travel in close vicinity to their location, while few frequently make long journeys </w:t>
      </w:r>
      <w:r w:rsidRPr="00484931">
        <w:rPr>
          <w:rFonts w:eastAsiaTheme="minorEastAsia"/>
          <w:sz w:val="24"/>
          <w:szCs w:val="24"/>
        </w:rPr>
        <w:fldChar w:fldCharType="begin"/>
      </w:r>
      <w:r w:rsidRPr="00484931">
        <w:rPr>
          <w:rFonts w:eastAsiaTheme="minorEastAsia"/>
          <w:sz w:val="24"/>
          <w:szCs w:val="24"/>
        </w:rPr>
        <w:instrText xml:space="preserve"> ADDIN EN.CITE &lt;EndNote&gt;&lt;Cite&gt;&lt;Author&gt;Gonzalez&lt;/Author&gt;&lt;Year&gt;2008&lt;/Year&gt;&lt;RecNum&gt;16&lt;/RecNum&gt;&lt;DisplayText&gt;(16)&lt;/DisplayText&gt;&lt;record&gt;&lt;rec-number&gt;16&lt;/rec-number&gt;&lt;foreign-keys&gt;&lt;key app="EN" db-id="serr5f2f70wavrerrflvz0verrs2txedw5az" timestamp="1644237621"&gt;16&lt;/key&gt;&lt;/foreign-keys&gt;&lt;ref-type name="Journal Article"&gt;17&lt;/ref-type&gt;&lt;contributors&gt;&lt;authors&gt;&lt;author&gt;Gonzalez, Marta C&lt;/author&gt;&lt;author&gt;Hidalgo, Cesar A&lt;/author&gt;&lt;author&gt;Barabasi, Albert-Laszlo&lt;/author&gt;&lt;/authors&gt;&lt;/contributors&gt;&lt;titles&gt;&lt;title&gt;Understanding individual human mobility patterns&lt;/title&gt;&lt;secondary-title&gt;nature&lt;/secondary-title&gt;&lt;/titles&gt;&lt;periodical&gt;&lt;full-title&gt;Nature&lt;/full-title&gt;&lt;/periodical&gt;&lt;pages&gt;779-782&lt;/pages&gt;&lt;volume&gt;453&lt;/volume&gt;&lt;number&gt;7196&lt;/number&gt;&lt;dates&gt;&lt;year&gt;2008&lt;/year&gt;&lt;/dates&gt;&lt;isbn&gt;1476-4687&lt;/isbn&gt;&lt;urls&gt;&lt;/urls&gt;&lt;/record&gt;&lt;/Cite&gt;&lt;/EndNote&gt;</w:instrText>
      </w:r>
      <w:r w:rsidRPr="00484931">
        <w:rPr>
          <w:rFonts w:eastAsiaTheme="minorEastAsia"/>
          <w:sz w:val="24"/>
          <w:szCs w:val="24"/>
        </w:rPr>
        <w:fldChar w:fldCharType="separate"/>
      </w:r>
      <w:r>
        <w:rPr>
          <w:rFonts w:eastAsiaTheme="minorEastAsia"/>
          <w:noProof/>
          <w:sz w:val="24"/>
          <w:szCs w:val="24"/>
        </w:rPr>
        <w:t>[</w:t>
      </w:r>
      <w:r w:rsidRPr="00484931">
        <w:rPr>
          <w:rFonts w:eastAsiaTheme="minorEastAsia"/>
          <w:noProof/>
          <w:sz w:val="24"/>
          <w:szCs w:val="24"/>
        </w:rPr>
        <w:t>16</w:t>
      </w:r>
      <w:r w:rsidRPr="00484931">
        <w:rPr>
          <w:rFonts w:eastAsiaTheme="minorEastAsia"/>
          <w:sz w:val="24"/>
          <w:szCs w:val="24"/>
        </w:rPr>
        <w:fldChar w:fldCharType="end"/>
      </w:r>
      <w:r>
        <w:rPr>
          <w:rFonts w:eastAsiaTheme="minorEastAsia"/>
          <w:sz w:val="24"/>
          <w:szCs w:val="24"/>
        </w:rPr>
        <w:t>]</w:t>
      </w:r>
      <w:r w:rsidRPr="00484931">
        <w:rPr>
          <w:rFonts w:eastAsiaTheme="minorEastAsia"/>
          <w:sz w:val="24"/>
          <w:szCs w:val="24"/>
        </w:rPr>
        <w:t>.</w:t>
      </w:r>
    </w:p>
    <w:p w:rsidR="00385975" w:rsidRPr="00484931" w:rsidRDefault="00385975" w:rsidP="00385975">
      <w:pPr>
        <w:spacing w:line="480" w:lineRule="auto"/>
        <w:contextualSpacing/>
        <w:rPr>
          <w:rFonts w:eastAsiaTheme="minorEastAsia"/>
          <w:sz w:val="24"/>
          <w:szCs w:val="24"/>
        </w:rPr>
      </w:pPr>
    </w:p>
    <w:p w:rsidR="00385975" w:rsidRPr="00484931" w:rsidRDefault="00385975" w:rsidP="00385975">
      <w:pPr>
        <w:pStyle w:val="Heading3"/>
        <w:spacing w:line="480" w:lineRule="auto"/>
        <w:rPr>
          <w:i w:val="0"/>
          <w:sz w:val="24"/>
          <w:szCs w:val="24"/>
        </w:rPr>
      </w:pPr>
      <w:r w:rsidRPr="00484931">
        <w:rPr>
          <w:i w:val="0"/>
          <w:sz w:val="24"/>
          <w:szCs w:val="24"/>
        </w:rPr>
        <w:t xml:space="preserve">For this study, in the context of individual-mobility the probability that an individual moves to a new geographical location ( distance </w:t>
      </w:r>
      <m:oMath>
        <m:r>
          <w:rPr>
            <w:rFonts w:ascii="Cambria Math" w:hAnsi="Cambria Math"/>
            <w:sz w:val="24"/>
            <w:szCs w:val="24"/>
          </w:rPr>
          <m:t>r</m:t>
        </m:r>
      </m:oMath>
      <w:r w:rsidRPr="00484931">
        <w:rPr>
          <w:i w:val="0"/>
          <w:sz w:val="24"/>
          <w:szCs w:val="24"/>
        </w:rPr>
        <w:t xml:space="preserve"> in a time </w:t>
      </w:r>
      <m:oMath>
        <m:r>
          <w:rPr>
            <w:rFonts w:ascii="Cambria Math" w:hAnsi="Cambria Math"/>
            <w:sz w:val="24"/>
            <w:szCs w:val="24"/>
          </w:rPr>
          <m:t>△t</m:t>
        </m:r>
      </m:oMath>
      <w:r w:rsidRPr="00484931">
        <w:rPr>
          <w:i w:val="0"/>
          <w:sz w:val="24"/>
          <w:szCs w:val="24"/>
        </w:rPr>
        <w:t xml:space="preserve">) is proportional to the modified handover </w:t>
      </w:r>
      <m:oMath>
        <m:r>
          <w:rPr>
            <w:rFonts w:ascii="Cambria Math" w:hAnsi="Cambria Math"/>
            <w:sz w:val="24"/>
            <w:szCs w:val="24"/>
          </w:rPr>
          <m:t>f(r)</m:t>
        </m:r>
      </m:oMath>
      <w:r w:rsidRPr="00484931">
        <w:rPr>
          <w:i w:val="0"/>
          <w:sz w:val="24"/>
          <w:szCs w:val="24"/>
        </w:rPr>
        <w:t xml:space="preserve"> value , </w:t>
      </w:r>
      <m:oMath>
        <m:r>
          <w:rPr>
            <w:rFonts w:ascii="Cambria Math" w:hAnsi="Cambria Math"/>
            <w:sz w:val="24"/>
            <w:szCs w:val="24"/>
          </w:rPr>
          <m:t>HO×δ</m:t>
        </m:r>
      </m:oMath>
      <w:r w:rsidRPr="00484931">
        <w:rPr>
          <w:i w:val="0"/>
          <w:sz w:val="24"/>
          <w:szCs w:val="24"/>
        </w:rPr>
        <w:t xml:space="preserve">, where </w:t>
      </w:r>
      <m:oMath>
        <m:r>
          <w:rPr>
            <w:rFonts w:ascii="Cambria Math" w:hAnsi="Cambria Math"/>
            <w:sz w:val="24"/>
            <w:szCs w:val="24"/>
          </w:rPr>
          <m:t>δ</m:t>
        </m:r>
      </m:oMath>
      <w:r w:rsidRPr="00484931">
        <w:rPr>
          <w:i w:val="0"/>
          <w:sz w:val="24"/>
          <w:szCs w:val="24"/>
        </w:rPr>
        <w:t xml:space="preserve"> is the total number of a scaling multiplicative factor  that considers the probability of Handover distribution (UL/DL quality, UL/DL interference, UL/DL level, power budget, SINR, near moving mobile station, etc) in different geographical location and time/ season (hr., day, month and year). With this approach we also get the total number of discrete moves the active individual mobile user had up to time t. </w:t>
      </w:r>
    </w:p>
    <w:p w:rsidR="00385975" w:rsidRPr="00484931" w:rsidRDefault="00385975" w:rsidP="00385975">
      <w:pPr>
        <w:spacing w:line="480" w:lineRule="auto"/>
        <w:contextualSpacing/>
        <w:jc w:val="both"/>
        <w:rPr>
          <w:rFonts w:eastAsiaTheme="minorEastAsia"/>
          <w:sz w:val="24"/>
          <w:szCs w:val="24"/>
        </w:rPr>
      </w:pPr>
    </w:p>
    <w:p w:rsidR="00385975" w:rsidRPr="00484931" w:rsidRDefault="00385975" w:rsidP="00385975">
      <w:pPr>
        <w:spacing w:line="480" w:lineRule="auto"/>
        <w:contextualSpacing/>
        <w:jc w:val="both"/>
        <w:rPr>
          <w:rFonts w:eastAsiaTheme="minorEastAsia"/>
          <w:sz w:val="24"/>
          <w:szCs w:val="24"/>
        </w:rPr>
      </w:pPr>
      <w:r w:rsidRPr="00484931">
        <w:rPr>
          <w:rFonts w:eastAsiaTheme="minorEastAsia"/>
          <w:sz w:val="24"/>
          <w:szCs w:val="24"/>
        </w:rPr>
        <w:t xml:space="preserve">By considering the individual mobile communications at a site level, we obtain a network of </w:t>
      </w:r>
      <w:r w:rsidRPr="00484931">
        <w:rPr>
          <w:rStyle w:val="st"/>
          <w:sz w:val="24"/>
          <w:szCs w:val="24"/>
        </w:rPr>
        <w:t>20 districts</w:t>
      </w:r>
      <w:r w:rsidRPr="00484931">
        <w:rPr>
          <w:rFonts w:eastAsiaTheme="minorEastAsia"/>
          <w:sz w:val="24"/>
          <w:szCs w:val="24"/>
        </w:rPr>
        <w:t xml:space="preserve"> in Beneshangule and 13 districts in Gambella. We deﬁned the intensity of mobility between areas (locations) A and B as </w:t>
      </w:r>
    </w:p>
    <w:p w:rsidR="00385975" w:rsidRPr="00484931" w:rsidRDefault="00385975" w:rsidP="00385975">
      <w:pPr>
        <w:spacing w:line="480" w:lineRule="auto"/>
        <w:jc w:val="both"/>
        <w:rPr>
          <w:rFonts w:eastAsiaTheme="minorEastAsia"/>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M</m:t>
              </m:r>
            </m:e>
            <m:sub>
              <m:r>
                <w:rPr>
                  <w:rFonts w:ascii="Cambria Math" w:eastAsiaTheme="minorEastAsia" w:hAnsi="Cambria Math"/>
                  <w:sz w:val="24"/>
                  <w:szCs w:val="24"/>
                </w:rPr>
                <m:t>AB</m:t>
              </m:r>
            </m:sub>
          </m:sSub>
          <m:r>
            <w:rPr>
              <w:rFonts w:ascii="Cambria Math" w:eastAsiaTheme="minorEastAsia" w:hAnsi="Cambria Math"/>
              <w:sz w:val="24"/>
              <w:szCs w:val="24"/>
            </w:rPr>
            <m:t>=</m:t>
          </m:r>
          <m:nary>
            <m:naryPr>
              <m:chr m:val="∑"/>
              <m:limLoc m:val="undOvr"/>
              <m:supHide m:val="1"/>
              <m:ctrlPr>
                <w:rPr>
                  <w:rFonts w:ascii="Cambria Math" w:eastAsiaTheme="minorEastAsia" w:hAnsi="Cambria Math"/>
                  <w:i/>
                  <w:sz w:val="24"/>
                  <w:szCs w:val="24"/>
                </w:rPr>
              </m:ctrlPr>
            </m:naryPr>
            <m:sub>
              <m:r>
                <w:rPr>
                  <w:rFonts w:ascii="Cambria Math" w:eastAsiaTheme="minorEastAsia" w:hAnsi="Cambria Math"/>
                  <w:sz w:val="24"/>
                  <w:szCs w:val="24"/>
                </w:rPr>
                <m:t>i∈A,j∈B</m:t>
              </m:r>
            </m:sub>
            <m:sup/>
            <m:e>
              <m:sSub>
                <m:sSubPr>
                  <m:ctrlPr>
                    <w:rPr>
                      <w:rFonts w:ascii="Cambria Math" w:eastAsiaTheme="minorEastAsia" w:hAnsi="Cambria Math"/>
                      <w:i/>
                      <w:sz w:val="24"/>
                      <w:szCs w:val="24"/>
                    </w:rPr>
                  </m:ctrlPr>
                </m:sSubPr>
                <m:e>
                  <m:r>
                    <w:rPr>
                      <w:rFonts w:ascii="Cambria Math" w:eastAsiaTheme="minorEastAsia" w:hAnsi="Cambria Math"/>
                      <w:sz w:val="24"/>
                      <w:szCs w:val="24"/>
                    </w:rPr>
                    <m:t>m</m:t>
                  </m:r>
                </m:e>
                <m:sub>
                  <m:r>
                    <w:rPr>
                      <w:rFonts w:ascii="Cambria Math" w:eastAsiaTheme="minorEastAsia" w:hAnsi="Cambria Math"/>
                      <w:sz w:val="24"/>
                      <w:szCs w:val="24"/>
                    </w:rPr>
                    <m:t>ij .</m:t>
                  </m:r>
                </m:sub>
              </m:sSub>
            </m:e>
          </m:nary>
        </m:oMath>
      </m:oMathPara>
    </w:p>
    <w:p w:rsidR="00385975" w:rsidRPr="00484931" w:rsidRDefault="00385975" w:rsidP="00385975">
      <w:pPr>
        <w:spacing w:line="480" w:lineRule="auto"/>
        <w:jc w:val="both"/>
        <w:rPr>
          <w:rFonts w:eastAsiaTheme="minorEastAsia"/>
          <w:sz w:val="24"/>
          <w:szCs w:val="24"/>
        </w:rPr>
      </w:pPr>
      <w:r w:rsidRPr="00484931">
        <w:rPr>
          <w:rFonts w:eastAsiaTheme="minorEastAsia"/>
          <w:sz w:val="24"/>
          <w:szCs w:val="24"/>
        </w:rPr>
        <w:t>We also defined the probability of human mobility between the areas (locations) A and B by considering ﬂowing within a location, into location and out of location scales with active mobile user size, respectively as follows</w:t>
      </w:r>
    </w:p>
    <w:p w:rsidR="00385975" w:rsidRPr="00484931" w:rsidRDefault="00385975" w:rsidP="00385975">
      <w:pPr>
        <w:spacing w:line="480" w:lineRule="auto"/>
        <w:jc w:val="both"/>
        <w:rPr>
          <w:rFonts w:eastAsiaTheme="minorEastAsia"/>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M</m:t>
              </m:r>
            </m:e>
            <m:sub>
              <m:r>
                <w:rPr>
                  <w:rFonts w:ascii="Cambria Math" w:eastAsiaTheme="minorEastAsia" w:hAnsi="Cambria Math"/>
                  <w:sz w:val="24"/>
                  <w:szCs w:val="24"/>
                </w:rPr>
                <m:t>AA</m:t>
              </m:r>
            </m:sub>
          </m:sSub>
          <m:r>
            <w:rPr>
              <w:rFonts w:ascii="Cambria Math" w:eastAsiaTheme="minorEastAsia" w:hAnsi="Cambria Math"/>
              <w:sz w:val="24"/>
              <w:szCs w:val="24"/>
            </w:rPr>
            <m:t>=</m:t>
          </m:r>
          <m:nary>
            <m:naryPr>
              <m:chr m:val="∑"/>
              <m:limLoc m:val="undOvr"/>
              <m:supHide m:val="1"/>
              <m:ctrlPr>
                <w:rPr>
                  <w:rFonts w:ascii="Cambria Math" w:eastAsiaTheme="minorEastAsia" w:hAnsi="Cambria Math"/>
                  <w:i/>
                  <w:sz w:val="24"/>
                  <w:szCs w:val="24"/>
                </w:rPr>
              </m:ctrlPr>
            </m:naryPr>
            <m:sub>
              <m:r>
                <w:rPr>
                  <w:rFonts w:ascii="Cambria Math" w:eastAsiaTheme="minorEastAsia" w:hAnsi="Cambria Math"/>
                  <w:sz w:val="24"/>
                  <w:szCs w:val="24"/>
                </w:rPr>
                <m:t>i∈A,j∈A</m:t>
              </m:r>
            </m:sub>
            <m:sup/>
            <m:e>
              <m:sSub>
                <m:sSubPr>
                  <m:ctrlPr>
                    <w:rPr>
                      <w:rFonts w:ascii="Cambria Math" w:eastAsiaTheme="minorEastAsia" w:hAnsi="Cambria Math"/>
                      <w:i/>
                      <w:sz w:val="24"/>
                      <w:szCs w:val="24"/>
                    </w:rPr>
                  </m:ctrlPr>
                </m:sSubPr>
                <m:e>
                  <m:r>
                    <w:rPr>
                      <w:rFonts w:ascii="Cambria Math" w:eastAsiaTheme="minorEastAsia" w:hAnsi="Cambria Math"/>
                      <w:sz w:val="24"/>
                      <w:szCs w:val="24"/>
                    </w:rPr>
                    <m:t>m</m:t>
                  </m:r>
                </m:e>
                <m:sub>
                  <m:r>
                    <w:rPr>
                      <w:rFonts w:ascii="Cambria Math" w:eastAsiaTheme="minorEastAsia" w:hAnsi="Cambria Math"/>
                      <w:sz w:val="24"/>
                      <w:szCs w:val="24"/>
                    </w:rPr>
                    <m:t>ij .</m:t>
                  </m:r>
                </m:sub>
              </m:sSub>
            </m:e>
          </m:nary>
        </m:oMath>
      </m:oMathPara>
    </w:p>
    <w:p w:rsidR="00385975" w:rsidRPr="00484931" w:rsidRDefault="00385975" w:rsidP="00385975">
      <w:pPr>
        <w:spacing w:line="480" w:lineRule="auto"/>
        <w:jc w:val="both"/>
        <w:rPr>
          <w:rFonts w:eastAsiaTheme="minorEastAsia"/>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M*</m:t>
              </m:r>
            </m:e>
            <m:sub>
              <m:r>
                <w:rPr>
                  <w:rFonts w:ascii="Cambria Math" w:eastAsiaTheme="minorEastAsia" w:hAnsi="Cambria Math"/>
                  <w:sz w:val="24"/>
                  <w:szCs w:val="24"/>
                </w:rPr>
                <m:t>A</m:t>
              </m:r>
            </m:sub>
          </m:sSub>
          <m:r>
            <w:rPr>
              <w:rFonts w:ascii="Cambria Math" w:eastAsiaTheme="minorEastAsia" w:hAnsi="Cambria Math"/>
              <w:sz w:val="24"/>
              <w:szCs w:val="24"/>
            </w:rPr>
            <m:t>=</m:t>
          </m:r>
          <m:nary>
            <m:naryPr>
              <m:chr m:val="∑"/>
              <m:limLoc m:val="undOvr"/>
              <m:supHide m:val="1"/>
              <m:ctrlPr>
                <w:rPr>
                  <w:rFonts w:ascii="Cambria Math" w:eastAsiaTheme="minorEastAsia" w:hAnsi="Cambria Math"/>
                  <w:i/>
                  <w:sz w:val="24"/>
                  <w:szCs w:val="24"/>
                </w:rPr>
              </m:ctrlPr>
            </m:naryPr>
            <m:sub>
              <m:r>
                <w:rPr>
                  <w:rFonts w:ascii="Cambria Math" w:eastAsiaTheme="minorEastAsia" w:hAnsi="Cambria Math"/>
                  <w:sz w:val="24"/>
                  <w:szCs w:val="24"/>
                </w:rPr>
                <m:t>i∉A,j∈A</m:t>
              </m:r>
            </m:sub>
            <m:sup/>
            <m:e>
              <m:sSub>
                <m:sSubPr>
                  <m:ctrlPr>
                    <w:rPr>
                      <w:rFonts w:ascii="Cambria Math" w:eastAsiaTheme="minorEastAsia" w:hAnsi="Cambria Math"/>
                      <w:i/>
                      <w:sz w:val="24"/>
                      <w:szCs w:val="24"/>
                    </w:rPr>
                  </m:ctrlPr>
                </m:sSubPr>
                <m:e>
                  <m:r>
                    <w:rPr>
                      <w:rFonts w:ascii="Cambria Math" w:eastAsiaTheme="minorEastAsia" w:hAnsi="Cambria Math"/>
                      <w:sz w:val="24"/>
                      <w:szCs w:val="24"/>
                    </w:rPr>
                    <m:t>m</m:t>
                  </m:r>
                </m:e>
                <m:sub>
                  <m:r>
                    <w:rPr>
                      <w:rFonts w:ascii="Cambria Math" w:eastAsiaTheme="minorEastAsia" w:hAnsi="Cambria Math"/>
                      <w:sz w:val="24"/>
                      <w:szCs w:val="24"/>
                    </w:rPr>
                    <m:t>ij .</m:t>
                  </m:r>
                </m:sub>
              </m:sSub>
            </m:e>
          </m:nary>
        </m:oMath>
      </m:oMathPara>
    </w:p>
    <w:p w:rsidR="00385975" w:rsidRPr="00484931" w:rsidRDefault="00385975" w:rsidP="00385975">
      <w:pPr>
        <w:spacing w:line="480" w:lineRule="auto"/>
        <w:jc w:val="both"/>
        <w:rPr>
          <w:rFonts w:eastAsiaTheme="minorEastAsia"/>
          <w:sz w:val="24"/>
          <w:szCs w:val="24"/>
        </w:rPr>
      </w:pPr>
      <m:oMathPara>
        <m:oMath>
          <m:r>
            <m:rPr>
              <m:sty m:val="p"/>
            </m:rPr>
            <w:rPr>
              <w:rFonts w:ascii="Cambria Math" w:eastAsiaTheme="minorEastAsia" w:hAnsi="Cambria Math"/>
              <w:sz w:val="24"/>
              <w:szCs w:val="24"/>
            </w:rPr>
            <w:br/>
          </m:r>
        </m:oMath>
        <m:oMath>
          <m:sSub>
            <m:sSubPr>
              <m:ctrlPr>
                <w:rPr>
                  <w:rFonts w:ascii="Cambria Math" w:eastAsiaTheme="minorEastAsia" w:hAnsi="Cambria Math"/>
                  <w:i/>
                  <w:sz w:val="24"/>
                  <w:szCs w:val="24"/>
                </w:rPr>
              </m:ctrlPr>
            </m:sSubPr>
            <m:e>
              <m:r>
                <w:rPr>
                  <w:rFonts w:ascii="Cambria Math" w:eastAsiaTheme="minorEastAsia" w:hAnsi="Cambria Math"/>
                  <w:sz w:val="24"/>
                  <w:szCs w:val="24"/>
                </w:rPr>
                <m:t>M</m:t>
              </m:r>
            </m:e>
            <m:sub>
              <m:r>
                <w:rPr>
                  <w:rFonts w:ascii="Cambria Math" w:eastAsiaTheme="minorEastAsia" w:hAnsi="Cambria Math"/>
                  <w:sz w:val="24"/>
                  <w:szCs w:val="24"/>
                </w:rPr>
                <m:t>A*</m:t>
              </m:r>
            </m:sub>
          </m:sSub>
          <m:r>
            <w:rPr>
              <w:rFonts w:ascii="Cambria Math" w:eastAsiaTheme="minorEastAsia" w:hAnsi="Cambria Math"/>
              <w:sz w:val="24"/>
              <w:szCs w:val="24"/>
            </w:rPr>
            <m:t>=</m:t>
          </m:r>
          <m:nary>
            <m:naryPr>
              <m:chr m:val="∑"/>
              <m:limLoc m:val="undOvr"/>
              <m:supHide m:val="1"/>
              <m:ctrlPr>
                <w:rPr>
                  <w:rFonts w:ascii="Cambria Math" w:eastAsiaTheme="minorEastAsia" w:hAnsi="Cambria Math"/>
                  <w:i/>
                  <w:sz w:val="24"/>
                  <w:szCs w:val="24"/>
                </w:rPr>
              </m:ctrlPr>
            </m:naryPr>
            <m:sub>
              <m:r>
                <w:rPr>
                  <w:rFonts w:ascii="Cambria Math" w:eastAsiaTheme="minorEastAsia" w:hAnsi="Cambria Math"/>
                  <w:sz w:val="24"/>
                  <w:szCs w:val="24"/>
                </w:rPr>
                <m:t>i∈A,j∉A</m:t>
              </m:r>
            </m:sub>
            <m:sup/>
            <m:e>
              <m:sSub>
                <m:sSubPr>
                  <m:ctrlPr>
                    <w:rPr>
                      <w:rFonts w:ascii="Cambria Math" w:eastAsiaTheme="minorEastAsia" w:hAnsi="Cambria Math"/>
                      <w:i/>
                      <w:sz w:val="24"/>
                      <w:szCs w:val="24"/>
                    </w:rPr>
                  </m:ctrlPr>
                </m:sSubPr>
                <m:e>
                  <m:r>
                    <w:rPr>
                      <w:rFonts w:ascii="Cambria Math" w:eastAsiaTheme="minorEastAsia" w:hAnsi="Cambria Math"/>
                      <w:sz w:val="24"/>
                      <w:szCs w:val="24"/>
                    </w:rPr>
                    <m:t>m</m:t>
                  </m:r>
                </m:e>
                <m:sub>
                  <m:r>
                    <w:rPr>
                      <w:rFonts w:ascii="Cambria Math" w:eastAsiaTheme="minorEastAsia" w:hAnsi="Cambria Math"/>
                      <w:sz w:val="24"/>
                      <w:szCs w:val="24"/>
                    </w:rPr>
                    <m:t>ij .</m:t>
                  </m:r>
                </m:sub>
              </m:sSub>
            </m:e>
          </m:nary>
        </m:oMath>
      </m:oMathPara>
    </w:p>
    <w:p w:rsidR="00385975" w:rsidRPr="00484931" w:rsidRDefault="00385975" w:rsidP="00385975">
      <w:pPr>
        <w:spacing w:line="480" w:lineRule="auto"/>
        <w:jc w:val="both"/>
        <w:rPr>
          <w:rFonts w:eastAsiaTheme="minorEastAsia"/>
          <w:sz w:val="24"/>
          <w:szCs w:val="24"/>
        </w:rPr>
      </w:pPr>
      <w:r w:rsidRPr="00484931">
        <w:rPr>
          <w:rFonts w:eastAsiaTheme="minorEastAsia"/>
          <w:sz w:val="24"/>
          <w:szCs w:val="24"/>
        </w:rPr>
        <w:t>Given the inputs, the algorithm computes for every pair of locations i, j the probability of moving from i to j (Algorithm 1,).</w:t>
      </w:r>
    </w:p>
    <w:p w:rsidR="00385975" w:rsidRPr="00484931" w:rsidRDefault="00385975" w:rsidP="00385975">
      <w:pPr>
        <w:spacing w:line="480" w:lineRule="auto"/>
        <w:jc w:val="both"/>
        <w:rPr>
          <w:sz w:val="24"/>
          <w:szCs w:val="24"/>
        </w:rPr>
      </w:pPr>
      <w:r w:rsidRPr="00484931">
        <w:rPr>
          <w:sz w:val="24"/>
          <w:szCs w:val="24"/>
        </w:rPr>
        <w:t xml:space="preserve">The probability that a call goes through at least </w:t>
      </w:r>
      <m:oMath>
        <m:r>
          <w:rPr>
            <w:rFonts w:ascii="Cambria Math" w:hAnsi="Cambria Math"/>
            <w:sz w:val="24"/>
            <w:szCs w:val="24"/>
          </w:rPr>
          <m:t>N</m:t>
        </m:r>
      </m:oMath>
      <w:r w:rsidRPr="00484931">
        <w:rPr>
          <w:sz w:val="24"/>
          <w:szCs w:val="24"/>
        </w:rPr>
        <w:t xml:space="preserve"> handovers is specified in </w:t>
      </w:r>
      <w:r w:rsidRPr="00484931">
        <w:rPr>
          <w:sz w:val="24"/>
          <w:szCs w:val="24"/>
        </w:rPr>
        <w:fldChar w:fldCharType="begin"/>
      </w:r>
      <w:r w:rsidRPr="00484931">
        <w:rPr>
          <w:sz w:val="24"/>
          <w:szCs w:val="24"/>
        </w:rPr>
        <w:instrText xml:space="preserve"> ADDIN EN.CITE &lt;EndNote&gt;&lt;Cite&gt;&lt;Author&gt;Bratanov&lt;/Author&gt;&lt;Year&gt;1999&lt;/Year&gt;&lt;RecNum&gt;29&lt;/RecNum&gt;&lt;DisplayText&gt;(37)&lt;/DisplayText&gt;&lt;record&gt;&lt;rec-number&gt;29&lt;/rec-number&gt;&lt;foreign-keys&gt;&lt;key app="EN" db-id="serr5f2f70wavrerrflvz0verrs2txedw5az" timestamp="1644238762"&gt;29&lt;/key&gt;&lt;/foreign-keys&gt;&lt;ref-type name="Book"&gt;6&lt;/ref-type&gt;&lt;contributors&gt;&lt;authors&gt;&lt;author&gt;Bratanov, Plamen I&lt;/author&gt;&lt;/authors&gt;&lt;/contributors&gt;&lt;titles&gt;&lt;title&gt;User mobility modeling in cellular communications networks&lt;/title&gt;&lt;/titles&gt;&lt;dates&gt;&lt;year&gt;1999&lt;/year&gt;&lt;/dates&gt;&lt;publisher&gt;Citeseer&lt;/publisher&gt;&lt;urls&gt;&lt;/urls&gt;&lt;/record&gt;&lt;/Cite&gt;&lt;/EndNote&gt;</w:instrText>
      </w:r>
      <w:r w:rsidRPr="00484931">
        <w:rPr>
          <w:sz w:val="24"/>
          <w:szCs w:val="24"/>
        </w:rPr>
        <w:fldChar w:fldCharType="separate"/>
      </w:r>
      <w:r>
        <w:rPr>
          <w:noProof/>
          <w:sz w:val="24"/>
          <w:szCs w:val="24"/>
        </w:rPr>
        <w:t>[</w:t>
      </w:r>
      <w:r w:rsidRPr="00484931">
        <w:rPr>
          <w:noProof/>
          <w:sz w:val="24"/>
          <w:szCs w:val="24"/>
        </w:rPr>
        <w:t>37</w:t>
      </w:r>
      <w:r w:rsidRPr="00484931">
        <w:rPr>
          <w:sz w:val="24"/>
          <w:szCs w:val="24"/>
        </w:rPr>
        <w:fldChar w:fldCharType="end"/>
      </w:r>
      <w:r>
        <w:rPr>
          <w:sz w:val="24"/>
          <w:szCs w:val="24"/>
        </w:rPr>
        <w:t>]</w:t>
      </w:r>
      <w:r w:rsidRPr="00484931">
        <w:rPr>
          <w:sz w:val="24"/>
          <w:szCs w:val="24"/>
        </w:rPr>
        <w:t>.</w:t>
      </w:r>
    </w:p>
    <w:p w:rsidR="00385975" w:rsidRPr="00484931" w:rsidRDefault="00385975" w:rsidP="00385975">
      <w:pPr>
        <w:spacing w:line="480" w:lineRule="auto"/>
        <w:jc w:val="both"/>
        <w:rPr>
          <w:sz w:val="24"/>
          <w:szCs w:val="24"/>
        </w:rPr>
      </w:pPr>
      <m:oMathPara>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r</m:t>
              </m:r>
            </m:sub>
          </m:sSub>
          <m:d>
            <m:dPr>
              <m:begChr m:val="["/>
              <m:endChr m:val="]"/>
              <m:ctrlPr>
                <w:rPr>
                  <w:rFonts w:ascii="Cambria Math" w:hAnsi="Cambria Math"/>
                  <w:i/>
                  <w:sz w:val="24"/>
                  <w:szCs w:val="24"/>
                </w:rPr>
              </m:ctrlPr>
            </m:dPr>
            <m:e>
              <m:r>
                <w:rPr>
                  <w:rFonts w:ascii="Cambria Math" w:hAnsi="Cambria Math"/>
                  <w:sz w:val="24"/>
                  <w:szCs w:val="24"/>
                </w:rPr>
                <m:t>handovers ≥N</m:t>
              </m:r>
            </m:e>
          </m:d>
          <m:r>
            <w:rPr>
              <w:rFonts w:ascii="Cambria Math" w:hAnsi="Cambria Math"/>
              <w:sz w:val="24"/>
              <w:szCs w:val="24"/>
            </w:rPr>
            <m:t>=</m:t>
          </m:r>
          <m:nary>
            <m:naryPr>
              <m:limLoc m:val="subSup"/>
              <m:ctrlPr>
                <w:rPr>
                  <w:rFonts w:ascii="Cambria Math" w:hAnsi="Cambria Math"/>
                  <w:i/>
                  <w:sz w:val="24"/>
                  <w:szCs w:val="24"/>
                </w:rPr>
              </m:ctrlPr>
            </m:naryPr>
            <m:sub>
              <m:r>
                <w:rPr>
                  <w:rFonts w:ascii="Cambria Math" w:hAnsi="Cambria Math"/>
                  <w:sz w:val="24"/>
                  <w:szCs w:val="24"/>
                </w:rPr>
                <m:t>0</m:t>
              </m:r>
            </m:sub>
            <m:sup>
              <m:r>
                <w:rPr>
                  <w:rFonts w:ascii="Cambria Math" w:hAnsi="Cambria Math"/>
                  <w:sz w:val="24"/>
                  <w:szCs w:val="24"/>
                </w:rPr>
                <m:t>∞</m:t>
              </m:r>
            </m:sup>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r</m:t>
                  </m:r>
                </m:sub>
              </m:sSub>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N</m:t>
                      </m:r>
                    </m:sub>
                  </m:sSub>
                  <m:r>
                    <w:rPr>
                      <w:rFonts w:ascii="Cambria Math" w:hAnsi="Cambria Math"/>
                      <w:sz w:val="24"/>
                      <w:szCs w:val="24"/>
                    </w:rPr>
                    <m:t>≤t</m:t>
                  </m:r>
                </m:e>
              </m:d>
              <m:r>
                <w:rPr>
                  <w:rFonts w:ascii="Cambria Math" w:hAnsi="Cambria Math"/>
                  <w:sz w:val="24"/>
                  <w:szCs w:val="24"/>
                </w:rPr>
                <m:t>pd</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c</m:t>
                  </m:r>
                </m:sub>
              </m:sSub>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dt</m:t>
              </m:r>
            </m:e>
          </m:nary>
        </m:oMath>
      </m:oMathPara>
    </w:p>
    <w:p w:rsidR="00385975" w:rsidRPr="00484931" w:rsidRDefault="00385975" w:rsidP="00385975">
      <w:pPr>
        <w:spacing w:line="480" w:lineRule="auto"/>
        <w:jc w:val="both"/>
        <w:rPr>
          <w:sz w:val="24"/>
          <w:szCs w:val="24"/>
        </w:rPr>
      </w:pPr>
      <w:r w:rsidRPr="00484931">
        <w:rPr>
          <w:sz w:val="24"/>
          <w:szCs w:val="24"/>
        </w:rPr>
        <w:t xml:space="preserve">Where  </w:t>
      </w: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r</m:t>
            </m:r>
          </m:sub>
        </m:sSub>
        <m:d>
          <m:dPr>
            <m:begChr m:val="["/>
            <m:endChr m:val="]"/>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N</m:t>
                </m:r>
              </m:sub>
            </m:sSub>
            <m:r>
              <w:rPr>
                <w:rFonts w:ascii="Cambria Math" w:hAnsi="Cambria Math"/>
                <w:sz w:val="24"/>
                <w:szCs w:val="24"/>
              </w:rPr>
              <m:t>≤t</m:t>
            </m:r>
          </m:e>
        </m:d>
      </m:oMath>
      <w:r w:rsidRPr="00484931">
        <w:rPr>
          <w:sz w:val="24"/>
          <w:szCs w:val="24"/>
        </w:rPr>
        <w:t xml:space="preserve"> is the probability that the </w:t>
      </w:r>
      <m:oMath>
        <m:r>
          <w:rPr>
            <w:rFonts w:ascii="Cambria Math" w:hAnsi="Cambria Math"/>
            <w:sz w:val="24"/>
            <w:szCs w:val="24"/>
          </w:rPr>
          <m:t>N_th</m:t>
        </m:r>
      </m:oMath>
      <w:r w:rsidRPr="00484931">
        <w:rPr>
          <w:sz w:val="24"/>
          <w:szCs w:val="24"/>
        </w:rPr>
        <w:t xml:space="preserve">  cell boundary crossing will take place before time t, and </w:t>
      </w:r>
      <m:oMath>
        <m:r>
          <w:rPr>
            <w:rFonts w:ascii="Cambria Math" w:hAnsi="Cambria Math"/>
            <w:sz w:val="24"/>
            <w:szCs w:val="24"/>
          </w:rPr>
          <m:t>pd</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c</m:t>
            </m:r>
          </m:sub>
        </m:sSub>
        <m:d>
          <m:dPr>
            <m:ctrlPr>
              <w:rPr>
                <w:rFonts w:ascii="Cambria Math" w:hAnsi="Cambria Math"/>
                <w:i/>
                <w:sz w:val="24"/>
                <w:szCs w:val="24"/>
              </w:rPr>
            </m:ctrlPr>
          </m:dPr>
          <m:e>
            <m:r>
              <w:rPr>
                <w:rFonts w:ascii="Cambria Math" w:hAnsi="Cambria Math"/>
                <w:sz w:val="24"/>
                <w:szCs w:val="24"/>
              </w:rPr>
              <m:t>t</m:t>
            </m:r>
          </m:e>
        </m:d>
      </m:oMath>
      <w:r w:rsidRPr="00484931">
        <w:rPr>
          <w:sz w:val="24"/>
          <w:szCs w:val="24"/>
        </w:rPr>
        <w:t xml:space="preserve"> is the call duration probability density function.</w:t>
      </w:r>
    </w:p>
    <w:p w:rsidR="00385975" w:rsidRPr="00484931" w:rsidRDefault="00385975" w:rsidP="00385975">
      <w:pPr>
        <w:spacing w:line="480" w:lineRule="auto"/>
        <w:rPr>
          <w:sz w:val="24"/>
          <w:szCs w:val="24"/>
        </w:rPr>
      </w:pPr>
    </w:p>
    <w:p w:rsidR="00385975" w:rsidRPr="00484931" w:rsidRDefault="00385975" w:rsidP="00385975">
      <w:pPr>
        <w:spacing w:line="480" w:lineRule="auto"/>
        <w:contextualSpacing/>
        <w:rPr>
          <w:b/>
          <w:sz w:val="24"/>
          <w:szCs w:val="24"/>
        </w:rPr>
      </w:pPr>
      <w:r w:rsidRPr="00484931">
        <w:rPr>
          <w:b/>
          <w:sz w:val="24"/>
          <w:szCs w:val="24"/>
        </w:rPr>
        <w:t>Algorithm</w:t>
      </w:r>
    </w:p>
    <w:p w:rsidR="00385975" w:rsidRPr="00484931" w:rsidRDefault="00385975" w:rsidP="00385975">
      <w:pPr>
        <w:spacing w:line="480" w:lineRule="auto"/>
        <w:contextualSpacing/>
        <w:jc w:val="both"/>
        <w:rPr>
          <w:sz w:val="24"/>
          <w:szCs w:val="24"/>
        </w:rPr>
      </w:pPr>
      <w:r w:rsidRPr="00484931">
        <w:rPr>
          <w:sz w:val="24"/>
          <w:szCs w:val="24"/>
        </w:rPr>
        <w:t xml:space="preserve">For this study, when creating a representative and realistic version of quantifying human mobility, several steps have to be taken. The process starts with initiating the cell location and deciding on which fundamental characteristics the human mobility quantification approach should consist including mobility inputs, set threshold for short distance movement and compute which observations are needed. </w:t>
      </w:r>
    </w:p>
    <w:p w:rsidR="00385975" w:rsidRPr="00484931" w:rsidRDefault="00385975" w:rsidP="00385975">
      <w:pPr>
        <w:spacing w:line="480" w:lineRule="auto"/>
        <w:contextualSpacing/>
        <w:jc w:val="both"/>
        <w:rPr>
          <w:spacing w:val="-1"/>
          <w:sz w:val="24"/>
          <w:szCs w:val="24"/>
        </w:rPr>
      </w:pPr>
      <w:r>
        <w:rPr>
          <w:spacing w:val="-1"/>
          <w:sz w:val="24"/>
          <w:szCs w:val="24"/>
        </w:rPr>
        <w:t>T</w:t>
      </w:r>
      <w:r w:rsidRPr="00484931">
        <w:rPr>
          <w:spacing w:val="-1"/>
          <w:sz w:val="24"/>
          <w:szCs w:val="24"/>
        </w:rPr>
        <w:t xml:space="preserve">he following algorithm </w:t>
      </w:r>
      <w:r>
        <w:rPr>
          <w:spacing w:val="-1"/>
          <w:sz w:val="24"/>
          <w:szCs w:val="24"/>
        </w:rPr>
        <w:t xml:space="preserve">was used </w:t>
      </w:r>
      <w:r w:rsidRPr="00484931">
        <w:rPr>
          <w:spacing w:val="-1"/>
          <w:sz w:val="24"/>
          <w:szCs w:val="24"/>
        </w:rPr>
        <w:t xml:space="preserve">for generating mobility model using cellular network data from Benishangul-Gumuz and Gambella regions.  </w:t>
      </w:r>
      <w:r>
        <w:rPr>
          <w:spacing w:val="-1"/>
          <w:sz w:val="24"/>
          <w:szCs w:val="24"/>
        </w:rPr>
        <w:t>Fi</w:t>
      </w:r>
      <w:r w:rsidRPr="00484931">
        <w:rPr>
          <w:spacing w:val="-1"/>
          <w:sz w:val="24"/>
          <w:szCs w:val="24"/>
        </w:rPr>
        <w:t>rst the necessary cell tower</w:t>
      </w:r>
      <w:r>
        <w:rPr>
          <w:spacing w:val="-1"/>
          <w:sz w:val="24"/>
          <w:szCs w:val="24"/>
        </w:rPr>
        <w:t>s in</w:t>
      </w:r>
      <w:r w:rsidRPr="00484931">
        <w:rPr>
          <w:spacing w:val="-1"/>
          <w:sz w:val="24"/>
          <w:szCs w:val="24"/>
        </w:rPr>
        <w:t xml:space="preserve"> both 2G and 3G sites</w:t>
      </w:r>
      <w:r>
        <w:rPr>
          <w:spacing w:val="-1"/>
          <w:sz w:val="24"/>
          <w:szCs w:val="24"/>
        </w:rPr>
        <w:t xml:space="preserve"> were selected</w:t>
      </w:r>
      <w:r w:rsidRPr="00484931">
        <w:rPr>
          <w:spacing w:val="-1"/>
          <w:sz w:val="24"/>
          <w:szCs w:val="24"/>
        </w:rPr>
        <w:t xml:space="preserve"> (the cell towers where a person makes consecutive calls).  For each cell </w:t>
      </w:r>
      <w:r>
        <w:rPr>
          <w:spacing w:val="-1"/>
          <w:sz w:val="24"/>
          <w:szCs w:val="24"/>
        </w:rPr>
        <w:t>t</w:t>
      </w:r>
      <w:r w:rsidRPr="00484931">
        <w:rPr>
          <w:spacing w:val="-1"/>
          <w:sz w:val="24"/>
          <w:szCs w:val="24"/>
        </w:rPr>
        <w:t>he necessary mobility parameter data</w:t>
      </w:r>
      <w:r>
        <w:rPr>
          <w:spacing w:val="-1"/>
          <w:sz w:val="24"/>
          <w:szCs w:val="24"/>
        </w:rPr>
        <w:t xml:space="preserve"> were collected</w:t>
      </w:r>
      <w:r w:rsidRPr="00484931">
        <w:rPr>
          <w:spacing w:val="-1"/>
          <w:sz w:val="24"/>
          <w:szCs w:val="24"/>
        </w:rPr>
        <w:t xml:space="preserve"> per hour, week and month. Second, </w:t>
      </w:r>
      <w:r>
        <w:rPr>
          <w:spacing w:val="-1"/>
          <w:sz w:val="24"/>
          <w:szCs w:val="24"/>
        </w:rPr>
        <w:t>t</w:t>
      </w:r>
      <w:r w:rsidRPr="00484931">
        <w:rPr>
          <w:spacing w:val="-1"/>
          <w:sz w:val="24"/>
          <w:szCs w:val="24"/>
        </w:rPr>
        <w:t>he scale factor</w:t>
      </w:r>
      <w:r>
        <w:rPr>
          <w:spacing w:val="-1"/>
          <w:sz w:val="24"/>
          <w:szCs w:val="24"/>
        </w:rPr>
        <w:t xml:space="preserve"> was computed</w:t>
      </w:r>
      <w:r w:rsidRPr="00484931">
        <w:rPr>
          <w:spacing w:val="-1"/>
          <w:sz w:val="24"/>
          <w:szCs w:val="24"/>
        </w:rPr>
        <w:t xml:space="preserve"> to change the mobility parameter value to the human mobility pattern. Finally, the relative human mobility probability for each scenario</w:t>
      </w:r>
      <w:r>
        <w:rPr>
          <w:spacing w:val="-1"/>
          <w:sz w:val="24"/>
          <w:szCs w:val="24"/>
        </w:rPr>
        <w:t xml:space="preserve"> was calculated</w:t>
      </w:r>
      <w:r w:rsidRPr="00484931">
        <w:rPr>
          <w:spacing w:val="-1"/>
          <w:sz w:val="24"/>
          <w:szCs w:val="24"/>
        </w:rPr>
        <w:t xml:space="preserve">. Generally, several preprocessing steps had been carried out before analysis. </w:t>
      </w:r>
    </w:p>
    <w:p w:rsidR="00385975" w:rsidRPr="00625B1E" w:rsidRDefault="00385975" w:rsidP="00385975">
      <w:pPr>
        <w:spacing w:line="480" w:lineRule="auto"/>
        <w:rPr>
          <w:sz w:val="24"/>
          <w:szCs w:val="24"/>
        </w:rPr>
      </w:pPr>
    </w:p>
    <w:p w:rsidR="00161C2C" w:rsidRDefault="00161C2C">
      <w:bookmarkStart w:id="0" w:name="_GoBack"/>
      <w:bookmarkEnd w:id="0"/>
    </w:p>
    <w:sectPr w:rsidR="00161C2C" w:rsidSect="00625B1E">
      <w:footerReference w:type="default" r:id="rId4"/>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3461805"/>
      <w:docPartObj>
        <w:docPartGallery w:val="Page Numbers (Bottom of Page)"/>
        <w:docPartUnique/>
      </w:docPartObj>
    </w:sdtPr>
    <w:sdtEndPr>
      <w:rPr>
        <w:noProof/>
      </w:rPr>
    </w:sdtEndPr>
    <w:sdtContent>
      <w:p w:rsidR="00312573" w:rsidRDefault="003859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12573" w:rsidRDefault="00385975">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36B"/>
    <w:rsid w:val="000002A9"/>
    <w:rsid w:val="0000077A"/>
    <w:rsid w:val="00001F9D"/>
    <w:rsid w:val="00004BB6"/>
    <w:rsid w:val="000058D9"/>
    <w:rsid w:val="000104CC"/>
    <w:rsid w:val="00011996"/>
    <w:rsid w:val="000121F2"/>
    <w:rsid w:val="000128A2"/>
    <w:rsid w:val="000214B1"/>
    <w:rsid w:val="00024852"/>
    <w:rsid w:val="0002719A"/>
    <w:rsid w:val="0003089A"/>
    <w:rsid w:val="0003102E"/>
    <w:rsid w:val="0003121E"/>
    <w:rsid w:val="0003211F"/>
    <w:rsid w:val="000361F6"/>
    <w:rsid w:val="00036604"/>
    <w:rsid w:val="000442D1"/>
    <w:rsid w:val="000444F9"/>
    <w:rsid w:val="0004708E"/>
    <w:rsid w:val="000472FE"/>
    <w:rsid w:val="00050A44"/>
    <w:rsid w:val="0005122F"/>
    <w:rsid w:val="00052887"/>
    <w:rsid w:val="0005478A"/>
    <w:rsid w:val="00061813"/>
    <w:rsid w:val="00061D29"/>
    <w:rsid w:val="00062A3B"/>
    <w:rsid w:val="000657A4"/>
    <w:rsid w:val="00067568"/>
    <w:rsid w:val="00070427"/>
    <w:rsid w:val="00070AE3"/>
    <w:rsid w:val="00070F9C"/>
    <w:rsid w:val="00072CC1"/>
    <w:rsid w:val="000769FF"/>
    <w:rsid w:val="0008168D"/>
    <w:rsid w:val="00081818"/>
    <w:rsid w:val="00082A83"/>
    <w:rsid w:val="00083748"/>
    <w:rsid w:val="00084F55"/>
    <w:rsid w:val="00087422"/>
    <w:rsid w:val="000874BF"/>
    <w:rsid w:val="000874EE"/>
    <w:rsid w:val="00087ECD"/>
    <w:rsid w:val="000907DD"/>
    <w:rsid w:val="000913A9"/>
    <w:rsid w:val="00092D53"/>
    <w:rsid w:val="00092EB2"/>
    <w:rsid w:val="000A2202"/>
    <w:rsid w:val="000A56D0"/>
    <w:rsid w:val="000A6817"/>
    <w:rsid w:val="000A6953"/>
    <w:rsid w:val="000A72FC"/>
    <w:rsid w:val="000A78EA"/>
    <w:rsid w:val="000B0ED4"/>
    <w:rsid w:val="000B4391"/>
    <w:rsid w:val="000B480A"/>
    <w:rsid w:val="000B4A19"/>
    <w:rsid w:val="000B70FD"/>
    <w:rsid w:val="000C1E40"/>
    <w:rsid w:val="000C25C9"/>
    <w:rsid w:val="000C27FC"/>
    <w:rsid w:val="000C3AB8"/>
    <w:rsid w:val="000C4511"/>
    <w:rsid w:val="000C5921"/>
    <w:rsid w:val="000C6D97"/>
    <w:rsid w:val="000D044B"/>
    <w:rsid w:val="000D709A"/>
    <w:rsid w:val="000E2C38"/>
    <w:rsid w:val="000F38D0"/>
    <w:rsid w:val="000F4999"/>
    <w:rsid w:val="00100FEB"/>
    <w:rsid w:val="00103F90"/>
    <w:rsid w:val="001054D6"/>
    <w:rsid w:val="00107DBA"/>
    <w:rsid w:val="0011027E"/>
    <w:rsid w:val="001102D0"/>
    <w:rsid w:val="00110387"/>
    <w:rsid w:val="00110B14"/>
    <w:rsid w:val="001114DD"/>
    <w:rsid w:val="001122BE"/>
    <w:rsid w:val="00112BB4"/>
    <w:rsid w:val="00114F69"/>
    <w:rsid w:val="00123C0C"/>
    <w:rsid w:val="001304C1"/>
    <w:rsid w:val="0013211D"/>
    <w:rsid w:val="00134235"/>
    <w:rsid w:val="00136A65"/>
    <w:rsid w:val="001377B4"/>
    <w:rsid w:val="00140DCA"/>
    <w:rsid w:val="00144405"/>
    <w:rsid w:val="00145764"/>
    <w:rsid w:val="001473E5"/>
    <w:rsid w:val="00147E0F"/>
    <w:rsid w:val="001515FB"/>
    <w:rsid w:val="00151B9B"/>
    <w:rsid w:val="0015344E"/>
    <w:rsid w:val="00156C68"/>
    <w:rsid w:val="00157BFD"/>
    <w:rsid w:val="001600DF"/>
    <w:rsid w:val="00160382"/>
    <w:rsid w:val="00160FEF"/>
    <w:rsid w:val="00161C2C"/>
    <w:rsid w:val="00163991"/>
    <w:rsid w:val="00164D33"/>
    <w:rsid w:val="00167584"/>
    <w:rsid w:val="00171125"/>
    <w:rsid w:val="00173344"/>
    <w:rsid w:val="00174FE7"/>
    <w:rsid w:val="0018234A"/>
    <w:rsid w:val="00183F9C"/>
    <w:rsid w:val="0018413D"/>
    <w:rsid w:val="00185BF8"/>
    <w:rsid w:val="00186CD7"/>
    <w:rsid w:val="00187DAA"/>
    <w:rsid w:val="00194E0F"/>
    <w:rsid w:val="001969B7"/>
    <w:rsid w:val="0019745F"/>
    <w:rsid w:val="00197BDE"/>
    <w:rsid w:val="001A5768"/>
    <w:rsid w:val="001A6CEC"/>
    <w:rsid w:val="001B2DEC"/>
    <w:rsid w:val="001B4D0B"/>
    <w:rsid w:val="001B75BC"/>
    <w:rsid w:val="001C2638"/>
    <w:rsid w:val="001C3D70"/>
    <w:rsid w:val="001C4B1F"/>
    <w:rsid w:val="001C4F82"/>
    <w:rsid w:val="001C6A1C"/>
    <w:rsid w:val="001D059C"/>
    <w:rsid w:val="001D070D"/>
    <w:rsid w:val="001D2DDA"/>
    <w:rsid w:val="001D35C7"/>
    <w:rsid w:val="001D76CD"/>
    <w:rsid w:val="001E002F"/>
    <w:rsid w:val="001E2454"/>
    <w:rsid w:val="001E5F89"/>
    <w:rsid w:val="001E689E"/>
    <w:rsid w:val="001E6FF1"/>
    <w:rsid w:val="001E7DC9"/>
    <w:rsid w:val="001F024B"/>
    <w:rsid w:val="001F05FA"/>
    <w:rsid w:val="001F0AE4"/>
    <w:rsid w:val="001F0C61"/>
    <w:rsid w:val="001F7DB3"/>
    <w:rsid w:val="00206AF1"/>
    <w:rsid w:val="00207ACB"/>
    <w:rsid w:val="00210BA5"/>
    <w:rsid w:val="002157FC"/>
    <w:rsid w:val="0021650B"/>
    <w:rsid w:val="00220267"/>
    <w:rsid w:val="00220B06"/>
    <w:rsid w:val="00221167"/>
    <w:rsid w:val="00223541"/>
    <w:rsid w:val="002236EF"/>
    <w:rsid w:val="00223F9B"/>
    <w:rsid w:val="002258FE"/>
    <w:rsid w:val="00226D3A"/>
    <w:rsid w:val="00227DBB"/>
    <w:rsid w:val="002320A2"/>
    <w:rsid w:val="00232DAD"/>
    <w:rsid w:val="0024101C"/>
    <w:rsid w:val="00241090"/>
    <w:rsid w:val="002411CB"/>
    <w:rsid w:val="002421F4"/>
    <w:rsid w:val="002439A3"/>
    <w:rsid w:val="00243D76"/>
    <w:rsid w:val="0024410B"/>
    <w:rsid w:val="002449D5"/>
    <w:rsid w:val="00245178"/>
    <w:rsid w:val="00245195"/>
    <w:rsid w:val="00247DE7"/>
    <w:rsid w:val="002507BC"/>
    <w:rsid w:val="0025080B"/>
    <w:rsid w:val="00250D25"/>
    <w:rsid w:val="00251ADF"/>
    <w:rsid w:val="00251C69"/>
    <w:rsid w:val="00252322"/>
    <w:rsid w:val="00253C76"/>
    <w:rsid w:val="00253FF1"/>
    <w:rsid w:val="002556AB"/>
    <w:rsid w:val="002563BE"/>
    <w:rsid w:val="0026129F"/>
    <w:rsid w:val="00263173"/>
    <w:rsid w:val="00263179"/>
    <w:rsid w:val="0027157E"/>
    <w:rsid w:val="00274810"/>
    <w:rsid w:val="00276D65"/>
    <w:rsid w:val="0027717F"/>
    <w:rsid w:val="002857D7"/>
    <w:rsid w:val="00294CF9"/>
    <w:rsid w:val="00295AFC"/>
    <w:rsid w:val="002A16D9"/>
    <w:rsid w:val="002A374B"/>
    <w:rsid w:val="002A4159"/>
    <w:rsid w:val="002A4A86"/>
    <w:rsid w:val="002A65B1"/>
    <w:rsid w:val="002A7045"/>
    <w:rsid w:val="002A710D"/>
    <w:rsid w:val="002B3226"/>
    <w:rsid w:val="002B71D6"/>
    <w:rsid w:val="002C29A4"/>
    <w:rsid w:val="002C2C4D"/>
    <w:rsid w:val="002C3086"/>
    <w:rsid w:val="002C3775"/>
    <w:rsid w:val="002C5441"/>
    <w:rsid w:val="002C60B6"/>
    <w:rsid w:val="002D189F"/>
    <w:rsid w:val="002E1CE2"/>
    <w:rsid w:val="002E2916"/>
    <w:rsid w:val="002E3A14"/>
    <w:rsid w:val="002E495B"/>
    <w:rsid w:val="002E5226"/>
    <w:rsid w:val="002F05DA"/>
    <w:rsid w:val="002F458F"/>
    <w:rsid w:val="002F51EB"/>
    <w:rsid w:val="00302810"/>
    <w:rsid w:val="0030379B"/>
    <w:rsid w:val="0030461F"/>
    <w:rsid w:val="00305B4B"/>
    <w:rsid w:val="00307DA9"/>
    <w:rsid w:val="0031157A"/>
    <w:rsid w:val="00311936"/>
    <w:rsid w:val="00312A6C"/>
    <w:rsid w:val="00316AD9"/>
    <w:rsid w:val="0031777A"/>
    <w:rsid w:val="003203B7"/>
    <w:rsid w:val="0032078A"/>
    <w:rsid w:val="00322AA7"/>
    <w:rsid w:val="00322E3E"/>
    <w:rsid w:val="0032729F"/>
    <w:rsid w:val="003272DC"/>
    <w:rsid w:val="0033170B"/>
    <w:rsid w:val="00333BC6"/>
    <w:rsid w:val="00334CA1"/>
    <w:rsid w:val="003355BD"/>
    <w:rsid w:val="003355DD"/>
    <w:rsid w:val="0034026D"/>
    <w:rsid w:val="0034074E"/>
    <w:rsid w:val="00344FBF"/>
    <w:rsid w:val="00346CBD"/>
    <w:rsid w:val="003503D9"/>
    <w:rsid w:val="0035131D"/>
    <w:rsid w:val="0035150F"/>
    <w:rsid w:val="0035492B"/>
    <w:rsid w:val="003555CE"/>
    <w:rsid w:val="003555FB"/>
    <w:rsid w:val="00357C8E"/>
    <w:rsid w:val="00363E7B"/>
    <w:rsid w:val="00364D5C"/>
    <w:rsid w:val="003658AA"/>
    <w:rsid w:val="003664AD"/>
    <w:rsid w:val="00367EF6"/>
    <w:rsid w:val="00374B50"/>
    <w:rsid w:val="00374BB3"/>
    <w:rsid w:val="0037522F"/>
    <w:rsid w:val="00377C08"/>
    <w:rsid w:val="00385975"/>
    <w:rsid w:val="00386BA9"/>
    <w:rsid w:val="00386C58"/>
    <w:rsid w:val="0038797A"/>
    <w:rsid w:val="00392D4C"/>
    <w:rsid w:val="00395522"/>
    <w:rsid w:val="0039671C"/>
    <w:rsid w:val="00396857"/>
    <w:rsid w:val="003A3721"/>
    <w:rsid w:val="003A46E8"/>
    <w:rsid w:val="003A4F1F"/>
    <w:rsid w:val="003A5A70"/>
    <w:rsid w:val="003A5B9D"/>
    <w:rsid w:val="003A696E"/>
    <w:rsid w:val="003B1998"/>
    <w:rsid w:val="003B3621"/>
    <w:rsid w:val="003B3F8F"/>
    <w:rsid w:val="003B4868"/>
    <w:rsid w:val="003B65DF"/>
    <w:rsid w:val="003B7D8D"/>
    <w:rsid w:val="003C0D3B"/>
    <w:rsid w:val="003C13BE"/>
    <w:rsid w:val="003C20B1"/>
    <w:rsid w:val="003C334F"/>
    <w:rsid w:val="003C66DD"/>
    <w:rsid w:val="003D24AA"/>
    <w:rsid w:val="003D52CB"/>
    <w:rsid w:val="003D6AA7"/>
    <w:rsid w:val="003D782A"/>
    <w:rsid w:val="003D7E9A"/>
    <w:rsid w:val="003E1FF9"/>
    <w:rsid w:val="003E570A"/>
    <w:rsid w:val="003E6755"/>
    <w:rsid w:val="003E788B"/>
    <w:rsid w:val="003E7DE5"/>
    <w:rsid w:val="003F159E"/>
    <w:rsid w:val="003F3770"/>
    <w:rsid w:val="003F3E29"/>
    <w:rsid w:val="003F3FFA"/>
    <w:rsid w:val="00400AD9"/>
    <w:rsid w:val="00402A11"/>
    <w:rsid w:val="004039CB"/>
    <w:rsid w:val="00405946"/>
    <w:rsid w:val="00406799"/>
    <w:rsid w:val="00406F81"/>
    <w:rsid w:val="004078CC"/>
    <w:rsid w:val="00410103"/>
    <w:rsid w:val="004167D4"/>
    <w:rsid w:val="00416AAC"/>
    <w:rsid w:val="00416C6B"/>
    <w:rsid w:val="004214E0"/>
    <w:rsid w:val="00423A3A"/>
    <w:rsid w:val="00426A9D"/>
    <w:rsid w:val="004306BE"/>
    <w:rsid w:val="00432BA2"/>
    <w:rsid w:val="00435AB7"/>
    <w:rsid w:val="00437227"/>
    <w:rsid w:val="004425BD"/>
    <w:rsid w:val="00447676"/>
    <w:rsid w:val="00447DAB"/>
    <w:rsid w:val="0045225D"/>
    <w:rsid w:val="00452F4F"/>
    <w:rsid w:val="00454DFF"/>
    <w:rsid w:val="00455286"/>
    <w:rsid w:val="004558DE"/>
    <w:rsid w:val="0046140F"/>
    <w:rsid w:val="00467E27"/>
    <w:rsid w:val="004719AF"/>
    <w:rsid w:val="00472FFD"/>
    <w:rsid w:val="00475A1D"/>
    <w:rsid w:val="00475CDD"/>
    <w:rsid w:val="004765F3"/>
    <w:rsid w:val="00476E0B"/>
    <w:rsid w:val="0047752B"/>
    <w:rsid w:val="00477A64"/>
    <w:rsid w:val="0048251A"/>
    <w:rsid w:val="0048305B"/>
    <w:rsid w:val="00484265"/>
    <w:rsid w:val="00484592"/>
    <w:rsid w:val="004867E9"/>
    <w:rsid w:val="00487EA2"/>
    <w:rsid w:val="004912DE"/>
    <w:rsid w:val="004915A3"/>
    <w:rsid w:val="004923A2"/>
    <w:rsid w:val="00494D44"/>
    <w:rsid w:val="004970B7"/>
    <w:rsid w:val="004A2122"/>
    <w:rsid w:val="004A3A26"/>
    <w:rsid w:val="004A78FE"/>
    <w:rsid w:val="004B175E"/>
    <w:rsid w:val="004B20D8"/>
    <w:rsid w:val="004B3F74"/>
    <w:rsid w:val="004B45D9"/>
    <w:rsid w:val="004B4A5F"/>
    <w:rsid w:val="004B71FC"/>
    <w:rsid w:val="004C0706"/>
    <w:rsid w:val="004C11EA"/>
    <w:rsid w:val="004C3006"/>
    <w:rsid w:val="004D20E0"/>
    <w:rsid w:val="004D2442"/>
    <w:rsid w:val="004D3C0E"/>
    <w:rsid w:val="004D502A"/>
    <w:rsid w:val="004E0A6C"/>
    <w:rsid w:val="004E393E"/>
    <w:rsid w:val="004E523D"/>
    <w:rsid w:val="004E6DC1"/>
    <w:rsid w:val="004F10C3"/>
    <w:rsid w:val="004F286E"/>
    <w:rsid w:val="004F6372"/>
    <w:rsid w:val="004F68A8"/>
    <w:rsid w:val="00504337"/>
    <w:rsid w:val="00510325"/>
    <w:rsid w:val="005117B5"/>
    <w:rsid w:val="00511DAC"/>
    <w:rsid w:val="00511F18"/>
    <w:rsid w:val="00513219"/>
    <w:rsid w:val="005132A3"/>
    <w:rsid w:val="00514A36"/>
    <w:rsid w:val="00516554"/>
    <w:rsid w:val="00516818"/>
    <w:rsid w:val="00517E55"/>
    <w:rsid w:val="00520D4A"/>
    <w:rsid w:val="005220DD"/>
    <w:rsid w:val="00522A2E"/>
    <w:rsid w:val="00522FD0"/>
    <w:rsid w:val="00523973"/>
    <w:rsid w:val="0052449F"/>
    <w:rsid w:val="0052587C"/>
    <w:rsid w:val="00527FCF"/>
    <w:rsid w:val="00530564"/>
    <w:rsid w:val="00533A6E"/>
    <w:rsid w:val="00535675"/>
    <w:rsid w:val="00541BAD"/>
    <w:rsid w:val="0054223B"/>
    <w:rsid w:val="005425C6"/>
    <w:rsid w:val="00544879"/>
    <w:rsid w:val="0054736B"/>
    <w:rsid w:val="00560441"/>
    <w:rsid w:val="00561297"/>
    <w:rsid w:val="00562403"/>
    <w:rsid w:val="00567BBE"/>
    <w:rsid w:val="00570B8D"/>
    <w:rsid w:val="00571385"/>
    <w:rsid w:val="00571A1B"/>
    <w:rsid w:val="005730ED"/>
    <w:rsid w:val="00573B10"/>
    <w:rsid w:val="0058109F"/>
    <w:rsid w:val="00584D2B"/>
    <w:rsid w:val="005874A2"/>
    <w:rsid w:val="005879F9"/>
    <w:rsid w:val="00591337"/>
    <w:rsid w:val="00595951"/>
    <w:rsid w:val="005A052E"/>
    <w:rsid w:val="005A114C"/>
    <w:rsid w:val="005A14FE"/>
    <w:rsid w:val="005A25A8"/>
    <w:rsid w:val="005A695E"/>
    <w:rsid w:val="005A6C2C"/>
    <w:rsid w:val="005A7A5F"/>
    <w:rsid w:val="005B0317"/>
    <w:rsid w:val="005B5200"/>
    <w:rsid w:val="005B65B6"/>
    <w:rsid w:val="005C2593"/>
    <w:rsid w:val="005C3F97"/>
    <w:rsid w:val="005C4049"/>
    <w:rsid w:val="005C45BD"/>
    <w:rsid w:val="005C7823"/>
    <w:rsid w:val="005C7917"/>
    <w:rsid w:val="005D2C73"/>
    <w:rsid w:val="005D46D0"/>
    <w:rsid w:val="005D75D7"/>
    <w:rsid w:val="005E020A"/>
    <w:rsid w:val="005E07A2"/>
    <w:rsid w:val="005E10C8"/>
    <w:rsid w:val="005E1301"/>
    <w:rsid w:val="005E270F"/>
    <w:rsid w:val="005E2CAD"/>
    <w:rsid w:val="005E362D"/>
    <w:rsid w:val="005E3E8F"/>
    <w:rsid w:val="005E5CC9"/>
    <w:rsid w:val="005E6392"/>
    <w:rsid w:val="005E6DC0"/>
    <w:rsid w:val="005E6E67"/>
    <w:rsid w:val="005E75C1"/>
    <w:rsid w:val="005E7BA2"/>
    <w:rsid w:val="005E7E99"/>
    <w:rsid w:val="005F4BAD"/>
    <w:rsid w:val="005F4FDF"/>
    <w:rsid w:val="005F729E"/>
    <w:rsid w:val="006008F2"/>
    <w:rsid w:val="00600929"/>
    <w:rsid w:val="00602753"/>
    <w:rsid w:val="00602FA2"/>
    <w:rsid w:val="006042D2"/>
    <w:rsid w:val="00604E4C"/>
    <w:rsid w:val="006111C9"/>
    <w:rsid w:val="006127E0"/>
    <w:rsid w:val="00615653"/>
    <w:rsid w:val="006163A6"/>
    <w:rsid w:val="006165C2"/>
    <w:rsid w:val="00621FB3"/>
    <w:rsid w:val="0062418A"/>
    <w:rsid w:val="00624A6C"/>
    <w:rsid w:val="006304C8"/>
    <w:rsid w:val="00630AE8"/>
    <w:rsid w:val="00630B7E"/>
    <w:rsid w:val="00632AF8"/>
    <w:rsid w:val="006348AF"/>
    <w:rsid w:val="00640BEF"/>
    <w:rsid w:val="00642DBA"/>
    <w:rsid w:val="006456AF"/>
    <w:rsid w:val="006460A5"/>
    <w:rsid w:val="00647284"/>
    <w:rsid w:val="006548F8"/>
    <w:rsid w:val="00656BF0"/>
    <w:rsid w:val="006625B3"/>
    <w:rsid w:val="0066400B"/>
    <w:rsid w:val="0066496E"/>
    <w:rsid w:val="0066569B"/>
    <w:rsid w:val="00666227"/>
    <w:rsid w:val="0066626F"/>
    <w:rsid w:val="0067223B"/>
    <w:rsid w:val="00675BCB"/>
    <w:rsid w:val="006761B4"/>
    <w:rsid w:val="00681002"/>
    <w:rsid w:val="0068183A"/>
    <w:rsid w:val="00681F0C"/>
    <w:rsid w:val="00683409"/>
    <w:rsid w:val="00683B51"/>
    <w:rsid w:val="00684CDA"/>
    <w:rsid w:val="006865E9"/>
    <w:rsid w:val="00691236"/>
    <w:rsid w:val="00692FDE"/>
    <w:rsid w:val="00693CB4"/>
    <w:rsid w:val="006943F9"/>
    <w:rsid w:val="006A2611"/>
    <w:rsid w:val="006A2AF5"/>
    <w:rsid w:val="006A2C42"/>
    <w:rsid w:val="006A3465"/>
    <w:rsid w:val="006A3891"/>
    <w:rsid w:val="006A3FDF"/>
    <w:rsid w:val="006A4318"/>
    <w:rsid w:val="006A5853"/>
    <w:rsid w:val="006A6AB2"/>
    <w:rsid w:val="006B0FD5"/>
    <w:rsid w:val="006B1320"/>
    <w:rsid w:val="006B1DB6"/>
    <w:rsid w:val="006B416E"/>
    <w:rsid w:val="006B4233"/>
    <w:rsid w:val="006B64B9"/>
    <w:rsid w:val="006B6D6C"/>
    <w:rsid w:val="006C0657"/>
    <w:rsid w:val="006C0B44"/>
    <w:rsid w:val="006C192B"/>
    <w:rsid w:val="006C1CBD"/>
    <w:rsid w:val="006C217A"/>
    <w:rsid w:val="006C3EC7"/>
    <w:rsid w:val="006C49C5"/>
    <w:rsid w:val="006C5CC8"/>
    <w:rsid w:val="006C6E8D"/>
    <w:rsid w:val="006C7C59"/>
    <w:rsid w:val="006D0F66"/>
    <w:rsid w:val="006D12F3"/>
    <w:rsid w:val="006D4021"/>
    <w:rsid w:val="006D43B0"/>
    <w:rsid w:val="006D70BB"/>
    <w:rsid w:val="006D79ED"/>
    <w:rsid w:val="006E01A4"/>
    <w:rsid w:val="006E05DB"/>
    <w:rsid w:val="006E184C"/>
    <w:rsid w:val="006E4B9C"/>
    <w:rsid w:val="006E58F5"/>
    <w:rsid w:val="006E63A6"/>
    <w:rsid w:val="006E63E8"/>
    <w:rsid w:val="006E693F"/>
    <w:rsid w:val="006E792D"/>
    <w:rsid w:val="006F05F6"/>
    <w:rsid w:val="006F14BC"/>
    <w:rsid w:val="006F1B71"/>
    <w:rsid w:val="006F2FAE"/>
    <w:rsid w:val="006F470D"/>
    <w:rsid w:val="006F50BB"/>
    <w:rsid w:val="007006B9"/>
    <w:rsid w:val="00700BDE"/>
    <w:rsid w:val="007024FA"/>
    <w:rsid w:val="007030F6"/>
    <w:rsid w:val="007034A2"/>
    <w:rsid w:val="00705188"/>
    <w:rsid w:val="00707385"/>
    <w:rsid w:val="00707B20"/>
    <w:rsid w:val="00712520"/>
    <w:rsid w:val="00712F5E"/>
    <w:rsid w:val="0071442A"/>
    <w:rsid w:val="00717E01"/>
    <w:rsid w:val="00723E57"/>
    <w:rsid w:val="00724CB3"/>
    <w:rsid w:val="007336F1"/>
    <w:rsid w:val="00734800"/>
    <w:rsid w:val="00734C1A"/>
    <w:rsid w:val="007357A9"/>
    <w:rsid w:val="00735842"/>
    <w:rsid w:val="00735BC6"/>
    <w:rsid w:val="007422C3"/>
    <w:rsid w:val="0074247F"/>
    <w:rsid w:val="0074483D"/>
    <w:rsid w:val="00745D6E"/>
    <w:rsid w:val="00745E1C"/>
    <w:rsid w:val="00764FA2"/>
    <w:rsid w:val="00766817"/>
    <w:rsid w:val="007702D6"/>
    <w:rsid w:val="00770FAF"/>
    <w:rsid w:val="007714F9"/>
    <w:rsid w:val="0077367E"/>
    <w:rsid w:val="00773F8A"/>
    <w:rsid w:val="00775352"/>
    <w:rsid w:val="0077666B"/>
    <w:rsid w:val="00776EDC"/>
    <w:rsid w:val="007829E8"/>
    <w:rsid w:val="00785A67"/>
    <w:rsid w:val="00792A0B"/>
    <w:rsid w:val="007943BE"/>
    <w:rsid w:val="00794B35"/>
    <w:rsid w:val="007A1744"/>
    <w:rsid w:val="007A2EF1"/>
    <w:rsid w:val="007A4BBB"/>
    <w:rsid w:val="007A5EF4"/>
    <w:rsid w:val="007B0656"/>
    <w:rsid w:val="007B169D"/>
    <w:rsid w:val="007B3ABD"/>
    <w:rsid w:val="007B3B9D"/>
    <w:rsid w:val="007B571B"/>
    <w:rsid w:val="007B6E5E"/>
    <w:rsid w:val="007B7B57"/>
    <w:rsid w:val="007C25D6"/>
    <w:rsid w:val="007C2DCA"/>
    <w:rsid w:val="007C3E9A"/>
    <w:rsid w:val="007C4E81"/>
    <w:rsid w:val="007D0EA0"/>
    <w:rsid w:val="007D56A2"/>
    <w:rsid w:val="007D6047"/>
    <w:rsid w:val="007D610B"/>
    <w:rsid w:val="007D63F9"/>
    <w:rsid w:val="007D7134"/>
    <w:rsid w:val="007E3B8E"/>
    <w:rsid w:val="007E40B7"/>
    <w:rsid w:val="007E44E2"/>
    <w:rsid w:val="007E46CF"/>
    <w:rsid w:val="007E6FDC"/>
    <w:rsid w:val="007F1AE3"/>
    <w:rsid w:val="007F7659"/>
    <w:rsid w:val="00803AA3"/>
    <w:rsid w:val="00804B1A"/>
    <w:rsid w:val="008057A7"/>
    <w:rsid w:val="00806A96"/>
    <w:rsid w:val="0081078C"/>
    <w:rsid w:val="00810FA0"/>
    <w:rsid w:val="008133E8"/>
    <w:rsid w:val="00813447"/>
    <w:rsid w:val="008136D2"/>
    <w:rsid w:val="00814181"/>
    <w:rsid w:val="00814B9E"/>
    <w:rsid w:val="00815DF0"/>
    <w:rsid w:val="0081729D"/>
    <w:rsid w:val="00820132"/>
    <w:rsid w:val="008218A2"/>
    <w:rsid w:val="00826A4B"/>
    <w:rsid w:val="0083129B"/>
    <w:rsid w:val="0083178B"/>
    <w:rsid w:val="00832709"/>
    <w:rsid w:val="008329F3"/>
    <w:rsid w:val="00833CF7"/>
    <w:rsid w:val="00835E92"/>
    <w:rsid w:val="00837153"/>
    <w:rsid w:val="0083762A"/>
    <w:rsid w:val="00840684"/>
    <w:rsid w:val="00841021"/>
    <w:rsid w:val="0084110D"/>
    <w:rsid w:val="00841831"/>
    <w:rsid w:val="0084315B"/>
    <w:rsid w:val="00844A71"/>
    <w:rsid w:val="00844C65"/>
    <w:rsid w:val="008502DF"/>
    <w:rsid w:val="008506C3"/>
    <w:rsid w:val="0085590B"/>
    <w:rsid w:val="008568F0"/>
    <w:rsid w:val="00856A7D"/>
    <w:rsid w:val="0086048B"/>
    <w:rsid w:val="00863291"/>
    <w:rsid w:val="0086485C"/>
    <w:rsid w:val="00866D6D"/>
    <w:rsid w:val="0086700C"/>
    <w:rsid w:val="00872354"/>
    <w:rsid w:val="00874D3F"/>
    <w:rsid w:val="00882187"/>
    <w:rsid w:val="0088505E"/>
    <w:rsid w:val="008925CD"/>
    <w:rsid w:val="00892A45"/>
    <w:rsid w:val="00892E72"/>
    <w:rsid w:val="008957A1"/>
    <w:rsid w:val="008A0E68"/>
    <w:rsid w:val="008A482B"/>
    <w:rsid w:val="008B0036"/>
    <w:rsid w:val="008B162A"/>
    <w:rsid w:val="008B1AB6"/>
    <w:rsid w:val="008B242C"/>
    <w:rsid w:val="008B613E"/>
    <w:rsid w:val="008B7BD8"/>
    <w:rsid w:val="008C1EF3"/>
    <w:rsid w:val="008C41C4"/>
    <w:rsid w:val="008C4503"/>
    <w:rsid w:val="008C464C"/>
    <w:rsid w:val="008C4740"/>
    <w:rsid w:val="008C6D00"/>
    <w:rsid w:val="008D02D3"/>
    <w:rsid w:val="008D4EF8"/>
    <w:rsid w:val="008D50F2"/>
    <w:rsid w:val="008D6475"/>
    <w:rsid w:val="008D689F"/>
    <w:rsid w:val="008E03C9"/>
    <w:rsid w:val="008E6B0A"/>
    <w:rsid w:val="008E77DA"/>
    <w:rsid w:val="008E7EED"/>
    <w:rsid w:val="008F1905"/>
    <w:rsid w:val="008F2E83"/>
    <w:rsid w:val="008F4537"/>
    <w:rsid w:val="008F5669"/>
    <w:rsid w:val="008F6D69"/>
    <w:rsid w:val="008F762F"/>
    <w:rsid w:val="00900E81"/>
    <w:rsid w:val="009018E3"/>
    <w:rsid w:val="0090572E"/>
    <w:rsid w:val="00907099"/>
    <w:rsid w:val="009072FE"/>
    <w:rsid w:val="009136F6"/>
    <w:rsid w:val="009138CE"/>
    <w:rsid w:val="009145C8"/>
    <w:rsid w:val="00916814"/>
    <w:rsid w:val="00917B68"/>
    <w:rsid w:val="00920628"/>
    <w:rsid w:val="00920BA0"/>
    <w:rsid w:val="00925448"/>
    <w:rsid w:val="00925A7E"/>
    <w:rsid w:val="009320C6"/>
    <w:rsid w:val="00935301"/>
    <w:rsid w:val="00940D72"/>
    <w:rsid w:val="009410F3"/>
    <w:rsid w:val="0094416B"/>
    <w:rsid w:val="00945A3F"/>
    <w:rsid w:val="00945FBF"/>
    <w:rsid w:val="00946969"/>
    <w:rsid w:val="00950ACA"/>
    <w:rsid w:val="009524ED"/>
    <w:rsid w:val="009539D3"/>
    <w:rsid w:val="00956898"/>
    <w:rsid w:val="0095759A"/>
    <w:rsid w:val="00957749"/>
    <w:rsid w:val="009605F9"/>
    <w:rsid w:val="00963117"/>
    <w:rsid w:val="009642C2"/>
    <w:rsid w:val="00965162"/>
    <w:rsid w:val="009711A0"/>
    <w:rsid w:val="0097265A"/>
    <w:rsid w:val="00972A9E"/>
    <w:rsid w:val="00973DAE"/>
    <w:rsid w:val="00973E5B"/>
    <w:rsid w:val="009771F0"/>
    <w:rsid w:val="0097790D"/>
    <w:rsid w:val="00980E6E"/>
    <w:rsid w:val="00987983"/>
    <w:rsid w:val="009909E0"/>
    <w:rsid w:val="009937A8"/>
    <w:rsid w:val="00993EFF"/>
    <w:rsid w:val="00994194"/>
    <w:rsid w:val="00994FC8"/>
    <w:rsid w:val="009A00C9"/>
    <w:rsid w:val="009A0278"/>
    <w:rsid w:val="009A0FC7"/>
    <w:rsid w:val="009A12F5"/>
    <w:rsid w:val="009A1E5E"/>
    <w:rsid w:val="009A23B0"/>
    <w:rsid w:val="009A63D0"/>
    <w:rsid w:val="009A7538"/>
    <w:rsid w:val="009B1797"/>
    <w:rsid w:val="009B1EF0"/>
    <w:rsid w:val="009B39FD"/>
    <w:rsid w:val="009B4369"/>
    <w:rsid w:val="009B5BEB"/>
    <w:rsid w:val="009B7453"/>
    <w:rsid w:val="009C1615"/>
    <w:rsid w:val="009C4966"/>
    <w:rsid w:val="009C6890"/>
    <w:rsid w:val="009D0E19"/>
    <w:rsid w:val="009D2AE7"/>
    <w:rsid w:val="009D3399"/>
    <w:rsid w:val="009D5FA7"/>
    <w:rsid w:val="009D7F8B"/>
    <w:rsid w:val="009E3F27"/>
    <w:rsid w:val="009E6CFD"/>
    <w:rsid w:val="009F428F"/>
    <w:rsid w:val="00A00DCA"/>
    <w:rsid w:val="00A0155B"/>
    <w:rsid w:val="00A016A6"/>
    <w:rsid w:val="00A0332D"/>
    <w:rsid w:val="00A04CC5"/>
    <w:rsid w:val="00A066CE"/>
    <w:rsid w:val="00A077FE"/>
    <w:rsid w:val="00A1080A"/>
    <w:rsid w:val="00A1248A"/>
    <w:rsid w:val="00A132A1"/>
    <w:rsid w:val="00A1626A"/>
    <w:rsid w:val="00A16633"/>
    <w:rsid w:val="00A20F12"/>
    <w:rsid w:val="00A210C1"/>
    <w:rsid w:val="00A24EF8"/>
    <w:rsid w:val="00A267FD"/>
    <w:rsid w:val="00A27AD8"/>
    <w:rsid w:val="00A31A51"/>
    <w:rsid w:val="00A325D9"/>
    <w:rsid w:val="00A354CD"/>
    <w:rsid w:val="00A41E75"/>
    <w:rsid w:val="00A42E38"/>
    <w:rsid w:val="00A42E63"/>
    <w:rsid w:val="00A43839"/>
    <w:rsid w:val="00A44214"/>
    <w:rsid w:val="00A451E6"/>
    <w:rsid w:val="00A4557E"/>
    <w:rsid w:val="00A50A14"/>
    <w:rsid w:val="00A513B6"/>
    <w:rsid w:val="00A51C3B"/>
    <w:rsid w:val="00A60DF6"/>
    <w:rsid w:val="00A627D9"/>
    <w:rsid w:val="00A66432"/>
    <w:rsid w:val="00A66849"/>
    <w:rsid w:val="00A66E32"/>
    <w:rsid w:val="00A67F50"/>
    <w:rsid w:val="00A73234"/>
    <w:rsid w:val="00A736A0"/>
    <w:rsid w:val="00A73B34"/>
    <w:rsid w:val="00A76AF7"/>
    <w:rsid w:val="00A76B5F"/>
    <w:rsid w:val="00A77214"/>
    <w:rsid w:val="00A77631"/>
    <w:rsid w:val="00A82A73"/>
    <w:rsid w:val="00A8304F"/>
    <w:rsid w:val="00A85210"/>
    <w:rsid w:val="00A858B9"/>
    <w:rsid w:val="00A87A18"/>
    <w:rsid w:val="00A87A9C"/>
    <w:rsid w:val="00A90DE6"/>
    <w:rsid w:val="00A92C9F"/>
    <w:rsid w:val="00A92F8F"/>
    <w:rsid w:val="00AA0D0F"/>
    <w:rsid w:val="00AA6FC1"/>
    <w:rsid w:val="00AA75FB"/>
    <w:rsid w:val="00AB259C"/>
    <w:rsid w:val="00AB3675"/>
    <w:rsid w:val="00AB60B0"/>
    <w:rsid w:val="00AC1119"/>
    <w:rsid w:val="00AC7A37"/>
    <w:rsid w:val="00AD146C"/>
    <w:rsid w:val="00AD3F8B"/>
    <w:rsid w:val="00AD6847"/>
    <w:rsid w:val="00AE1095"/>
    <w:rsid w:val="00AE1FBD"/>
    <w:rsid w:val="00AE35F9"/>
    <w:rsid w:val="00AE4026"/>
    <w:rsid w:val="00AE488A"/>
    <w:rsid w:val="00AF1DC1"/>
    <w:rsid w:val="00AF1F21"/>
    <w:rsid w:val="00AF27F0"/>
    <w:rsid w:val="00AF3344"/>
    <w:rsid w:val="00AF3864"/>
    <w:rsid w:val="00AF4BFC"/>
    <w:rsid w:val="00AF556F"/>
    <w:rsid w:val="00AF5F66"/>
    <w:rsid w:val="00AF6917"/>
    <w:rsid w:val="00B067B2"/>
    <w:rsid w:val="00B07124"/>
    <w:rsid w:val="00B11728"/>
    <w:rsid w:val="00B11B48"/>
    <w:rsid w:val="00B13EC0"/>
    <w:rsid w:val="00B144A9"/>
    <w:rsid w:val="00B14DB6"/>
    <w:rsid w:val="00B21C0F"/>
    <w:rsid w:val="00B21C59"/>
    <w:rsid w:val="00B23673"/>
    <w:rsid w:val="00B23BBF"/>
    <w:rsid w:val="00B3313F"/>
    <w:rsid w:val="00B346AE"/>
    <w:rsid w:val="00B34EB5"/>
    <w:rsid w:val="00B35E65"/>
    <w:rsid w:val="00B36574"/>
    <w:rsid w:val="00B41AF3"/>
    <w:rsid w:val="00B50289"/>
    <w:rsid w:val="00B51922"/>
    <w:rsid w:val="00B52CAC"/>
    <w:rsid w:val="00B54267"/>
    <w:rsid w:val="00B55882"/>
    <w:rsid w:val="00B573C4"/>
    <w:rsid w:val="00B6000C"/>
    <w:rsid w:val="00B62BFE"/>
    <w:rsid w:val="00B62C24"/>
    <w:rsid w:val="00B64C64"/>
    <w:rsid w:val="00B64D46"/>
    <w:rsid w:val="00B66832"/>
    <w:rsid w:val="00B73853"/>
    <w:rsid w:val="00B75C39"/>
    <w:rsid w:val="00B75E31"/>
    <w:rsid w:val="00B8079B"/>
    <w:rsid w:val="00B90DF4"/>
    <w:rsid w:val="00B91228"/>
    <w:rsid w:val="00B9450E"/>
    <w:rsid w:val="00B976F6"/>
    <w:rsid w:val="00BA1530"/>
    <w:rsid w:val="00BA18EA"/>
    <w:rsid w:val="00BA1F2B"/>
    <w:rsid w:val="00BA5315"/>
    <w:rsid w:val="00BA5EDC"/>
    <w:rsid w:val="00BA77B4"/>
    <w:rsid w:val="00BB0D63"/>
    <w:rsid w:val="00BB26E6"/>
    <w:rsid w:val="00BB2D71"/>
    <w:rsid w:val="00BB48B6"/>
    <w:rsid w:val="00BB52A0"/>
    <w:rsid w:val="00BB6042"/>
    <w:rsid w:val="00BC141D"/>
    <w:rsid w:val="00BC3ECA"/>
    <w:rsid w:val="00BC4D8B"/>
    <w:rsid w:val="00BC684C"/>
    <w:rsid w:val="00BC7C98"/>
    <w:rsid w:val="00BD2E9C"/>
    <w:rsid w:val="00BD308A"/>
    <w:rsid w:val="00BD389B"/>
    <w:rsid w:val="00BD5F83"/>
    <w:rsid w:val="00BE236B"/>
    <w:rsid w:val="00BE2AB7"/>
    <w:rsid w:val="00BE39D6"/>
    <w:rsid w:val="00BE3C4C"/>
    <w:rsid w:val="00BE6CA9"/>
    <w:rsid w:val="00BE7878"/>
    <w:rsid w:val="00BF6049"/>
    <w:rsid w:val="00BF6A47"/>
    <w:rsid w:val="00C00988"/>
    <w:rsid w:val="00C00DD8"/>
    <w:rsid w:val="00C00E42"/>
    <w:rsid w:val="00C0233D"/>
    <w:rsid w:val="00C030F3"/>
    <w:rsid w:val="00C10AF4"/>
    <w:rsid w:val="00C1287B"/>
    <w:rsid w:val="00C13000"/>
    <w:rsid w:val="00C14970"/>
    <w:rsid w:val="00C14BA9"/>
    <w:rsid w:val="00C21AEF"/>
    <w:rsid w:val="00C22F19"/>
    <w:rsid w:val="00C246CE"/>
    <w:rsid w:val="00C248AE"/>
    <w:rsid w:val="00C2577F"/>
    <w:rsid w:val="00C26C23"/>
    <w:rsid w:val="00C27F70"/>
    <w:rsid w:val="00C30C62"/>
    <w:rsid w:val="00C3273B"/>
    <w:rsid w:val="00C333CD"/>
    <w:rsid w:val="00C339CE"/>
    <w:rsid w:val="00C35296"/>
    <w:rsid w:val="00C37B7C"/>
    <w:rsid w:val="00C37E4A"/>
    <w:rsid w:val="00C4105E"/>
    <w:rsid w:val="00C41097"/>
    <w:rsid w:val="00C442B5"/>
    <w:rsid w:val="00C452D8"/>
    <w:rsid w:val="00C50857"/>
    <w:rsid w:val="00C50B2B"/>
    <w:rsid w:val="00C51D87"/>
    <w:rsid w:val="00C5383E"/>
    <w:rsid w:val="00C539C5"/>
    <w:rsid w:val="00C542E2"/>
    <w:rsid w:val="00C56296"/>
    <w:rsid w:val="00C57D3B"/>
    <w:rsid w:val="00C601F1"/>
    <w:rsid w:val="00C641F6"/>
    <w:rsid w:val="00C67B44"/>
    <w:rsid w:val="00C71892"/>
    <w:rsid w:val="00C7383F"/>
    <w:rsid w:val="00C82DD0"/>
    <w:rsid w:val="00C83260"/>
    <w:rsid w:val="00C93A4C"/>
    <w:rsid w:val="00C93E54"/>
    <w:rsid w:val="00C955B2"/>
    <w:rsid w:val="00C972C8"/>
    <w:rsid w:val="00C978BD"/>
    <w:rsid w:val="00CA0DBB"/>
    <w:rsid w:val="00CA15C6"/>
    <w:rsid w:val="00CA1EAE"/>
    <w:rsid w:val="00CA2719"/>
    <w:rsid w:val="00CA39DD"/>
    <w:rsid w:val="00CA426C"/>
    <w:rsid w:val="00CA453E"/>
    <w:rsid w:val="00CA5D32"/>
    <w:rsid w:val="00CB0E0A"/>
    <w:rsid w:val="00CB6BFF"/>
    <w:rsid w:val="00CC0F2A"/>
    <w:rsid w:val="00CC18EB"/>
    <w:rsid w:val="00CC3394"/>
    <w:rsid w:val="00CD5BE3"/>
    <w:rsid w:val="00CE017D"/>
    <w:rsid w:val="00CE1E90"/>
    <w:rsid w:val="00CE2E51"/>
    <w:rsid w:val="00CE358E"/>
    <w:rsid w:val="00CE392E"/>
    <w:rsid w:val="00CE3FDC"/>
    <w:rsid w:val="00CE4A11"/>
    <w:rsid w:val="00CE586D"/>
    <w:rsid w:val="00CE7AC0"/>
    <w:rsid w:val="00CF35C2"/>
    <w:rsid w:val="00CF370C"/>
    <w:rsid w:val="00CF4235"/>
    <w:rsid w:val="00CF4765"/>
    <w:rsid w:val="00CF4FF1"/>
    <w:rsid w:val="00CF5563"/>
    <w:rsid w:val="00CF7603"/>
    <w:rsid w:val="00D001E0"/>
    <w:rsid w:val="00D032F8"/>
    <w:rsid w:val="00D05946"/>
    <w:rsid w:val="00D0707E"/>
    <w:rsid w:val="00D12E9C"/>
    <w:rsid w:val="00D14388"/>
    <w:rsid w:val="00D149E4"/>
    <w:rsid w:val="00D149FC"/>
    <w:rsid w:val="00D17032"/>
    <w:rsid w:val="00D20C89"/>
    <w:rsid w:val="00D20CFC"/>
    <w:rsid w:val="00D21510"/>
    <w:rsid w:val="00D22370"/>
    <w:rsid w:val="00D226BF"/>
    <w:rsid w:val="00D227F4"/>
    <w:rsid w:val="00D249DE"/>
    <w:rsid w:val="00D25023"/>
    <w:rsid w:val="00D27DD0"/>
    <w:rsid w:val="00D322E3"/>
    <w:rsid w:val="00D32951"/>
    <w:rsid w:val="00D340CD"/>
    <w:rsid w:val="00D36ACF"/>
    <w:rsid w:val="00D3750D"/>
    <w:rsid w:val="00D45D8C"/>
    <w:rsid w:val="00D46727"/>
    <w:rsid w:val="00D505C0"/>
    <w:rsid w:val="00D51B59"/>
    <w:rsid w:val="00D6325F"/>
    <w:rsid w:val="00D71353"/>
    <w:rsid w:val="00D769F6"/>
    <w:rsid w:val="00D77B3F"/>
    <w:rsid w:val="00D8120E"/>
    <w:rsid w:val="00D8158D"/>
    <w:rsid w:val="00D8189C"/>
    <w:rsid w:val="00D8215E"/>
    <w:rsid w:val="00D855C6"/>
    <w:rsid w:val="00D87990"/>
    <w:rsid w:val="00D90D99"/>
    <w:rsid w:val="00D911F7"/>
    <w:rsid w:val="00D91901"/>
    <w:rsid w:val="00D9215A"/>
    <w:rsid w:val="00D9421E"/>
    <w:rsid w:val="00D95967"/>
    <w:rsid w:val="00D97270"/>
    <w:rsid w:val="00D97614"/>
    <w:rsid w:val="00D97B84"/>
    <w:rsid w:val="00DA308A"/>
    <w:rsid w:val="00DA38E0"/>
    <w:rsid w:val="00DA7952"/>
    <w:rsid w:val="00DB44EB"/>
    <w:rsid w:val="00DB5B26"/>
    <w:rsid w:val="00DB741F"/>
    <w:rsid w:val="00DB77BC"/>
    <w:rsid w:val="00DC09B3"/>
    <w:rsid w:val="00DC1388"/>
    <w:rsid w:val="00DC23DF"/>
    <w:rsid w:val="00DC6B3B"/>
    <w:rsid w:val="00DD0430"/>
    <w:rsid w:val="00DD3136"/>
    <w:rsid w:val="00DD44B2"/>
    <w:rsid w:val="00DD7432"/>
    <w:rsid w:val="00DE0E72"/>
    <w:rsid w:val="00DE7BA2"/>
    <w:rsid w:val="00DF7664"/>
    <w:rsid w:val="00DF7AAC"/>
    <w:rsid w:val="00E01E58"/>
    <w:rsid w:val="00E0707F"/>
    <w:rsid w:val="00E1098F"/>
    <w:rsid w:val="00E14299"/>
    <w:rsid w:val="00E14ED3"/>
    <w:rsid w:val="00E1607D"/>
    <w:rsid w:val="00E16FBB"/>
    <w:rsid w:val="00E21697"/>
    <w:rsid w:val="00E22DD4"/>
    <w:rsid w:val="00E23E15"/>
    <w:rsid w:val="00E24753"/>
    <w:rsid w:val="00E25BC1"/>
    <w:rsid w:val="00E275C6"/>
    <w:rsid w:val="00E30B7C"/>
    <w:rsid w:val="00E31D10"/>
    <w:rsid w:val="00E32006"/>
    <w:rsid w:val="00E3352F"/>
    <w:rsid w:val="00E33FD7"/>
    <w:rsid w:val="00E35263"/>
    <w:rsid w:val="00E35E39"/>
    <w:rsid w:val="00E37711"/>
    <w:rsid w:val="00E41F21"/>
    <w:rsid w:val="00E4207C"/>
    <w:rsid w:val="00E420AF"/>
    <w:rsid w:val="00E435A3"/>
    <w:rsid w:val="00E44D0E"/>
    <w:rsid w:val="00E45508"/>
    <w:rsid w:val="00E504B2"/>
    <w:rsid w:val="00E52FEB"/>
    <w:rsid w:val="00E539CC"/>
    <w:rsid w:val="00E55223"/>
    <w:rsid w:val="00E553B4"/>
    <w:rsid w:val="00E569AE"/>
    <w:rsid w:val="00E57F5E"/>
    <w:rsid w:val="00E62096"/>
    <w:rsid w:val="00E64268"/>
    <w:rsid w:val="00E66D73"/>
    <w:rsid w:val="00E674E9"/>
    <w:rsid w:val="00E7026C"/>
    <w:rsid w:val="00E8323E"/>
    <w:rsid w:val="00E87B15"/>
    <w:rsid w:val="00E90420"/>
    <w:rsid w:val="00E90FA8"/>
    <w:rsid w:val="00E91776"/>
    <w:rsid w:val="00E92F5E"/>
    <w:rsid w:val="00E9321B"/>
    <w:rsid w:val="00E93600"/>
    <w:rsid w:val="00E959DC"/>
    <w:rsid w:val="00E972C8"/>
    <w:rsid w:val="00EB48B4"/>
    <w:rsid w:val="00EB601A"/>
    <w:rsid w:val="00EB6F01"/>
    <w:rsid w:val="00EC015D"/>
    <w:rsid w:val="00EC3D45"/>
    <w:rsid w:val="00EC56D0"/>
    <w:rsid w:val="00EC57A4"/>
    <w:rsid w:val="00ED04E7"/>
    <w:rsid w:val="00ED18D3"/>
    <w:rsid w:val="00ED1A16"/>
    <w:rsid w:val="00ED1EFC"/>
    <w:rsid w:val="00ED2221"/>
    <w:rsid w:val="00ED51D9"/>
    <w:rsid w:val="00ED6ED9"/>
    <w:rsid w:val="00ED79DB"/>
    <w:rsid w:val="00EE059C"/>
    <w:rsid w:val="00EE26A6"/>
    <w:rsid w:val="00EE2891"/>
    <w:rsid w:val="00EE3397"/>
    <w:rsid w:val="00EE7C58"/>
    <w:rsid w:val="00EF2DAB"/>
    <w:rsid w:val="00EF347B"/>
    <w:rsid w:val="00EF3F9F"/>
    <w:rsid w:val="00EF7F2C"/>
    <w:rsid w:val="00F00ADE"/>
    <w:rsid w:val="00F03A3E"/>
    <w:rsid w:val="00F04030"/>
    <w:rsid w:val="00F06721"/>
    <w:rsid w:val="00F0676B"/>
    <w:rsid w:val="00F132F7"/>
    <w:rsid w:val="00F15526"/>
    <w:rsid w:val="00F2085E"/>
    <w:rsid w:val="00F23E91"/>
    <w:rsid w:val="00F25E1C"/>
    <w:rsid w:val="00F3067D"/>
    <w:rsid w:val="00F31FE1"/>
    <w:rsid w:val="00F3427D"/>
    <w:rsid w:val="00F34577"/>
    <w:rsid w:val="00F36B9F"/>
    <w:rsid w:val="00F40FFE"/>
    <w:rsid w:val="00F41823"/>
    <w:rsid w:val="00F451BC"/>
    <w:rsid w:val="00F4778F"/>
    <w:rsid w:val="00F5142C"/>
    <w:rsid w:val="00F52103"/>
    <w:rsid w:val="00F53DAB"/>
    <w:rsid w:val="00F55440"/>
    <w:rsid w:val="00F56A01"/>
    <w:rsid w:val="00F61673"/>
    <w:rsid w:val="00F63B7B"/>
    <w:rsid w:val="00F65535"/>
    <w:rsid w:val="00F673E6"/>
    <w:rsid w:val="00F708F5"/>
    <w:rsid w:val="00F72877"/>
    <w:rsid w:val="00F732CE"/>
    <w:rsid w:val="00F74838"/>
    <w:rsid w:val="00F779B8"/>
    <w:rsid w:val="00F81D8C"/>
    <w:rsid w:val="00F83B0F"/>
    <w:rsid w:val="00F83BFE"/>
    <w:rsid w:val="00F85562"/>
    <w:rsid w:val="00F85C3B"/>
    <w:rsid w:val="00F92CE5"/>
    <w:rsid w:val="00F9558C"/>
    <w:rsid w:val="00F97123"/>
    <w:rsid w:val="00F97D8C"/>
    <w:rsid w:val="00FA06F1"/>
    <w:rsid w:val="00FA177A"/>
    <w:rsid w:val="00FA1AFF"/>
    <w:rsid w:val="00FA373F"/>
    <w:rsid w:val="00FA39E6"/>
    <w:rsid w:val="00FA3A1B"/>
    <w:rsid w:val="00FA530F"/>
    <w:rsid w:val="00FA6172"/>
    <w:rsid w:val="00FA6CF7"/>
    <w:rsid w:val="00FA6ECE"/>
    <w:rsid w:val="00FB01B1"/>
    <w:rsid w:val="00FB43E5"/>
    <w:rsid w:val="00FB4FE4"/>
    <w:rsid w:val="00FB7F2D"/>
    <w:rsid w:val="00FC1C78"/>
    <w:rsid w:val="00FC1D40"/>
    <w:rsid w:val="00FC2B02"/>
    <w:rsid w:val="00FC2CAD"/>
    <w:rsid w:val="00FC4AB1"/>
    <w:rsid w:val="00FD1960"/>
    <w:rsid w:val="00FD698B"/>
    <w:rsid w:val="00FE4062"/>
    <w:rsid w:val="00FE6895"/>
    <w:rsid w:val="00FF08D6"/>
    <w:rsid w:val="00FF2F43"/>
    <w:rsid w:val="00FF38F7"/>
    <w:rsid w:val="00FF4997"/>
    <w:rsid w:val="00FF5998"/>
    <w:rsid w:val="00FF605D"/>
    <w:rsid w:val="00FF763D"/>
    <w:rsid w:val="00FF785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5A7B7D-B53B-4217-B77F-9FBDCD2E0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385975"/>
    <w:pPr>
      <w:spacing w:after="0" w:line="240" w:lineRule="exact"/>
      <w:jc w:val="both"/>
      <w:outlineLvl w:val="2"/>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85975"/>
    <w:rPr>
      <w:rFonts w:ascii="Times New Roman" w:eastAsia="SimSun" w:hAnsi="Times New Roman" w:cs="Times New Roman"/>
      <w:i/>
      <w:iCs/>
      <w:noProof/>
      <w:sz w:val="20"/>
      <w:szCs w:val="20"/>
      <w:lang w:val="en-US"/>
    </w:rPr>
  </w:style>
  <w:style w:type="paragraph" w:styleId="ListParagraph">
    <w:name w:val="List Paragraph"/>
    <w:basedOn w:val="Normal"/>
    <w:uiPriority w:val="34"/>
    <w:qFormat/>
    <w:rsid w:val="00385975"/>
    <w:pPr>
      <w:spacing w:after="200" w:line="276" w:lineRule="auto"/>
      <w:ind w:left="720"/>
      <w:contextualSpacing/>
    </w:pPr>
    <w:rPr>
      <w:rFonts w:ascii="Calibri" w:eastAsia="Calibri" w:hAnsi="Calibri" w:cs="Times New Roman"/>
      <w:lang w:val="en-US"/>
    </w:rPr>
  </w:style>
  <w:style w:type="character" w:customStyle="1" w:styleId="st">
    <w:name w:val="st"/>
    <w:basedOn w:val="DefaultParagraphFont"/>
    <w:rsid w:val="00385975"/>
  </w:style>
  <w:style w:type="paragraph" w:styleId="Footer">
    <w:name w:val="footer"/>
    <w:basedOn w:val="Normal"/>
    <w:link w:val="FooterChar"/>
    <w:uiPriority w:val="99"/>
    <w:unhideWhenUsed/>
    <w:rsid w:val="00385975"/>
    <w:pPr>
      <w:tabs>
        <w:tab w:val="center" w:pos="4680"/>
        <w:tab w:val="right" w:pos="9360"/>
      </w:tabs>
      <w:spacing w:after="0" w:line="240" w:lineRule="auto"/>
      <w:jc w:val="center"/>
    </w:pPr>
    <w:rPr>
      <w:rFonts w:ascii="Times New Roman" w:eastAsia="SimSun" w:hAnsi="Times New Roman" w:cs="Times New Roman"/>
      <w:sz w:val="20"/>
      <w:szCs w:val="20"/>
      <w:lang w:val="en-US"/>
    </w:rPr>
  </w:style>
  <w:style w:type="character" w:customStyle="1" w:styleId="FooterChar">
    <w:name w:val="Footer Char"/>
    <w:basedOn w:val="DefaultParagraphFont"/>
    <w:link w:val="Footer"/>
    <w:uiPriority w:val="99"/>
    <w:rsid w:val="00385975"/>
    <w:rPr>
      <w:rFonts w:ascii="Times New Roman" w:eastAsia="SimSu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2014</Words>
  <Characters>11486</Characters>
  <Application>Microsoft Office Word</Application>
  <DocSecurity>0</DocSecurity>
  <Lines>95</Lines>
  <Paragraphs>26</Paragraphs>
  <ScaleCrop>false</ScaleCrop>
  <Company/>
  <LinksUpToDate>false</LinksUpToDate>
  <CharactersWithSpaces>13474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Chitram Mohan</dc:creator>
  <cp:keywords/>
  <dc:description/>
  <cp:lastModifiedBy>Chitram Mohan</cp:lastModifiedBy>
  <cp:revision>2</cp:revision>
  <dcterms:created xsi:type="dcterms:W3CDTF">2022-10-27T06:17:00Z</dcterms:created>
  <dcterms:modified xsi:type="dcterms:W3CDTF">2022-10-27T06:17:00Z</dcterms:modified>
</cp:coreProperties>
</file>