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12F2A" w14:textId="68D9F15D" w:rsidR="00B14B5A" w:rsidRPr="00760DB4" w:rsidRDefault="00C95B5E" w:rsidP="00760DB4">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w:t>
      </w:r>
      <w:r w:rsidR="00113B8F">
        <w:rPr>
          <w:rFonts w:ascii="Times New Roman" w:hAnsi="Times New Roman" w:cs="Times New Roman"/>
          <w:b/>
          <w:bCs/>
          <w:sz w:val="24"/>
          <w:szCs w:val="24"/>
          <w:lang w:val="en-US"/>
        </w:rPr>
        <w:t xml:space="preserve">upplementary 1 </w:t>
      </w:r>
      <w:r w:rsidR="00F07B1F" w:rsidRPr="00760DB4">
        <w:rPr>
          <w:rFonts w:ascii="Times New Roman" w:hAnsi="Times New Roman" w:cs="Times New Roman"/>
          <w:b/>
          <w:bCs/>
          <w:sz w:val="24"/>
          <w:szCs w:val="24"/>
          <w:lang w:val="en-US"/>
        </w:rPr>
        <w:t xml:space="preserve">Table . The quality assessment </w:t>
      </w:r>
      <w:r w:rsidR="004A6A76">
        <w:rPr>
          <w:rFonts w:ascii="Times New Roman" w:hAnsi="Times New Roman" w:cs="Times New Roman"/>
          <w:b/>
          <w:bCs/>
          <w:sz w:val="24"/>
          <w:szCs w:val="24"/>
          <w:lang w:val="en-US"/>
        </w:rPr>
        <w:t xml:space="preserve">of the included studies </w:t>
      </w:r>
      <w:r w:rsidR="00F07B1F" w:rsidRPr="00760DB4">
        <w:rPr>
          <w:rFonts w:ascii="Times New Roman" w:hAnsi="Times New Roman" w:cs="Times New Roman"/>
          <w:b/>
          <w:bCs/>
          <w:sz w:val="24"/>
          <w:szCs w:val="24"/>
          <w:lang w:val="en-US"/>
        </w:rPr>
        <w:t>using STROBE checklist</w:t>
      </w:r>
      <w:bookmarkStart w:id="0" w:name="_GoBack"/>
      <w:bookmarkEnd w:id="0"/>
    </w:p>
    <w:tbl>
      <w:tblPr>
        <w:tblStyle w:val="TableGrid"/>
        <w:tblW w:w="14737" w:type="dxa"/>
        <w:tblLayout w:type="fixed"/>
        <w:tblLook w:val="04A0" w:firstRow="1" w:lastRow="0" w:firstColumn="1" w:lastColumn="0" w:noHBand="0" w:noVBand="1"/>
      </w:tblPr>
      <w:tblGrid>
        <w:gridCol w:w="978"/>
        <w:gridCol w:w="1554"/>
        <w:gridCol w:w="850"/>
        <w:gridCol w:w="45"/>
        <w:gridCol w:w="43"/>
        <w:gridCol w:w="762"/>
        <w:gridCol w:w="90"/>
        <w:gridCol w:w="87"/>
        <w:gridCol w:w="673"/>
        <w:gridCol w:w="135"/>
        <w:gridCol w:w="131"/>
        <w:gridCol w:w="584"/>
        <w:gridCol w:w="180"/>
        <w:gridCol w:w="175"/>
        <w:gridCol w:w="495"/>
        <w:gridCol w:w="226"/>
        <w:gridCol w:w="218"/>
        <w:gridCol w:w="406"/>
        <w:gridCol w:w="271"/>
        <w:gridCol w:w="262"/>
        <w:gridCol w:w="317"/>
        <w:gridCol w:w="316"/>
        <w:gridCol w:w="305"/>
        <w:gridCol w:w="229"/>
        <w:gridCol w:w="361"/>
        <w:gridCol w:w="349"/>
        <w:gridCol w:w="140"/>
        <w:gridCol w:w="407"/>
        <w:gridCol w:w="392"/>
        <w:gridCol w:w="51"/>
        <w:gridCol w:w="452"/>
        <w:gridCol w:w="398"/>
        <w:gridCol w:w="38"/>
        <w:gridCol w:w="459"/>
        <w:gridCol w:w="353"/>
        <w:gridCol w:w="127"/>
        <w:gridCol w:w="415"/>
        <w:gridCol w:w="524"/>
        <w:gridCol w:w="372"/>
        <w:gridCol w:w="490"/>
        <w:gridCol w:w="77"/>
      </w:tblGrid>
      <w:tr w:rsidR="005633E3" w:rsidRPr="008F7431" w14:paraId="143A6D93" w14:textId="77777777" w:rsidTr="007507EB">
        <w:trPr>
          <w:gridAfter w:val="1"/>
          <w:wAfter w:w="77" w:type="dxa"/>
        </w:trPr>
        <w:tc>
          <w:tcPr>
            <w:tcW w:w="978" w:type="dxa"/>
          </w:tcPr>
          <w:p w14:paraId="6AA62692" w14:textId="753C6F2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STROBE Item</w:t>
            </w:r>
          </w:p>
        </w:tc>
        <w:tc>
          <w:tcPr>
            <w:tcW w:w="1554" w:type="dxa"/>
          </w:tcPr>
          <w:p w14:paraId="61CB6614" w14:textId="7C6B9D6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STROBE description</w:t>
            </w:r>
          </w:p>
        </w:tc>
        <w:tc>
          <w:tcPr>
            <w:tcW w:w="850" w:type="dxa"/>
          </w:tcPr>
          <w:p w14:paraId="0A6A9621" w14:textId="7777777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b/>
                <w:bCs/>
                <w:sz w:val="20"/>
                <w:szCs w:val="20"/>
                <w:lang w:val="en-US"/>
              </w:rPr>
              <w:t>Eede et al</w:t>
            </w:r>
            <w:r w:rsidRPr="008F7431">
              <w:rPr>
                <w:rFonts w:ascii="Times New Roman" w:hAnsi="Times New Roman" w:cs="Times New Roman"/>
                <w:sz w:val="20"/>
                <w:szCs w:val="20"/>
                <w:lang w:val="en-US"/>
              </w:rPr>
              <w:t>. (2009)</w:t>
            </w:r>
          </w:p>
          <w:p w14:paraId="20052E3F" w14:textId="2F225D2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fldChar w:fldCharType="begin" w:fldLock="1"/>
            </w:r>
            <w:r w:rsidRPr="008F7431">
              <w:rPr>
                <w:rFonts w:ascii="Times New Roman" w:hAnsi="Times New Roman" w:cs="Times New Roman"/>
                <w:sz w:val="20"/>
                <w:szCs w:val="20"/>
                <w:lang w:val="en-US"/>
              </w:rPr>
              <w:instrText>ADDIN CSL_CITATION {"citationItems":[{"id":"ITEM-1","itemData":{"DOI":"10.1186/1475-2875-8-249","ISSN":"14752875","PMID":"19878553","abstract":"Background. Considering increasing reports on human infections by Plasmodium knowlesi in Southeast Asian countries, blood samples collected during two large cross-sectional malariometric surveys carried out in a forested area of central Vietnam in 2004 and 2005 were screened for this parasite. Methods. Blood samples collected at the 2004 survey and positive for Plasmodium malariae were randomly selected for PCR analysis detecting P. knowlesi. Blood samples collected in 2005 from the same individuals were screened again for P. knowlesi. Positive samples were confirmed by sequencing. Family members of positive cases who participated in both surveys were also screened. Results. Ninety-five samples with P. malariae mono- or mixed infections identified by species-specific PCR were screened for P. knowlesi. Among the five (5.2%) positive samples by PCR, three were confirmed to be P. knowlesi infections by sequencing, two young children (&lt;5 years old) and a young man, all asymptomatic at the time of the survey and for the next six months after the survey. One of the two children was still positive one year later. No infection was found among the family members. Conclusion. Plasmodium knowlesi infections in humans can be found in central Vietnam. A small child was positive for P. knowlesi in both surveys at one year interval, though it is unclear whether it was the same or a new infection. © 2009 Eede et al; licensee BioMed Central Ltd.","author":[{"dropping-particle":"Van Den","family":"Eede","given":"Peter","non-dropping-particle":"","parse-names":false,"suffix":""},{"dropping-particle":"","family":"Van","given":"Hong Nguyen","non-dropping-particle":"","parse-names":false,"suffix":""},{"dropping-particle":"","family":"Overmeir","given":"Chantal","non-dropping-particle":"Van","parse-names":false,"suffix":""},{"dropping-particle":"","family":"et al.","given":"","non-dropping-particle":"","parse-names":false,"suffix":""}],"container-title":"Malaria Journal","id":"ITEM-1","issue":"249","issued":{"date-parts":[["2009"]]},"publisher":"BioMed Central","title":"Human Plasmodium knowlesi infections in young children in central Vietnam","type":"article-journal","volume":"8"},"uris":["http://www.mendeley.com/documents/?uuid=0d1ac46d-0130-46b0-9904-40a979933ecc"]}],"mendeley":{"formattedCitation":"(11)","plainTextFormattedCitation":"(11)","previouslyFormattedCitation":"(11)"},"properties":{"noteIndex":0},"schema":"https://github.com/citation-style-language/schema/raw/master/csl-citation.json"}</w:instrText>
            </w:r>
            <w:r w:rsidRPr="008F7431">
              <w:rPr>
                <w:rFonts w:ascii="Times New Roman" w:hAnsi="Times New Roman" w:cs="Times New Roman"/>
                <w:sz w:val="20"/>
                <w:szCs w:val="20"/>
                <w:lang w:val="en-US"/>
              </w:rPr>
              <w:fldChar w:fldCharType="separate"/>
            </w:r>
            <w:r w:rsidRPr="008F7431">
              <w:rPr>
                <w:rFonts w:ascii="Times New Roman" w:hAnsi="Times New Roman" w:cs="Times New Roman"/>
                <w:noProof/>
                <w:sz w:val="20"/>
                <w:szCs w:val="20"/>
                <w:lang w:val="en-US"/>
              </w:rPr>
              <w:t>(11)</w:t>
            </w:r>
            <w:r w:rsidRPr="008F7431">
              <w:rPr>
                <w:rFonts w:ascii="Times New Roman" w:hAnsi="Times New Roman" w:cs="Times New Roman"/>
                <w:sz w:val="20"/>
                <w:szCs w:val="20"/>
                <w:lang w:val="en-US"/>
              </w:rPr>
              <w:fldChar w:fldCharType="end"/>
            </w:r>
            <w:r w:rsidRPr="008F7431">
              <w:rPr>
                <w:rFonts w:ascii="Times New Roman" w:hAnsi="Times New Roman" w:cs="Times New Roman"/>
                <w:sz w:val="20"/>
                <w:szCs w:val="20"/>
                <w:lang w:val="en-US"/>
              </w:rPr>
              <w:t>e</w:t>
            </w:r>
          </w:p>
        </w:tc>
        <w:tc>
          <w:tcPr>
            <w:tcW w:w="850" w:type="dxa"/>
            <w:gridSpan w:val="3"/>
          </w:tcPr>
          <w:p w14:paraId="4E95B27C" w14:textId="6DD1ADC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b/>
                <w:bCs/>
                <w:sz w:val="20"/>
                <w:szCs w:val="20"/>
                <w:lang w:val="en-US"/>
              </w:rPr>
              <w:t>Fornace et al.</w:t>
            </w:r>
            <w:r w:rsidRPr="008F7431">
              <w:rPr>
                <w:rFonts w:ascii="Times New Roman" w:hAnsi="Times New Roman" w:cs="Times New Roman"/>
                <w:sz w:val="20"/>
                <w:szCs w:val="20"/>
                <w:lang w:val="en-US"/>
              </w:rPr>
              <w:t xml:space="preserve"> (2016)</w:t>
            </w:r>
          </w:p>
          <w:p w14:paraId="5317E8C1" w14:textId="098EAA4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fldChar w:fldCharType="begin" w:fldLock="1"/>
            </w:r>
            <w:r w:rsidRPr="008F7431">
              <w:rPr>
                <w:rFonts w:ascii="Times New Roman" w:hAnsi="Times New Roman" w:cs="Times New Roman"/>
                <w:sz w:val="20"/>
                <w:szCs w:val="20"/>
                <w:lang w:val="en-US"/>
              </w:rPr>
              <w:instrText>ADDIN CSL_CITATION {"citationItems":[{"id":"ITEM-1","itemData":{"DOI":"10.1093/infdis/jiv475","ISSN":"15376613","PMID":"26433222","abstract":"Although asymptomatic carriage of human malaria species has been widely reported, the extent of asymptomatic, submicroscopic Plasmodium knowlesi parasitemia is unknown. In this study, samples were obtained from individuals residing in households or villages of symptomatic malaria cases with the aim of detecting submicroscopic P. knowlesi in this population. Four published molecular assays were used to confirm the presence of P. knowlesi. Latent class analysis revealed that the estimated proportion of asymptomatic individuals was 6.9% (95% confidence interval, 5.6%-8.4%). This study confirms the presence of a substantial number of asymptomatic monoinfections across all age groups; further work is needed to estimate prevalence in the wider community.","author":[{"dropping-particle":"","family":"Fornace","given":"Kimberly M.","non-dropping-particle":"","parse-names":false,"suffix":""},{"dropping-particle":"","family":"Nuin","given":"Nor Afizah","non-dropping-particle":"","parse-names":false,"suffix":""},{"dropping-particle":"","family":"Betson","given":"Martha","non-dropping-particle":"","parse-names":false,"suffix":""},{"dropping-particle":"","family":"Grigg","given":"Matthew J.","non-dropping-particle":"","parse-names":false,"suffix":""},{"dropping-particle":"","family":"William","given":"Timothy","non-dropping-particle":"","parse-names":false,"suffix":""},{"dropping-particle":"","family":"Anstey","given":"Nicholas M.","non-dropping-particle":"","parse-names":false,"suffix":""},{"dropping-particle":"","family":"Yeo","given":"Tsin W.","non-dropping-particle":"","parse-names":false,"suffix":""},{"dropping-particle":"","family":"Cox","given":"Jonathan","non-dropping-particle":"","parse-names":false,"suffix":""},{"dropping-particle":"","family":"Ying","given":"Lau Tiek","non-dropping-particle":"","parse-names":false,"suffix":""},{"dropping-particle":"","family":"Drakeley","given":"Chris J.","non-dropping-particle":"","parse-names":false,"suffix":""}],"container-title":"Journal of Infectious Diseases","id":"ITEM-1","issue":"5","issued":{"date-parts":[["2016"]]},"page":"784","title":"Asymptomatic and submicroscopic carriage of Plasmodium knowlesi malaria in household and community members of clinical cases in Sabah, Malaysia","type":"article-journal","volume":"213"},"uris":["http://www.mendeley.com/documents/?uuid=752a5a8c-b85b-4ca0-bccb-0974f8ac5a2d"]}],"mendeley":{"formattedCitation":"(12)","plainTextFormattedCitation":"(12)","previouslyFormattedCitation":"(12)"},"properties":{"noteIndex":0},"schema":"https://github.com/citation-style-language/schema/raw/master/csl-citation.json"}</w:instrText>
            </w:r>
            <w:r w:rsidRPr="008F7431">
              <w:rPr>
                <w:rFonts w:ascii="Times New Roman" w:hAnsi="Times New Roman" w:cs="Times New Roman"/>
                <w:sz w:val="20"/>
                <w:szCs w:val="20"/>
                <w:lang w:val="en-US"/>
              </w:rPr>
              <w:fldChar w:fldCharType="separate"/>
            </w:r>
            <w:r w:rsidRPr="008F7431">
              <w:rPr>
                <w:rFonts w:ascii="Times New Roman" w:hAnsi="Times New Roman" w:cs="Times New Roman"/>
                <w:noProof/>
                <w:sz w:val="20"/>
                <w:szCs w:val="20"/>
                <w:lang w:val="en-US"/>
              </w:rPr>
              <w:t>(12)</w:t>
            </w:r>
            <w:r w:rsidRPr="008F7431">
              <w:rPr>
                <w:rFonts w:ascii="Times New Roman" w:hAnsi="Times New Roman" w:cs="Times New Roman"/>
                <w:sz w:val="20"/>
                <w:szCs w:val="20"/>
                <w:lang w:val="en-US"/>
              </w:rPr>
              <w:fldChar w:fldCharType="end"/>
            </w:r>
          </w:p>
        </w:tc>
        <w:tc>
          <w:tcPr>
            <w:tcW w:w="850" w:type="dxa"/>
            <w:gridSpan w:val="3"/>
          </w:tcPr>
          <w:p w14:paraId="5B433857" w14:textId="7777777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b/>
                <w:bCs/>
                <w:sz w:val="20"/>
                <w:szCs w:val="20"/>
                <w:lang w:val="en-US"/>
              </w:rPr>
              <w:t>Imwong et al</w:t>
            </w:r>
            <w:r w:rsidRPr="008F7431">
              <w:rPr>
                <w:rFonts w:ascii="Times New Roman" w:hAnsi="Times New Roman" w:cs="Times New Roman"/>
                <w:sz w:val="20"/>
                <w:szCs w:val="20"/>
                <w:lang w:val="en-US"/>
              </w:rPr>
              <w:t>. (2019)</w:t>
            </w:r>
          </w:p>
          <w:p w14:paraId="574905A2" w14:textId="042C99C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fldChar w:fldCharType="begin" w:fldLock="1"/>
            </w:r>
            <w:r w:rsidRPr="008F7431">
              <w:rPr>
                <w:rFonts w:ascii="Times New Roman" w:hAnsi="Times New Roman" w:cs="Times New Roman"/>
                <w:sz w:val="20"/>
                <w:szCs w:val="20"/>
                <w:lang w:val="en-US"/>
              </w:rPr>
              <w:instrText>ADDIN CSL_CITATION {"citationItems":[{"id":"ITEM-1","itemData":{"DOI":"10.1093/infdis/jiy519","ISSN":"15376613","PMID":"30295822","abstract":"Background In Southeast Asia, Plasmodium knowlesi, a parasite of long-tailed macaques (Macaca fascicularis), is an important cause of human malaria. Plasmodium cynomolgi also commonly infects these monkeys, but only one naturally acquired symptomatic human case has been reported previously. Methods Malariometric studies involving 5422 subjects (aged 6 months to 65 years) were conducted in 23 villages in Pailin and Battambang, western Cambodia. Parasite detection and genotyping was conducted on blood samples, using high-volume quantitative PCR (uPCR). Results Asymptomatic malaria parasite infections were detected in 1361 of 14732 samples (9.2%). Asymptomatic infections with nonhuman primate malaria parasites were found in 21 individuals living close to forested areas; P. cynomolgi was found in 11, P. knowlesi was found in 8, and P. vivax and P. cynomolgi were both found in 2. Only 2 subjects were female, and 14 were men aged 20-40 years. Geometric mean parasite densities were 3604 parasites/mL in P. cynomolgi infections and 52488 parasites/mL in P. knowlesi infections. All P. cynomolgi isolates had wild-type dihydrofolate reductase genes, in contrast to the very high prevalence of mutations in the human malaria parasites. Asymptomatic reappearance of P. cynomolgi occurred in 2 subjects 3 months after the first infection. Conclusions Asymptomatic naturally acquired P. cynomolgi and P. knowlesi infections can both occur in humans. Clinical Trials Registration NCT01872702.","author":[{"dropping-particle":"","family":"Imwong","given":"Mallika","non-dropping-particle":"","parse-names":false,"suffix":""},{"dropping-particle":"","family":"Madmanee","given":"Wanassanan","non-dropping-particle":"","parse-names":false,"suffix":""},{"dropping-particle":"","family":"Suwannasin","given":"Kanokon","non-dropping-particle":"","parse-names":false,"suffix":""},{"dropping-particle":"","family":"Kunasol","given":"Chanon","non-dropping-particle":"","parse-names":false,"suffix":""},{"dropping-particle":"","family":"Peto","given":"Thomas J.","non-dropping-particle":"","parse-names":false,"suffix":""},{"dropping-particle":"","family":"Tripura","given":"Rupam","non-dropping-particle":"","parse-names":false,"suffix":""},{"dropping-particle":"","family":"Seidlein","given":"Lorenz","non-dropping-particle":"Von","parse-names":false,"suffix":""},{"dropping-particle":"","family":"Nguon","given":"Chea","non-dropping-particle":"","parse-names":false,"suffix":""},{"dropping-particle":"","family":"Davoeung","given":"Chan","non-dropping-particle":"","parse-names":false,"suffix":""},{"dropping-particle":"","family":"Day","given":"Nicholas P.J. J","non-dropping-particle":"","parse-names":false,"suffix":""},{"dropping-particle":"","family":"Dondorp","given":"Arjen M.","non-dropping-particle":"","parse-names":false,"suffix":""},{"dropping-particle":"","family":"White","given":"Nicholas J.","non-dropping-particle":"","parse-names":false,"suffix":""}],"container-title":"Journal of Infectious Diseases","id":"ITEM-1","issue":"5","issued":{"date-parts":[["2019"]]},"page":"695-702","title":"Asymptomatic natural human infections with the simian malaria parasites Plasmodium cynomolgi and Plasmodium knowlesi","type":"article-journal","volume":"219"},"uris":["http://www.mendeley.com/documents/?uuid=4cf99943-9284-43ff-ad58-e9e5a9d305ab"]}],"mendeley":{"formattedCitation":"(14)","plainTextFormattedCitation":"(14)","previouslyFormattedCitation":"(14)"},"properties":{"noteIndex":0},"schema":"https://github.com/citation-style-language/schema/raw/master/csl-citation.json"}</w:instrText>
            </w:r>
            <w:r w:rsidRPr="008F7431">
              <w:rPr>
                <w:rFonts w:ascii="Times New Roman" w:hAnsi="Times New Roman" w:cs="Times New Roman"/>
                <w:sz w:val="20"/>
                <w:szCs w:val="20"/>
                <w:lang w:val="en-US"/>
              </w:rPr>
              <w:fldChar w:fldCharType="separate"/>
            </w:r>
            <w:r w:rsidRPr="008F7431">
              <w:rPr>
                <w:rFonts w:ascii="Times New Roman" w:hAnsi="Times New Roman" w:cs="Times New Roman"/>
                <w:noProof/>
                <w:sz w:val="20"/>
                <w:szCs w:val="20"/>
                <w:lang w:val="en-US"/>
              </w:rPr>
              <w:t>(14)</w:t>
            </w:r>
            <w:r w:rsidRPr="008F7431">
              <w:rPr>
                <w:rFonts w:ascii="Times New Roman" w:hAnsi="Times New Roman" w:cs="Times New Roman"/>
                <w:sz w:val="20"/>
                <w:szCs w:val="20"/>
                <w:lang w:val="en-US"/>
              </w:rPr>
              <w:fldChar w:fldCharType="end"/>
            </w:r>
          </w:p>
        </w:tc>
        <w:tc>
          <w:tcPr>
            <w:tcW w:w="850" w:type="dxa"/>
            <w:gridSpan w:val="3"/>
          </w:tcPr>
          <w:p w14:paraId="17031806" w14:textId="7777777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b/>
                <w:bCs/>
                <w:sz w:val="20"/>
                <w:szCs w:val="20"/>
                <w:lang w:val="en-US"/>
              </w:rPr>
              <w:t>Ghinai et al.</w:t>
            </w:r>
            <w:r w:rsidRPr="008F7431">
              <w:rPr>
                <w:rFonts w:ascii="Times New Roman" w:hAnsi="Times New Roman" w:cs="Times New Roman"/>
                <w:sz w:val="20"/>
                <w:szCs w:val="20"/>
                <w:lang w:val="en-US"/>
              </w:rPr>
              <w:t xml:space="preserve"> (2017)</w:t>
            </w:r>
          </w:p>
          <w:p w14:paraId="276A09AB" w14:textId="43B85B7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fldChar w:fldCharType="begin" w:fldLock="1"/>
            </w:r>
            <w:r w:rsidRPr="008F7431">
              <w:rPr>
                <w:rFonts w:ascii="Times New Roman" w:hAnsi="Times New Roman" w:cs="Times New Roman"/>
                <w:sz w:val="20"/>
                <w:szCs w:val="20"/>
                <w:lang w:val="en-US"/>
              </w:rPr>
              <w:instrText>ADDIN CSL_CITATION {"citationItems":[{"id":"ITEM-1","itemData":{"DOI":"10.1186/s12936-016-1651-5","ISBN":"1293601616","ISSN":"14752875","PMID":"28056979","abstract":"Background: The spread of artemisinin-resistant Plasmodium falciparum is a global health concern. Myanmar stands at the frontier of artemisinin-resistant P. falciparum. Myanmar also has the highest reported malaria burden in Southeast Asia; it is integral in the World Health Organization’s plan to eliminate malaria in Southeast Asia, yet few epidemiological data exist for the general population in Myanmar. Methods: This cross-sectional, probability household survey was conducted in Phyu township, Bago Region (central Myanmar), during the wet season of 2013. Interviewers collected clinical and behavioural data, recorded tympanic temperature and obtained dried blood spots for malaria PCR and serology. Plasmodium falciparum positive samples were tested for genetic mutations in the K13 region that may confer artemisinin resistance. Estimated type-specific malaria PCR prevalence and seroprevalence were calculated, with regression analysis to identify risk factors for seropositivity to P. falciparum. Data were weighted to account for unequal selection probabilities. Results: 1638 participants were sampled (500 households). Weighted PCR prevalence was low (n = 41, 2.5%) and most cases were afebrile (93%). Plasmodium falciparum was the most common species (n = 19. 1.1%) and five (26%) P. falciparum samples harboured K13 mutations. Plasmodium knowlesi was detected in 1.0% (n = 16) and Plasmodium vivax was detected in 0.4% (n = 7). Seroprevalence was 9.4% for P. falciparum and 3.1% for P. vivax. Seroconversion to P. falciparum was 0.003/year in the whole population, but 16-fold higher in men over 23 years old (LR test p = 0.016). Discussion: This is the first population-based seroprevalence study from central Myanmar. Low overall prevalence was discovered. However, these data suggest endemic transmission continues, probably associated with behavioural risk factors amongst working-age men. Genetic mutations associated with P. falciparum artemisinin resistance, the presence of P. knowlesi and discrete demographic risk groups present opportunities and challenges for malaria control. Responses targeted to working-age men, capable of detecting sub-clinical infections, and considering all species will facilitate malaria elimination in this setting.","author":[{"dropping-particle":"","family":"Ghinai","given":"Isaac","non-dropping-particle":"","parse-names":false,"suffix":""},{"dropping-particle":"","family":"Cook","given":"Jackie","non-dropping-particle":"","parse-names":false,"suffix":""},{"dropping-particle":"","family":"Tun","given":"Teddy","non-dropping-particle":"","parse-names":false,"suffix":""},{"dropping-particle":"","family":"Hla","given":"Win","non-dropping-particle":"","parse-names":false,"suffix":""},{"dropping-particle":"","family":"Myat","given":"Hein","non-dropping-particle":"","parse-names":false,"suffix":""},{"dropping-particle":"","family":"Htet","given":"Thu","non-dropping-particle":"","parse-names":false,"suffix":""},{"dropping-particle":"","family":"Hall","given":"Tom","non-dropping-particle":"","parse-names":false,"suffix":""},{"dropping-particle":"","family":"Lubis","given":"Inke ND","non-dropping-particle":"","parse-names":false,"suffix":""},{"dropping-particle":"","family":"Ghinai","given":"Rosanna","non-dropping-particle":"","parse-names":false,"suffix":""},{"dropping-particle":"","family":"Hesketh","given":"Therese","non-dropping-particle":"","parse-names":false,"suffix":""},{"dropping-particle":"","family":"Naung","given":"Ye","non-dropping-particle":"","parse-names":false,"suffix":""},{"dropping-particle":"","family":"Lwin","given":"Mya Mya","non-dropping-particle":"","parse-names":false,"suffix":""},{"dropping-particle":"","family":"Latt","given":"Swe","non-dropping-particle":"","parse-names":false,"suffix":""},{"dropping-particle":"","family":"Heymann","given":"David L.","non-dropping-particle":"","parse-names":false,"suffix":""},{"dropping-particle":"","family":"Sutherland","given":"Colin J.","non-dropping-particle":"","parse-names":false,"suffix":""},{"dropping-particle":"","family":"Drakeley","given":"Chris","non-dropping-particle":"","parse-names":false,"suffix":""},{"dropping-particle":"","family":"Field","given":"Nigel","non-dropping-particle":"","parse-names":false,"suffix":""},{"dropping-particle":"","family":"Hla","given":"Teddy Tun Win","non-dropping-particle":"","parse-names":false,"suffix":""},{"dropping-particle":"","family":"Htet","given":"Hein Myat Thu","non-dropping-particle":"","parse-names":false,"suffix":""},{"dropping-particle":"","family":"Hall","given":"Tom","non-dropping-particle":"","parse-names":false,"suffix":""},{"dropping-particle":"","family":"Lubis","given":"Inke ND","non-dropping-particle":"","parse-names":false,"suffix":""},{"dropping-particle":"","family":"Ghinai","given":"Rosanna","non-dropping-particle":"","parse-names":false,"suffix":""},{"dropping-particle":"","family":"Hesketh","given":"Therese","non-dropping-particle":"","parse-names":false,"suffix":""},{"dropping-particle":"","family":"Naung","given":"Ye","non-dropping-particle":"","parse-names":false,"suffix":""},{"dropping-particle":"","family":"Lwin","given":"Mya Mya","non-dropping-particle":"","parse-names":false,"suffix":""},{"dropping-particle":"","family":"Latt","given":"Tint Swe","non-dropping-particle":"","parse-names":false,"suffix":""},{"dropping-particle":"","family":"Heymann","given":"David L.","non-dropping-particle":"","parse-names":false,"suffix":""},{"dropping-particle":"","family":"Sutherland","given":"Colin J.","non-dropping-particle":"","parse-names":false,"suffix":""},{"dropping-particle":"","family":"Drakeley","given":"Chris","non-dropping-particle":"","parse-names":false,"suffix":""},{"dropping-particle":"","family":"Field","given":"Nigel","non-dropping-particle":"","parse-names":false,"suffix":""},{"dropping-particle":"","family":"Tun","given":"Teddy","non-dropping-particle":"","parse-names":false,"suffix":""},{"dropping-particle":"","family":"Hla","given":"Win","non-dropping-particle":"","parse-names":false,"suffix":""},{"dropping-particle":"","family":"Myat","given":"Hein","non-dropping-particle":"","parse-names":false,"suffix":""},{"dropping-particle":"","family":"Htet","given":"Thu","non-dropping-particle":"","parse-names":false,"suffix":""},{"dropping-particle":"","family":"Hall","given":"Tom","non-dropping-particle":"","parse-names":false,"suffix":""},{"dropping-particle":"","family":"Lubis","given":"Inke ND","non-dropping-particle":"","parse-names":false,"suffix":""},{"dropping-particle":"","family":"Ghinai","given":"Rosanna","non-dropping-particle":"","parse-names":false,"suffix":""},{"dropping-particle":"","family":"Hesketh","given":"Therese","non-dropping-particle":"","parse-names":false,"suffix":""},{"dropping-particle":"","family":"Naung","given":"Ye","non-dropping-particle":"","parse-names":false,"suffix":""},{"dropping-particle":"","family":"Lwin","given":"Mya Mya","non-dropping-particle":"","parse-names":false,"suffix":""},{"dropping-particle":"","family":"Latt","given":"Swe","non-dropping-particle":"","parse-names":false,"suffix":""},{"dropping-particle":"","family":"Heymann","given":"David L.","non-dropping-particle":"","parse-names":false,"suffix":""},{"dropping-particle":"","family":"Sutherland","given":"Colin J.","non-dropping-particle":"","parse-names":false,"suffix":""},{"dropping-particle":"","family":"Drakeley","given":"Chris","non-dropping-particle":"","parse-names":false,"suffix":""},{"dropping-particle":"","family":"Field","given":"Nigel","non-dropping-particle":"","parse-names":false,"suffix":""},{"dropping-particle":"","family":"Hla","given":"Teddy Tun Win","non-dropping-particle":"","parse-names":false,"suffix":""},{"dropping-particle":"","family":"Htet","given":"Hein Myat Thu","non-dropping-particle":"","parse-names":false,"suffix":""},{"dropping-particle":"","family":"Hall","given":"Tom","non-dropping-particle":"","parse-names":false,"suffix":""},{"dropping-particle":"","family":"Lubis","given":"Inke ND","non-dropping-particle":"","parse-names":false,"suffix":""},{"dropping-particle":"","family":"Ghinai","given":"Rosanna","non-dropping-particle":"","parse-names":false,"suffix":""},{"dropping-particle":"","family":"Hesketh","given":"Therese","non-dropping-particle":"","parse-names":false,"suffix":""},{"dropping-particle":"","family":"Naung","given":"Ye","non-dropping-particle":"","parse-names":false,"suffix":""},{"dropping-particle":"","family":"Lwin","given":"Mya Mya","non-dropping-particle":"","parse-names":false,"suffix":""},{"dropping-particle":"","family":"Latt","given":"Tint Swe","non-dropping-particle":"","parse-names":false,"suffix":""},{"dropping-particle":"","family":"Heymann","given":"David L.","non-dropping-particle":"","parse-names":false,"suffix":""},{"dropping-particle":"","family":"Sutherland","given":"Colin J.","non-dropping-particle":"","parse-names":false,"suffix":""},{"dropping-particle":"","family":"Drakeley","given":"Chris","non-dropping-particle":"","parse-names":false,"suffix":""},{"dropping-particle":"","family":"Field","given":"Nigel","non-dropping-particle":"","parse-names":false,"suffix":""}],"container-title":"Malaria Journal","id":"ITEM-1","issue":"1","issued":{"date-parts":[["2017","1","5"]]},"page":"1-10","publisher":"BioMed Central","title":"Malaria epidemiology in central Myanmar: identification of a multi-species asymptomatic reservoir of infection","type":"article-journal","volume":"16"},"uris":["http://www.mendeley.com/documents/?uuid=50c9ddb3-83ab-4ccb-a754-5bd2c8074433"]}],"mendeley":{"formattedCitation":"(17)","plainTextFormattedCitation":"(17)","previouslyFormattedCitation":"(17)"},"properties":{"noteIndex":0},"schema":"https://github.com/citation-style-language/schema/raw/master/csl-citation.json"}</w:instrText>
            </w:r>
            <w:r w:rsidRPr="008F7431">
              <w:rPr>
                <w:rFonts w:ascii="Times New Roman" w:hAnsi="Times New Roman" w:cs="Times New Roman"/>
                <w:sz w:val="20"/>
                <w:szCs w:val="20"/>
                <w:lang w:val="en-US"/>
              </w:rPr>
              <w:fldChar w:fldCharType="separate"/>
            </w:r>
            <w:r w:rsidRPr="008F7431">
              <w:rPr>
                <w:rFonts w:ascii="Times New Roman" w:hAnsi="Times New Roman" w:cs="Times New Roman"/>
                <w:noProof/>
                <w:sz w:val="20"/>
                <w:szCs w:val="20"/>
                <w:lang w:val="en-US"/>
              </w:rPr>
              <w:t>(17)</w:t>
            </w:r>
            <w:r w:rsidRPr="008F7431">
              <w:rPr>
                <w:rFonts w:ascii="Times New Roman" w:hAnsi="Times New Roman" w:cs="Times New Roman"/>
                <w:sz w:val="20"/>
                <w:szCs w:val="20"/>
                <w:lang w:val="en-US"/>
              </w:rPr>
              <w:fldChar w:fldCharType="end"/>
            </w:r>
          </w:p>
        </w:tc>
        <w:tc>
          <w:tcPr>
            <w:tcW w:w="850" w:type="dxa"/>
            <w:gridSpan w:val="3"/>
          </w:tcPr>
          <w:p w14:paraId="217B45AC" w14:textId="112C8C6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b/>
                <w:bCs/>
                <w:sz w:val="20"/>
                <w:szCs w:val="20"/>
                <w:lang w:val="en-US"/>
              </w:rPr>
              <w:t>Fornace et al</w:t>
            </w:r>
            <w:r w:rsidRPr="008F7431">
              <w:rPr>
                <w:rFonts w:ascii="Times New Roman" w:hAnsi="Times New Roman" w:cs="Times New Roman"/>
                <w:sz w:val="20"/>
                <w:szCs w:val="20"/>
                <w:lang w:val="en-US"/>
              </w:rPr>
              <w:t>. (2019)</w:t>
            </w:r>
          </w:p>
          <w:p w14:paraId="75126E94" w14:textId="6D81A66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fldChar w:fldCharType="begin" w:fldLock="1"/>
            </w:r>
            <w:r w:rsidRPr="008F7431">
              <w:rPr>
                <w:rFonts w:ascii="Times New Roman" w:hAnsi="Times New Roman" w:cs="Times New Roman"/>
                <w:sz w:val="20"/>
                <w:szCs w:val="20"/>
                <w:lang w:val="en-US"/>
              </w:rPr>
              <w:instrText>ADDIN CSL_CITATION {"citationItems":[{"id":"ITEM-1","itemData":{"DOI":"10.1016/S2542-5196(19)30045-2","ISSN":"25425196","PMID":"31029229","abstract":"Background: Land use changes disrupt ecosystems, altering the transmission of vector-borne diseases. These changes have been associated with increasing incidence of zoonotic malaria caused by Plasmodium knowlesi; however, the population-level distributions of infection and exposure remain unknown. We aimed to measure prevalence of serological exposure to P knowlesi and assess associated risk factors. Methods: We did an environmentally stratified, population-based, cross-sectional survey across households in the Kudat, Kota Marudu, Pitas, and Ranau districts in northern Sabah, Malaysia, encompassing a range of ecologies. Using blood samples, the transmission intensity of P knowlesi and other malaria species was measured by specific antibody prevalence and infection detected using molecular methods. Proportions and configurations of land types were extracted from maps derived from satellite images; a data-mining approach was used to select variables. A Bayesian hierarchical model for P knowlesi seropositivity was developed, incorporating questionnaire data about individual and household-level risk factors with selected landscape factors. Findings: Between Sept 17, 2015, and Dec 12, 2015, 10 100 individuals with a median age of 25 years (range 3 months to 105 years) were sampled from 2849 households in 180 villages. 5·1% (95% CI 4·8–5·4) were seropositive for P knowlesi, and marked historical decreases were observed in the transmission of Plasmodium falciparum and Plasmodium vivax. Nine Plasmodium spp infections were detected. Age, male sex, contact with macaques, forest use, and raised house construction were positively associated with P knowlesi exposure, whereas residing at higher geographical elevations and use of insecticide were protective. Agricultural and forest variables, such as proportions and fragmentation of land cover types, predicted exposure at different spatial scales from households. Interpretation: Although few infections were detected, P knowlesi exposure was observed in all demographic groups and was associated with occupational factors. Results suggest that agricultural expansion and forest fragmentation affect P knowlesi exposure, supporting linkages between land use change and P knowlesi transmission. Funding: UK Medical Research Council, Natural Environment Research Council, Economic and Social Research Council, and Biotechnology and Biosciences Research Council.","author":[{"dropping-particle":"","family":"Fornace","given":"Kimberly M.","non-dropping-particle":"","parse-names":false,"suffix":""},{"dropping-particle":"","family":"Brock","given":"Paddy M.","non-dropping-particle":"","parse-names":false,"suffix":""},{"dropping-particle":"","family":"Abidin","given":"Tommy R.","non-dropping-particle":"","parse-names":false,"suffix":""},{"dropping-particle":"","family":"Grignard","given":"Lynn","non-dropping-particle":"","parse-names":false,"suffix":""},{"dropping-particle":"","family":"Herman","given":"Lou S.","non-dropping-particle":"","parse-names":false,"suffix":""},{"dropping-particle":"","family":"Chua","given":"Tock H.","non-dropping-particle":"","parse-names":false,"suffix":""},{"dropping-particle":"","family":"Daim","given":"Sylvia","non-dropping-particle":"","parse-names":false,"suffix":""},{"dropping-particle":"","family":"William","given":"Timothy","non-dropping-particle":"","parse-names":false,"suffix":""},{"dropping-particle":"","family":"Patterson","given":"Catriona L.E.B.","non-dropping-particle":"","parse-names":false,"suffix":""},{"dropping-particle":"","family":"Hall","given":"Tom","non-dropping-particle":"","parse-names":false,"suffix":""},{"dropping-particle":"","family":"Grigg","given":"Matthew J.","non-dropping-particle":"","parse-names":false,"suffix":""},{"dropping-particle":"","family":"Anstey","given":"Nicholas M.","non-dropping-particle":"","parse-names":false,"suffix":""},{"dropping-particle":"","family":"Tetteh","given":"Kevin K.A.","non-dropping-particle":"","parse-names":false,"suffix":""},{"dropping-particle":"","family":"Cox","given":"Jonathan","non-dropping-particle":"","parse-names":false,"suffix":""},{"dropping-particle":"","family":"Drakeley","given":"Chris J.","non-dropping-particle":"","parse-names":false,"suffix":""}],"container-title":"The Lancet Planetary Health","id":"ITEM-1","issue":"4","issued":{"date-parts":[["2019"]]},"page":"e179-e186","publisher":"The Author(s). Published by Elsevier Ltd. This is an Open Access article under the CC BY 4.0 license","title":"Environmental risk factors and exposure to the zoonotic malaria parasite Plasmodium knowlesi across northern Sabah, Malaysia: a population-based cross-sectional survey","type":"article-journal","volume":"3"},"uris":["http://www.mendeley.com/documents/?uuid=815dfe07-8b6a-4123-98f7-c148de37729b"]}],"mendeley":{"formattedCitation":"(21)","plainTextFormattedCitation":"(21)","previouslyFormattedCitation":"(21)"},"properties":{"noteIndex":0},"schema":"https://github.com/citation-style-language/schema/raw/master/csl-citation.json"}</w:instrText>
            </w:r>
            <w:r w:rsidRPr="008F7431">
              <w:rPr>
                <w:rFonts w:ascii="Times New Roman" w:hAnsi="Times New Roman" w:cs="Times New Roman"/>
                <w:sz w:val="20"/>
                <w:szCs w:val="20"/>
                <w:lang w:val="en-US"/>
              </w:rPr>
              <w:fldChar w:fldCharType="separate"/>
            </w:r>
            <w:r w:rsidRPr="008F7431">
              <w:rPr>
                <w:rFonts w:ascii="Times New Roman" w:hAnsi="Times New Roman" w:cs="Times New Roman"/>
                <w:noProof/>
                <w:sz w:val="20"/>
                <w:szCs w:val="20"/>
                <w:lang w:val="en-US"/>
              </w:rPr>
              <w:t>(21)</w:t>
            </w:r>
            <w:r w:rsidRPr="008F7431">
              <w:rPr>
                <w:rFonts w:ascii="Times New Roman" w:hAnsi="Times New Roman" w:cs="Times New Roman"/>
                <w:sz w:val="20"/>
                <w:szCs w:val="20"/>
                <w:lang w:val="en-US"/>
              </w:rPr>
              <w:fldChar w:fldCharType="end"/>
            </w:r>
          </w:p>
          <w:p w14:paraId="2A01BB97" w14:textId="110FAD62" w:rsidR="005633E3" w:rsidRPr="008F7431" w:rsidRDefault="005633E3" w:rsidP="00760DB4">
            <w:pPr>
              <w:spacing w:line="480" w:lineRule="auto"/>
              <w:jc w:val="both"/>
              <w:rPr>
                <w:rFonts w:ascii="Times New Roman" w:hAnsi="Times New Roman" w:cs="Times New Roman"/>
                <w:sz w:val="20"/>
                <w:szCs w:val="20"/>
                <w:lang w:val="en-US"/>
              </w:rPr>
            </w:pPr>
          </w:p>
        </w:tc>
        <w:tc>
          <w:tcPr>
            <w:tcW w:w="850" w:type="dxa"/>
            <w:gridSpan w:val="3"/>
          </w:tcPr>
          <w:p w14:paraId="71517C93" w14:textId="7777777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b/>
                <w:bCs/>
                <w:sz w:val="20"/>
                <w:szCs w:val="20"/>
                <w:lang w:val="en-US"/>
              </w:rPr>
              <w:t>Fornace et al.</w:t>
            </w:r>
            <w:r w:rsidRPr="008F7431">
              <w:rPr>
                <w:rFonts w:ascii="Times New Roman" w:hAnsi="Times New Roman" w:cs="Times New Roman"/>
                <w:sz w:val="20"/>
                <w:szCs w:val="20"/>
                <w:lang w:val="en-US"/>
              </w:rPr>
              <w:t xml:space="preserve"> (2018)</w:t>
            </w:r>
          </w:p>
          <w:p w14:paraId="1F865ADC" w14:textId="27317986"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fldChar w:fldCharType="begin" w:fldLock="1"/>
            </w:r>
            <w:r w:rsidRPr="008F7431">
              <w:rPr>
                <w:rFonts w:ascii="Times New Roman" w:hAnsi="Times New Roman" w:cs="Times New Roman"/>
                <w:sz w:val="20"/>
                <w:szCs w:val="20"/>
                <w:lang w:val="en-US"/>
              </w:rPr>
              <w:instrText>ADDIN CSL_CITATION {"citationItems":[{"id":"ITEM-1","itemData":{"DOI":"10.1371/journal.pntd.0006432","ISBN":"1111111111","ISSN":"19352735","PMID":"29902171","abstract":"Background: Primarily impacting poor, rural populations, the zoonotic malaria Plasmodium knowlesi is now the main cause of human malaria within Malaysian Borneo. While data is increasingly available on symptomatic cases, little is known about community-level patterns of exposure and infection. Understanding the true burden of disease and associated risk factors within endemic communities is critical for informing evidence-based control measures. Methodology/Principal findings: We conducted comprehensive surveys in three areas where P. knowlesi transmission is reported: Limbuak, Pulau Banggi and Matunggung, Kudat, Sabah, Malaysia and Bacungan, Palawan, the Philippines. Infection prevalence was low with parasites detected by PCR in only 0.2% (4/2503) of the population. P. knowlesi PkSERA3 ag1 antibody responses were detected in 7.1% (95% CI: 6.2–8.2%) of the population, compared with 16.1% (14.6–17.7%) and 12.6% (11.2–14.1%) for P. falciparum and P. vivax. Sero-prevalence was low in individuals &lt;10 years old for P. falciparum and P. vivax consistent with decreased transmission of non-zoonotic malaria species. Results indicated marked heterogeneity in transmission intensity between sites and P. knowlesi exposure was associated with agricultural work (OR 1.63; 95% CI 1.07–2.48) and higher levels of forest cover (OR 2.40; 95% CI 1.29–4.46) and clearing (OR 2.14; 95% CI 1.35–3.40) around houses. Spatial patterns of P. knowlesi exposure differed from exposure to non-zoonotic malaria and P. knowlesi exposed individuals were younger on average than individuals exposed to non-zoonotic malaria. Conclusions/Significance: This is the first study to describe serological exposure to P. knowlesi and associated risk factors within endemic communities. Results indicate community–level patterns of infection and exposure differ markedly from demographics of reported cases, with higher levels of exposure among women and children. Further work is needed to understand these variations in risk across a wider population and spatial scale.","author":[{"dropping-particle":"","family":"Fornace","given":"Kimberly M.","non-dropping-particle":"","parse-names":false,"suffix":""},{"dropping-particle":"","family":"Herman","given":"Lou S.","non-dropping-particle":"","parse-names":false,"suffix":""},{"dropping-particle":"","family":"Abidin","given":"Tommy R.","non-dropping-particle":"","parse-names":false,"suffix":""},{"dropping-particle":"","family":"Chua","given":"Tock Hing","non-dropping-particle":"","parse-names":false,"suffix":""},{"dropping-particle":"","family":"Daim","given":"Sylvia","non-dropping-particle":"","parse-names":false,"suffix":""},{"dropping-particle":"","family":"Lorenzo","given":"Pauline J.","non-dropping-particle":"","parse-names":false,"suffix":""},{"dropping-particle":"","family":"Grignard","given":"Lynn","non-dropping-particle":"","parse-names":false,"suffix":""},{"dropping-particle":"","family":"Nuin","given":"Nor Afizah","non-dropping-particle":"","parse-names":false,"suffix":""},{"dropping-particle":"","family":"Ying","given":"Lau Tiek","non-dropping-particle":"","parse-names":false,"suffix":""},{"dropping-particle":"","family":"Grigg","given":"Matthew J.","non-dropping-particle":"","parse-names":false,"suffix":""},{"dropping-particle":"","family":"William","given":"Timothy","non-dropping-particle":"","parse-names":false,"suffix":""},{"dropping-particle":"","family":"Espino","given":"Fe","non-dropping-particle":"","parse-names":false,"suffix":""},{"dropping-particle":"","family":"Cox","given":"Jonathan","non-dropping-particle":"","parse-names":false,"suffix":""},{"dropping-particle":"","family":"Tetteh","given":"Kevin K.A.","non-dropping-particle":"","parse-names":false,"suffix":""},{"dropping-particle":"","family":"Drakeley","given":"Chris J.","non-dropping-particle":"","parse-names":false,"suffix":""}],"container-title":"PLoS Neglected Tropical Diseases","id":"ITEM-1","issue":"6","issued":{"date-parts":[["2018"]]},"title":"Exposure and infection to Plasmodium knowlesi in case study communities in Northern Sabah, Malaysia and Palawan, the Philippines","type":"article-journal","volume":"12"},"uris":["http://www.mendeley.com/documents/?uuid=16cd4066-2bf0-427b-8392-d2f95d54bd90"]}],"mendeley":{"formattedCitation":"(22)","plainTextFormattedCitation":"(22)","previouslyFormattedCitation":"(22)"},"properties":{"noteIndex":0},"schema":"https://github.com/citation-style-language/schema/raw/master/csl-citation.json"}</w:instrText>
            </w:r>
            <w:r w:rsidRPr="008F7431">
              <w:rPr>
                <w:rFonts w:ascii="Times New Roman" w:hAnsi="Times New Roman" w:cs="Times New Roman"/>
                <w:sz w:val="20"/>
                <w:szCs w:val="20"/>
                <w:lang w:val="en-US"/>
              </w:rPr>
              <w:fldChar w:fldCharType="separate"/>
            </w:r>
            <w:r w:rsidRPr="008F7431">
              <w:rPr>
                <w:rFonts w:ascii="Times New Roman" w:hAnsi="Times New Roman" w:cs="Times New Roman"/>
                <w:noProof/>
                <w:sz w:val="20"/>
                <w:szCs w:val="20"/>
                <w:lang w:val="en-US"/>
              </w:rPr>
              <w:t>(22)</w:t>
            </w:r>
            <w:r w:rsidRPr="008F7431">
              <w:rPr>
                <w:rFonts w:ascii="Times New Roman" w:hAnsi="Times New Roman" w:cs="Times New Roman"/>
                <w:sz w:val="20"/>
                <w:szCs w:val="20"/>
                <w:lang w:val="en-US"/>
              </w:rPr>
              <w:fldChar w:fldCharType="end"/>
            </w:r>
            <w:r w:rsidRPr="008F7431">
              <w:rPr>
                <w:rFonts w:ascii="Times New Roman" w:hAnsi="Times New Roman" w:cs="Times New Roman"/>
                <w:sz w:val="20"/>
                <w:szCs w:val="20"/>
                <w:lang w:val="en-US"/>
              </w:rPr>
              <w:t xml:space="preserve"> </w:t>
            </w:r>
          </w:p>
        </w:tc>
        <w:tc>
          <w:tcPr>
            <w:tcW w:w="850" w:type="dxa"/>
            <w:gridSpan w:val="3"/>
          </w:tcPr>
          <w:p w14:paraId="64A88127" w14:textId="7777777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b/>
                <w:bCs/>
                <w:sz w:val="20"/>
                <w:szCs w:val="20"/>
                <w:lang w:val="en-US"/>
              </w:rPr>
              <w:t>Siner et al.</w:t>
            </w:r>
            <w:r w:rsidRPr="008F7431">
              <w:rPr>
                <w:rFonts w:ascii="Times New Roman" w:hAnsi="Times New Roman" w:cs="Times New Roman"/>
                <w:sz w:val="20"/>
                <w:szCs w:val="20"/>
                <w:lang w:val="en-US"/>
              </w:rPr>
              <w:t xml:space="preserve"> (2017)</w:t>
            </w:r>
          </w:p>
          <w:p w14:paraId="00587CF2" w14:textId="0745DF50"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fldChar w:fldCharType="begin" w:fldLock="1"/>
            </w:r>
            <w:r w:rsidRPr="008F7431">
              <w:rPr>
                <w:rFonts w:ascii="Times New Roman" w:hAnsi="Times New Roman" w:cs="Times New Roman"/>
                <w:sz w:val="20"/>
                <w:szCs w:val="20"/>
                <w:lang w:val="en-US"/>
              </w:rPr>
              <w:instrText>ADDIN CSL_CITATION {"citationItems":[{"id":"ITEM-1","itemData":{"DOI":"10.1186/s12936-017-2064-9","ISSN":"14752875","PMID":"29041929","abstract":"Background: Plasmodium knowlesi, a simian malaria parasite, has become the main cause of malaria in Sarawak, Malaysian Borneo. Epidemiological data on malaria for Sarawak has been derived solely from hospitalized patients, and more accurate epidemiological data on malaria is necessary. Therefore, a longitudinal study of communities affected by knowlesi malaria was undertaken. Methods: A total of 3002 blood samples on filter paper were collected from 555 inhabitants of 8 longhouses with recently reported knowlesi malaria cases in the Betong Division of Sarawak, Malaysian Borneo. Each longhouse was visited bimonthly for a total of 10 times during a 21-month study period (Jan 2014-Oct 2015). DNA extracted from blood spots were examined by a nested PCR assay for Plasmodium and positive samples were then examined by nested PCR assays for Plasmodium falciparum, Plasmodium vivax, Plasmodium malariae, Plasmodium ovale, Plasmodium knowlesi, Plasmodium cynomolgi and Plasmodium inui. Blood films of samples positive by PCR were also examined by microscopy. Results: Genus-specific PCR assay detected Plasmodium DNA in 9 out of 3002 samples. Species-specific PCR identified 7 P. knowlesi and one P. vivax. Malaria parasites were observed in 5 thick blood films of the PCR positive samples. No parasites were observed in blood films from one knowlesi-, one vivax- and the genus-positive samples. Only one of 7 P. knowlesi-infected individual was febrile and had sought medical treatment at Betong Hospital the day after sampling. The 6 knowlesi-, one vivax- and one Plasmodium-infected individuals were afebrile and did not seek any medical treatment. Conclusions: Asymptomatic human P. knowlesi and P. vivax malaria infections, but not P. cynomolgi and P. inui infections, are occurring within communities affected with malaria.","author":[{"dropping-particle":"","family":"Siner","given":"Angela","non-dropping-particle":"","parse-names":false,"suffix":""},{"dropping-particle":"","family":"Liew","given":"Sze Tze","non-dropping-particle":"","parse-names":false,"suffix":""},{"dropping-particle":"","family":"Kadir","given":"Khamisah Abdul","non-dropping-particle":"","parse-names":false,"suffix":""},{"dropping-particle":"","family":"Mohamad","given":"Dayang Shuaisah Awang","non-dropping-particle":"","parse-names":false,"suffix":""},{"dropping-particle":"","family":"Thomas","given":"Felicia Kavita","non-dropping-particle":"","parse-names":false,"suffix":""},{"dropping-particle":"","family":"Zulkarnaen","given":"Mohammad","non-dropping-particle":"","parse-names":false,"suffix":""},{"dropping-particle":"","family":"Singh","given":"Balbir","non-dropping-particle":"","parse-names":false,"suffix":""}],"container-title":"Malaria Journal","id":"ITEM-1","issue":"1","issued":{"date-parts":[["2017","10","17"]]},"page":"417","publisher":"BioMed Central Ltd.","title":"Absence of Plasmodium inui and Plasmodium cynomolgi, but detection of Plasmodium knowlesi and Plasmodium vivax infections in asymptomatic humans in the Betong division of Sarawak, Malaysian Borneo","type":"article-journal","volume":"16"},"uris":["http://www.mendeley.com/documents/?uuid=429a9614-b4da-410a-88e6-9b7e465b6c06"]}],"mendeley":{"formattedCitation":"(23)","plainTextFormattedCitation":"(23)","previouslyFormattedCitation":"(23)"},"properties":{"noteIndex":0},"schema":"https://github.com/citation-style-language/schema/raw/master/csl-citation.json"}</w:instrText>
            </w:r>
            <w:r w:rsidRPr="008F7431">
              <w:rPr>
                <w:rFonts w:ascii="Times New Roman" w:hAnsi="Times New Roman" w:cs="Times New Roman"/>
                <w:sz w:val="20"/>
                <w:szCs w:val="20"/>
                <w:lang w:val="en-US"/>
              </w:rPr>
              <w:fldChar w:fldCharType="separate"/>
            </w:r>
            <w:r w:rsidRPr="008F7431">
              <w:rPr>
                <w:rFonts w:ascii="Times New Roman" w:hAnsi="Times New Roman" w:cs="Times New Roman"/>
                <w:noProof/>
                <w:sz w:val="20"/>
                <w:szCs w:val="20"/>
                <w:lang w:val="en-US"/>
              </w:rPr>
              <w:t>(23)</w:t>
            </w:r>
            <w:r w:rsidRPr="008F7431">
              <w:rPr>
                <w:rFonts w:ascii="Times New Roman" w:hAnsi="Times New Roman" w:cs="Times New Roman"/>
                <w:sz w:val="20"/>
                <w:szCs w:val="20"/>
                <w:lang w:val="en-US"/>
              </w:rPr>
              <w:fldChar w:fldCharType="end"/>
            </w:r>
            <w:r w:rsidRPr="008F7431">
              <w:rPr>
                <w:rFonts w:ascii="Times New Roman" w:hAnsi="Times New Roman" w:cs="Times New Roman"/>
                <w:sz w:val="20"/>
                <w:szCs w:val="20"/>
                <w:lang w:val="en-US"/>
              </w:rPr>
              <w:t xml:space="preserve"> </w:t>
            </w:r>
          </w:p>
        </w:tc>
        <w:tc>
          <w:tcPr>
            <w:tcW w:w="850" w:type="dxa"/>
            <w:gridSpan w:val="3"/>
          </w:tcPr>
          <w:p w14:paraId="07783DF8" w14:textId="1AB9685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b/>
                <w:bCs/>
                <w:sz w:val="20"/>
                <w:szCs w:val="20"/>
                <w:lang w:val="en-US"/>
              </w:rPr>
              <w:t>Marchand et al</w:t>
            </w:r>
            <w:r w:rsidRPr="008F7431">
              <w:rPr>
                <w:rFonts w:ascii="Times New Roman" w:hAnsi="Times New Roman" w:cs="Times New Roman"/>
                <w:sz w:val="20"/>
                <w:szCs w:val="20"/>
                <w:lang w:val="en-US"/>
              </w:rPr>
              <w:t>. (2011)</w:t>
            </w:r>
          </w:p>
          <w:p w14:paraId="5DBE0D47" w14:textId="09D9E56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fldChar w:fldCharType="begin" w:fldLock="1"/>
            </w:r>
            <w:r w:rsidRPr="008F7431">
              <w:rPr>
                <w:rFonts w:ascii="Times New Roman" w:hAnsi="Times New Roman" w:cs="Times New Roman"/>
                <w:sz w:val="20"/>
                <w:szCs w:val="20"/>
                <w:lang w:val="en-US"/>
              </w:rPr>
              <w:instrText>ADDIN CSL_CITATION {"citationItems":[{"id":"ITEM-1","itemData":{"DOI":"10.3201/eid1707.101551","ISSN":"10806040","PMID":"21762577","abstract":"A single Anopheles dirus mosquito carrying sporozoites of Plasmodium knowlesi, P. falciparum, and P. vivax was recently discovered in Khanh Phu, southern Vietnam. Further sampling of humans and mosquitoes in this area during 2009-2010 showed P. knowlesi infections in 32 (26%) persons with malaria (n = 125) and in 31 (43%) sporozoite-positive An. dirus mosquitoes (n = 73). Coinfections of P. knowlesi and P. vivax were predominant in mosquitoes and humans, while single P. knowlesi infections were found only in mosquitoes. P. knowlesi-co-infected patients were largely asymptomatic and were concentrated among ethnic minority families who commonly spend nights in the forest. P. knowlesi carriers were significantly younger than those infected with other malaria parasite species. These results imply that even if human malaria could be eliminated, forests that harbor An. dirus mosquitoes and macaque monkeys will remain a reservoir for the zoonotic transmission of P. knowlesi.","author":[{"dropping-particle":"","family":"Marchand","given":"Ron P.","non-dropping-particle":"","parse-names":false,"suffix":""},{"dropping-particle":"","family":"Culleton","given":"Richard","non-dropping-particle":"","parse-names":false,"suffix":""},{"dropping-particle":"","family":"Maeno","given":"Yoshimasa","non-dropping-particle":"","parse-names":false,"suffix":""},{"dropping-particle":"","family":"Quang","given":"Nguyen Tuyen","non-dropping-particle":"","parse-names":false,"suffix":""},{"dropping-particle":"","family":"Nakazawa","given":"Shusuke","non-dropping-particle":"","parse-names":false,"suffix":""}],"container-title":"Emerging Infectious Diseases","id":"ITEM-1","issue":"7","issued":{"date-parts":[["2011"]]},"page":"1232-1239","title":"Co-infections of Plasmodium knowlesi, P. falciparum, and P. vivax among humans and Anopheles dirus mosquitoes, Southern Vietnam","type":"article-journal","volume":"17"},"uris":["http://www.mendeley.com/documents/?uuid=df09bcad-ef6f-4b14-ab7d-48a70a39dcae"]}],"mendeley":{"formattedCitation":"(24)","plainTextFormattedCitation":"(24)","previouslyFormattedCitation":"(24)"},"properties":{"noteIndex":0},"schema":"https://github.com/citation-style-language/schema/raw/master/csl-citation.json"}</w:instrText>
            </w:r>
            <w:r w:rsidRPr="008F7431">
              <w:rPr>
                <w:rFonts w:ascii="Times New Roman" w:hAnsi="Times New Roman" w:cs="Times New Roman"/>
                <w:sz w:val="20"/>
                <w:szCs w:val="20"/>
                <w:lang w:val="en-US"/>
              </w:rPr>
              <w:fldChar w:fldCharType="separate"/>
            </w:r>
            <w:r w:rsidRPr="008F7431">
              <w:rPr>
                <w:rFonts w:ascii="Times New Roman" w:hAnsi="Times New Roman" w:cs="Times New Roman"/>
                <w:noProof/>
                <w:sz w:val="20"/>
                <w:szCs w:val="20"/>
                <w:lang w:val="en-US"/>
              </w:rPr>
              <w:t>(24)</w:t>
            </w:r>
            <w:r w:rsidRPr="008F7431">
              <w:rPr>
                <w:rFonts w:ascii="Times New Roman" w:hAnsi="Times New Roman" w:cs="Times New Roman"/>
                <w:sz w:val="20"/>
                <w:szCs w:val="20"/>
                <w:lang w:val="en-US"/>
              </w:rPr>
              <w:fldChar w:fldCharType="end"/>
            </w:r>
            <w:r w:rsidRPr="008F7431">
              <w:rPr>
                <w:rFonts w:ascii="Times New Roman" w:hAnsi="Times New Roman" w:cs="Times New Roman"/>
                <w:sz w:val="20"/>
                <w:szCs w:val="20"/>
                <w:lang w:val="en-US"/>
              </w:rPr>
              <w:t xml:space="preserve"> </w:t>
            </w:r>
          </w:p>
        </w:tc>
        <w:tc>
          <w:tcPr>
            <w:tcW w:w="850" w:type="dxa"/>
            <w:gridSpan w:val="3"/>
          </w:tcPr>
          <w:p w14:paraId="0617D8EC" w14:textId="7777777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b/>
                <w:bCs/>
                <w:sz w:val="20"/>
                <w:szCs w:val="20"/>
                <w:lang w:val="en-US"/>
              </w:rPr>
              <w:t>Shimizu et al</w:t>
            </w:r>
            <w:r w:rsidRPr="008F7431">
              <w:rPr>
                <w:rFonts w:ascii="Times New Roman" w:hAnsi="Times New Roman" w:cs="Times New Roman"/>
                <w:sz w:val="20"/>
                <w:szCs w:val="20"/>
                <w:lang w:val="en-US"/>
              </w:rPr>
              <w:t xml:space="preserve"> (2020)</w:t>
            </w:r>
          </w:p>
          <w:p w14:paraId="5F1053EE" w14:textId="1262C58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fldChar w:fldCharType="begin" w:fldLock="1"/>
            </w:r>
            <w:r w:rsidRPr="008F7431">
              <w:rPr>
                <w:rFonts w:ascii="Times New Roman" w:hAnsi="Times New Roman" w:cs="Times New Roman"/>
                <w:sz w:val="20"/>
                <w:szCs w:val="20"/>
                <w:lang w:val="en-US"/>
              </w:rPr>
              <w:instrText>ADDIN CSL_CITATION {"citationItems":[{"id":"ITEM-1","itemData":{"DOI":"10.1016/j.ijid.2020.05.022","ISSN":"18783511","PMID":"32407902","abstract":"Objectives: Malaria cross-sectional surveys are rarely conducted in very low transmission settings. This study aimed to determine the prevalence and risk factors of Plasmodium infection in a near-elimination setting in southern Thailand. Methods: Two cross-sectional surveys were conducted in areas of active transmission in the Surat Thani province of Thailand in January and May 2019. PCR was used to detect Plasmodium infection. Results: The prevalence of Plasmodium blood infection was 0.45% and 0.61% in January and May 2019, respectively. The major parasite species was Plasmodium falciparum in January and Plasmodium vivax in May. Unexpectedly, Plasmodium knowlesi infections were also detected. Most infections, including those of Plasmodium knowlesi, were asymptomatic. Being male and staying outdoors at night-time were the only significant identified risk factors. Of people infected in January 28.0% were positive in May for the same parasite species, suggesting persistent asymptomatic infections. Conclusions: Despite the very low incidence rate in Surat Thani, most malaria infections were asymptomatic. Outdoor mosquito biting at night-time is likely an important mode of malaria transmission. Unexpectedly, asymptomatic Plasmodium knowlesi infection was found, confirming previous reports of such infection in mainland Southeast Asia.","author":[{"dropping-particle":"","family":"Shimizu","given":"Shoichi","non-dropping-particle":"","parse-names":false,"suffix":""},{"dropping-particle":"","family":"Chotirat","given":"Sadudee","non-dropping-particle":"","parse-names":false,"suffix":""},{"dropping-particle":"","family":"Dokkulab","given":"Nichakan","non-dropping-particle":"","parse-names":false,"suffix":""},{"dropping-particle":"","family":"Hongchad","given":"Isarachai","non-dropping-particle":"","parse-names":false,"suffix":""},{"dropping-particle":"","family":"Khowsroy","given":"Kessuda","non-dropping-particle":"","parse-names":false,"suffix":""},{"dropping-particle":"","family":"Kiattibutr","given":"Kirakorn","non-dropping-particle":"","parse-names":false,"suffix":""},{"dropping-particle":"","family":"Maneechai","given":"Nongnuj","non-dropping-particle":"","parse-names":false,"suffix":""},{"dropping-particle":"","family":"Manopwisedjaroen","given":"Khajohnpong","non-dropping-particle":"","parse-names":false,"suffix":""},{"dropping-particle":"","family":"Petchvijit","given":"Pattamaporn","non-dropping-particle":"","parse-names":false,"suffix":""},{"dropping-particle":"","family":"Phumchuea","given":"Kanit","non-dropping-particle":"","parse-names":false,"suffix":""},{"dropping-particle":"","family":"Rachaphaew","given":"Nattawan","non-dropping-particle":"","parse-names":false,"suffix":""},{"dropping-particle":"","family":"Sripoorote","given":"Piyarat","non-dropping-particle":"","parse-names":false,"suffix":""},{"dropping-particle":"","family":"Suansomjit","given":"Chayanut","non-dropping-particle":"","parse-names":false,"suffix":""},{"dropping-particle":"","family":"Thongyod","given":"Waraporn","non-dropping-particle":"","parse-names":false,"suffix":""},{"dropping-particle":"","family":"Khamsiriwatchara","given":"Amnat","non-dropping-particle":"","parse-names":false,"suffix":""},{"dropping-particle":"","family":"Lawpoolsri","given":"Saranath","non-dropping-particle":"","parse-names":false,"suffix":""},{"dropping-particle":"","family":"Hanboonkunupakarn","given":"Borimas","non-dropping-particle":"","parse-names":false,"suffix":""},{"dropping-particle":"","family":"Sattabongkot","given":"Jetsumon","non-dropping-particle":"","parse-names":false,"suffix":""},{"dropping-particle":"","family":"Nguitragool","given":"Wang","non-dropping-particle":"","parse-names":false,"suffix":""}],"container-title":"International Journal of Infectious Diseases","id":"ITEM-1","issued":{"date-parts":[["2020"]]},"page":"445-451","publisher":"International Society for Infectious Diseases","title":"Malaria cross-sectional surveys identified asymptomatic infections of Plasmodium falciparum, Plasmodium vivax and Plasmodium knowlesi in Surat Thani, a southern province of Thailand","type":"article-journal","volume":"96"},"uris":["http://www.mendeley.com/documents/?uuid=08a1fd61-4b13-442e-8e58-20e298a396c3"]}],"mendeley":{"formattedCitation":"(25)","plainTextFormattedCitation":"(25)","previouslyFormattedCitation":"(25)"},"properties":{"noteIndex":0},"schema":"https://github.com/citation-style-language/schema/raw/master/csl-citation.json"}</w:instrText>
            </w:r>
            <w:r w:rsidRPr="008F7431">
              <w:rPr>
                <w:rFonts w:ascii="Times New Roman" w:hAnsi="Times New Roman" w:cs="Times New Roman"/>
                <w:sz w:val="20"/>
                <w:szCs w:val="20"/>
                <w:lang w:val="en-US"/>
              </w:rPr>
              <w:fldChar w:fldCharType="separate"/>
            </w:r>
            <w:r w:rsidRPr="008F7431">
              <w:rPr>
                <w:rFonts w:ascii="Times New Roman" w:hAnsi="Times New Roman" w:cs="Times New Roman"/>
                <w:noProof/>
                <w:sz w:val="20"/>
                <w:szCs w:val="20"/>
                <w:lang w:val="en-US"/>
              </w:rPr>
              <w:t>(25)</w:t>
            </w:r>
            <w:r w:rsidRPr="008F7431">
              <w:rPr>
                <w:rFonts w:ascii="Times New Roman" w:hAnsi="Times New Roman" w:cs="Times New Roman"/>
                <w:sz w:val="20"/>
                <w:szCs w:val="20"/>
                <w:lang w:val="en-US"/>
              </w:rPr>
              <w:fldChar w:fldCharType="end"/>
            </w:r>
            <w:r w:rsidRPr="008F7431">
              <w:rPr>
                <w:rFonts w:ascii="Times New Roman" w:hAnsi="Times New Roman" w:cs="Times New Roman"/>
                <w:sz w:val="20"/>
                <w:szCs w:val="20"/>
                <w:lang w:val="en-US"/>
              </w:rPr>
              <w:t xml:space="preserve"> </w:t>
            </w:r>
          </w:p>
        </w:tc>
        <w:tc>
          <w:tcPr>
            <w:tcW w:w="850" w:type="dxa"/>
            <w:gridSpan w:val="3"/>
          </w:tcPr>
          <w:p w14:paraId="0C0809F6" w14:textId="7777777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b/>
                <w:bCs/>
                <w:sz w:val="20"/>
                <w:szCs w:val="20"/>
                <w:lang w:val="en-US"/>
              </w:rPr>
              <w:t>Herdiana et al</w:t>
            </w:r>
            <w:r w:rsidRPr="008F7431">
              <w:rPr>
                <w:rFonts w:ascii="Times New Roman" w:hAnsi="Times New Roman" w:cs="Times New Roman"/>
                <w:sz w:val="20"/>
                <w:szCs w:val="20"/>
                <w:lang w:val="en-US"/>
              </w:rPr>
              <w:t>. (2016)</w:t>
            </w:r>
          </w:p>
          <w:p w14:paraId="1070B259" w14:textId="0E491D34"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fldChar w:fldCharType="begin" w:fldLock="1"/>
            </w:r>
            <w:r w:rsidRPr="008F7431">
              <w:rPr>
                <w:rFonts w:ascii="Times New Roman" w:hAnsi="Times New Roman" w:cs="Times New Roman"/>
                <w:sz w:val="20"/>
                <w:szCs w:val="20"/>
                <w:lang w:val="en-US"/>
              </w:rPr>
              <w:instrText>ADDIN CSL_CITATION {"citationItems":[{"id":"ITEM-1","itemData":{"DOI":"10.1186/s12936-016-1523-z","ISSN":"14752875","PMID":"27619000","abstract":"Background: As malaria transmission declines, it becomes more geographically focused and more likely due to asymptomatic and non-falciparum infections. To inform malaria elimination planning in the context of this changing epidemiology, local assessments on the risk factors for malaria infection are necessary, yet challenging due to the low number of malaria cases. Methods: A population-based, cross-sectional study was performed using passive and active surveillance data collected in Aceh Besar District, Indonesia from 2014 to 2015. Malaria infection was defined as symptomatic polymerase chain reaction (PCR)-confirmed infection in index cases reported from health facilities, and asymptomatic or symptomatic PCR-confirmed infection identified in reactive case detection (RACD). Potential risk factors for any infection, species-specific infection, or secondary-case detection in RACD were assessed through questionnaires and evaluated for associations. Results: Nineteen Plasmodium knowlesi, 12 Plasmodium vivax and six Plasmodium falciparum cases were identified passively, and 1495 community members screened in RACD, of which six secondary cases were detected (one P. knowlesi, three P. vivax, and two P. falciparum, with four being asymptomatic). Compared to non-infected subjects screened in RACD, cases identified through passive or active surveillance were more likely to be male (AOR 12.5, 95 % CI 3.0-52.1), adult (AOR 14.0, 95 % CI 2.2-89.6 for age 16-45 years compared to &lt;15 years), have visited the forest in the previous month for any reason (AOR 5.6, 95 % CI 1.3-24.2), and have a workplace near or in the forest and requiring overnight stays (AOR 7.9, 95 % CI 1.6-39.7 compared to workplace not near or in the forest). Comparing subjects with infections of different species, differences were observed in sub-district of residence and other demographic and behavioural factors. Among subjects screened in RACD, cases compared to non-cases were more likely to be febrile and reside within 100 m of the index case. Conclusion: In this setting, risk of malaria infection in index and RACD identified cases was associated with forest exposure, particularly overnights in the forest for work. In low-transmission settings, utilization of data available through routine passive and active surveillance can support efforts to target individuals at high risk.","author":[{"dropping-particle":"","family":"Herdiana","given":"Herdiana","non-dropping-particle":"","parse-names":false,"suffix":""},{"dropping-particle":"","family":"Cotter","given":"Chris","non-dropping-particle":"","parse-names":false,"suffix":""},{"dropping-particle":"","family":"Coutrier","given":"Farah N.","non-dropping-particle":"","parse-names":false,"suffix":""},{"dropping-particle":"","family":"Zarlinda","given":"Iska","non-dropping-particle":"","parse-names":false,"suffix":""},{"dropping-particle":"","family":"Zelman","given":"Brittany W.","non-dropping-particle":"","parse-names":false,"suffix":""},{"dropping-particle":"","family":"Tirta","given":"Yusrifar Kharisma","non-dropping-particle":"","parse-names":false,"suffix":""},{"dropping-particle":"","family":"Greenhouse","given":"Bryan","non-dropping-particle":"","parse-names":false,"suffix":""},{"dropping-particle":"","family":"Gosling","given":"Roly D.","non-dropping-particle":"","parse-names":false,"suffix":""},{"dropping-particle":"","family":"Baker","given":"Peter","non-dropping-particle":"","parse-names":false,"suffix":""},{"dropping-particle":"","family":"Whittaker","given":"Maxine","non-dropping-particle":"","parse-names":false,"suffix":""},{"dropping-particle":"","family":"Hsiang","given":"Michelle S.","non-dropping-particle":"","parse-names":false,"suffix":""}],"container-title":"Malaria Journal","id":"ITEM-1","issued":{"date-parts":[["2016"]]},"page":"468","publisher":"BioMed Central Ltd.","title":"Malaria risk factor assessment using active and passive surveillance data from Aceh Besar, Indonesia, a low endemic, malaria elimination setting with Plasmodium knowlesi, Plasmodium vivax, and Plasmodium falciparum","type":"article-journal","volume":"15"},"uris":["http://www.mendeley.com/documents/?uuid=6e336b47-66f7-407c-964a-96f0db19da95"]}],"mendeley":{"formattedCitation":"(26)","plainTextFormattedCitation":"(26)","previouslyFormattedCitation":"(26)"},"properties":{"noteIndex":0},"schema":"https://github.com/citation-style-language/schema/raw/master/csl-citation.json"}</w:instrText>
            </w:r>
            <w:r w:rsidRPr="008F7431">
              <w:rPr>
                <w:rFonts w:ascii="Times New Roman" w:hAnsi="Times New Roman" w:cs="Times New Roman"/>
                <w:sz w:val="20"/>
                <w:szCs w:val="20"/>
                <w:lang w:val="en-US"/>
              </w:rPr>
              <w:fldChar w:fldCharType="separate"/>
            </w:r>
            <w:r w:rsidRPr="008F7431">
              <w:rPr>
                <w:rFonts w:ascii="Times New Roman" w:hAnsi="Times New Roman" w:cs="Times New Roman"/>
                <w:noProof/>
                <w:sz w:val="20"/>
                <w:szCs w:val="20"/>
                <w:lang w:val="en-US"/>
              </w:rPr>
              <w:t>(26)</w:t>
            </w:r>
            <w:r w:rsidRPr="008F7431">
              <w:rPr>
                <w:rFonts w:ascii="Times New Roman" w:hAnsi="Times New Roman" w:cs="Times New Roman"/>
                <w:sz w:val="20"/>
                <w:szCs w:val="20"/>
                <w:lang w:val="en-US"/>
              </w:rPr>
              <w:fldChar w:fldCharType="end"/>
            </w:r>
            <w:r w:rsidRPr="008F7431">
              <w:rPr>
                <w:rFonts w:ascii="Times New Roman" w:hAnsi="Times New Roman" w:cs="Times New Roman"/>
                <w:sz w:val="20"/>
                <w:szCs w:val="20"/>
                <w:lang w:val="en-US"/>
              </w:rPr>
              <w:t xml:space="preserve"> </w:t>
            </w:r>
          </w:p>
        </w:tc>
        <w:tc>
          <w:tcPr>
            <w:tcW w:w="850" w:type="dxa"/>
            <w:gridSpan w:val="2"/>
          </w:tcPr>
          <w:p w14:paraId="51187A86" w14:textId="7777777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b/>
                <w:bCs/>
                <w:sz w:val="20"/>
                <w:szCs w:val="20"/>
                <w:lang w:val="en-US"/>
              </w:rPr>
              <w:t>Jiram et al</w:t>
            </w:r>
            <w:r w:rsidRPr="008F7431">
              <w:rPr>
                <w:rFonts w:ascii="Times New Roman" w:hAnsi="Times New Roman" w:cs="Times New Roman"/>
                <w:sz w:val="20"/>
                <w:szCs w:val="20"/>
                <w:lang w:val="en-US"/>
              </w:rPr>
              <w:t>.</w:t>
            </w:r>
          </w:p>
          <w:p w14:paraId="33213714" w14:textId="7777777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(2019)</w:t>
            </w:r>
          </w:p>
          <w:p w14:paraId="2DD5A2DB" w14:textId="6B27FBE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fldChar w:fldCharType="begin" w:fldLock="1"/>
            </w:r>
            <w:r w:rsidRPr="008F7431">
              <w:rPr>
                <w:rFonts w:ascii="Times New Roman" w:hAnsi="Times New Roman" w:cs="Times New Roman"/>
                <w:sz w:val="20"/>
                <w:szCs w:val="20"/>
                <w:lang w:val="en-US"/>
              </w:rPr>
              <w:instrText>ADDIN CSL_CITATION {"citationItems":[{"id":"ITEM-1","itemData":{"DOI":"10.1186/s12936-019-2786-y","ISSN":"14752875","PMID":"31046769","abstract":"Background: Malaysia has declared its aim to eliminate malaria with a goal of achieving zero local transmission by the year 2020. However, targeting the human reservoir of infection, including those with asymptomatic infection is required to achieve malaria elimination. Diagnosing asymptomatic malaria is not as straightforward due to the obvious lack of clinical manifestations and often subpatent level of parasites. Accurate diagnosis of malaria is important for providing realistic estimates of malaria burden and preventing misinformed interventions. Low levels of parasitaemia acts as silent reservoir of transmission thus remains infectious to susceptible mosquito vectors. Hence, the aim of this study is to investigate the prevalence of asymptomatic submicroscopic malaria (SMM) in the District of Belaga, Sarawak. Methods: In 2013, a total of 1744 dried blood spots (DBS) were obtained from residents of 8 longhouses who appeared healthy. Subsequently, 251 venous blood samples were collected from residents of 2 localities in 2014 based on the highest number of submicroscopic cases from prior findings. Thin and thick blood films were prepared from blood obtained from all participants in this study. Microscopic examination were carried out on all samples and a nested and nested multiplex PCR were performed on samples collected in 2013 and 2014 respectively. Results: No malaria parasites were detected in all the Giemsa-stained blood films. However, of the 1744 samples, 29 (1.7%) were positive for Plasmodium vivax by PCR. Additionally, of the 251 samples, the most prevalent mono-infection detected by PCR was Plasmodium falciparum 50 (20%), followed by P. vivax 39 (16%), P. knowlesi 9 (4%), and mixed infections 20 (8%). Conclusions: This research findings conclude evidence of Plasmodium by PCR, among samples previously undetectable by routine blood film microscopic examination, in local ethnic minority who are clinically healthy. SMM in Belaga district is attributed not only to P. vivax, but also to P. falciparum and P. knowlesi. In complementing efforts of programme managers, there is a need to increase surveillance for SMM nationwide to estimate the degree of SMM that warrant measures to block new transmission of malaria.","author":[{"dropping-particle":"","family":"Jiram","given":"Adela Ida","non-dropping-particle":"","parse-names":false,"suffix":""},{"dropping-particle":"","family":"Ooi","given":"Choo Huck","non-dropping-particle":"","parse-names":false,"suffix":""},{"dropping-particle":"","family":"Rubio","given":"José Miguel","non-dropping-particle":"","parse-names":false,"suffix":""},{"dropping-particle":"","family":"Hisam","given":"Shamilah","non-dropping-particle":"","parse-names":false,"suffix":""},{"dropping-particle":"","family":"Karnan","given":"Govindarajoo","non-dropping-particle":"","parse-names":false,"suffix":""},{"dropping-particle":"","family":"Sukor","given":"Nurnadiah Mohd","non-dropping-particle":"","parse-names":false,"suffix":""},{"dropping-particle":"","family":"Artic","given":"Mohd Mafie","non-dropping-particle":"","parse-names":false,"suffix":""},{"dropping-particle":"","family":"Ismail","given":"Nor Parina","non-dropping-particle":"","parse-names":false,"suffix":""},{"dropping-particle":"","family":"Alias","given":"Nor Wahida","non-dropping-particle":"","parse-names":false,"suffix":""}],"container-title":"Malaria Journal","id":"ITEM-1","issue":"1","issued":{"date-parts":[["2019"]]},"page":"1-12","publisher":"BioMed Central","title":"Evidence of asymptomatic submicroscopic malaria in low transmission areas in Belaga district, Kapit division, Sarawak, Malaysia","type":"article-journal","volume":"18"},"uris":["http://www.mendeley.com/documents/?uuid=371a9095-b051-4348-b44d-44a80feec9d1"]}],"mendeley":{"formattedCitation":"(27)","plainTextFormattedCitation":"(27)","previouslyFormattedCitation":"(27)"},"properties":{"noteIndex":0},"schema":"https://github.com/citation-style-language/schema/raw/master/csl-citation.json"}</w:instrText>
            </w:r>
            <w:r w:rsidRPr="008F7431">
              <w:rPr>
                <w:rFonts w:ascii="Times New Roman" w:hAnsi="Times New Roman" w:cs="Times New Roman"/>
                <w:sz w:val="20"/>
                <w:szCs w:val="20"/>
                <w:lang w:val="en-US"/>
              </w:rPr>
              <w:fldChar w:fldCharType="separate"/>
            </w:r>
            <w:r w:rsidRPr="008F7431">
              <w:rPr>
                <w:rFonts w:ascii="Times New Roman" w:hAnsi="Times New Roman" w:cs="Times New Roman"/>
                <w:noProof/>
                <w:sz w:val="20"/>
                <w:szCs w:val="20"/>
                <w:lang w:val="en-US"/>
              </w:rPr>
              <w:t>(27)</w:t>
            </w:r>
            <w:r w:rsidRPr="008F7431">
              <w:rPr>
                <w:rFonts w:ascii="Times New Roman" w:hAnsi="Times New Roman" w:cs="Times New Roman"/>
                <w:sz w:val="20"/>
                <w:szCs w:val="20"/>
                <w:lang w:val="en-US"/>
              </w:rPr>
              <w:fldChar w:fldCharType="end"/>
            </w:r>
          </w:p>
        </w:tc>
        <w:tc>
          <w:tcPr>
            <w:tcW w:w="850" w:type="dxa"/>
            <w:gridSpan w:val="3"/>
          </w:tcPr>
          <w:p w14:paraId="5B7165B7" w14:textId="77777777" w:rsidR="005633E3" w:rsidRPr="008F7431" w:rsidRDefault="005633E3" w:rsidP="005633E3">
            <w:pPr>
              <w:spacing w:line="480" w:lineRule="auto"/>
              <w:jc w:val="both"/>
              <w:rPr>
                <w:rFonts w:ascii="Times New Roman" w:hAnsi="Times New Roman" w:cs="Times New Roman"/>
                <w:b/>
                <w:bCs/>
                <w:sz w:val="20"/>
                <w:szCs w:val="20"/>
                <w:lang w:val="en-US"/>
              </w:rPr>
            </w:pPr>
            <w:r w:rsidRPr="008F7431">
              <w:rPr>
                <w:rFonts w:ascii="Times New Roman" w:hAnsi="Times New Roman" w:cs="Times New Roman"/>
                <w:b/>
                <w:bCs/>
                <w:sz w:val="20"/>
                <w:szCs w:val="20"/>
                <w:lang w:val="en-US"/>
              </w:rPr>
              <w:t>Lubis et al</w:t>
            </w:r>
          </w:p>
          <w:p w14:paraId="2858033C" w14:textId="77777777" w:rsidR="005633E3" w:rsidRPr="008F7431" w:rsidRDefault="005633E3" w:rsidP="005633E3">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(2017)</w:t>
            </w:r>
          </w:p>
          <w:p w14:paraId="52F50642" w14:textId="5380E1E6" w:rsidR="005633E3" w:rsidRPr="008F7431" w:rsidRDefault="005633E3" w:rsidP="005633E3">
            <w:pPr>
              <w:spacing w:line="480" w:lineRule="auto"/>
              <w:jc w:val="both"/>
              <w:rPr>
                <w:rFonts w:ascii="Times New Roman" w:hAnsi="Times New Roman" w:cs="Times New Roman"/>
                <w:b/>
                <w:bCs/>
                <w:sz w:val="20"/>
                <w:szCs w:val="20"/>
                <w:lang w:val="en-US"/>
              </w:rPr>
            </w:pPr>
            <w:r w:rsidRPr="008F7431">
              <w:rPr>
                <w:rFonts w:ascii="Times New Roman" w:hAnsi="Times New Roman" w:cs="Times New Roman"/>
                <w:sz w:val="20"/>
                <w:szCs w:val="20"/>
                <w:lang w:val="en-US"/>
              </w:rPr>
              <w:fldChar w:fldCharType="begin" w:fldLock="1"/>
            </w:r>
            <w:r w:rsidRPr="008F7431">
              <w:rPr>
                <w:rFonts w:ascii="Times New Roman" w:hAnsi="Times New Roman" w:cs="Times New Roman"/>
                <w:sz w:val="20"/>
                <w:szCs w:val="20"/>
                <w:lang w:val="en-US"/>
              </w:rPr>
              <w:instrText>ADDIN CSL_CITATION {"citationItems":[{"id":"ITEM-1","itemData":{"DOI":"10.1093/infdis/jix091","ISSN":"15376613","PMID":"28201638","abstract":"Background. As Indonesia works toward the goal of malaria elimination, information is lacking on malaria epidemiology from some western provinces. As a basis for studies of antimalarial efficacy, we set out to survey parasite carriage in 3 communities in North Sumatera Province. Methods. A combination of active and passive detection of infection was carried out among communities in Batubara, Langkat, and South Nias regencies. Finger-prick blood samples from consenting individuals of all ages provided blood films for microscopic examination and blood spots on filter paper. Plasmodium species were identified using nested polymerase chain reaction (PCR) of ribosomal RNA genes and a novel assay that amplifies a conserved sequence specific for the sicavar gene family of Plasmodium knowlesi. Results. Of 3731 participants, 614 (16.5%) were positive for malaria parasites by microscopy. PCR detected parasite DNA in samples from 1169 individuals (31.3%). In total, 377 participants (11.8%) harbored P. knowlesi. Also present were Plasmodium vivax (14.3%), Plasmodium falciparum (10.5%) and Plasmodium malariae (3.4%). Conclusions. Amplification of sicavar is a specific and sensitive test for the presence of P. knowlesi DNA in humans. Subpatent and asymptomatic multispecies parasitemia is relatively common in North Sumatera, so PCR-based surveillance is required to support control and elimination activities.","author":[{"dropping-particle":"","family":"Lubis","given":"Inke N.D. D","non-dropping-particle":"","parse-names":false,"suffix":""},{"dropping-particle":"","family":"Wijaya","given":"Hendri","non-dropping-particle":"","parse-names":false,"suffix":""},{"dropping-particle":"","family":"Lubis","given":"Munar","non-dropping-particle":"","parse-names":false,"suffix":""},{"dropping-particle":"","family":"et al","given":"","non-dropping-particle":"","parse-names":false,"suffix":""}],"container-title":"Journal of Infectious Diseases","id":"ITEM-1","issue":"7","issued":{"date-parts":[["2017"]]},"page":"1148-55","title":"Contribution of Plasmodium knowlesi to multispecies human Malaria infections in North Sumatera, Indonesia","type":"article-journal","volume":"215"},"uris":["http://www.mendeley.com/documents/?uuid=198be828-4043-4099-824d-ff4cdc582dcc"]}],"mendeley":{"formattedCitation":"(28)","plainTextFormattedCitation":"(28)","previouslyFormattedCitation":"(28)"},"properties":{"noteIndex":0},"schema":"https://github.com/citation-style-language/schema/raw/master/csl-citation.json"}</w:instrText>
            </w:r>
            <w:r w:rsidRPr="008F7431">
              <w:rPr>
                <w:rFonts w:ascii="Times New Roman" w:hAnsi="Times New Roman" w:cs="Times New Roman"/>
                <w:sz w:val="20"/>
                <w:szCs w:val="20"/>
                <w:lang w:val="en-US"/>
              </w:rPr>
              <w:fldChar w:fldCharType="separate"/>
            </w:r>
            <w:r w:rsidRPr="008F7431">
              <w:rPr>
                <w:rFonts w:ascii="Times New Roman" w:hAnsi="Times New Roman" w:cs="Times New Roman"/>
                <w:noProof/>
                <w:sz w:val="20"/>
                <w:szCs w:val="20"/>
                <w:lang w:val="en-US"/>
              </w:rPr>
              <w:t>(28)</w:t>
            </w:r>
            <w:r w:rsidRPr="008F7431">
              <w:rPr>
                <w:rFonts w:ascii="Times New Roman" w:hAnsi="Times New Roman" w:cs="Times New Roman"/>
                <w:sz w:val="20"/>
                <w:szCs w:val="20"/>
                <w:lang w:val="en-US"/>
              </w:rPr>
              <w:fldChar w:fldCharType="end"/>
            </w:r>
          </w:p>
        </w:tc>
        <w:tc>
          <w:tcPr>
            <w:tcW w:w="1438" w:type="dxa"/>
            <w:gridSpan w:val="4"/>
          </w:tcPr>
          <w:p w14:paraId="0A78F641" w14:textId="77777777" w:rsidR="005633E3" w:rsidRPr="008F7431" w:rsidRDefault="005633E3" w:rsidP="005633E3">
            <w:pPr>
              <w:spacing w:line="480" w:lineRule="auto"/>
              <w:jc w:val="both"/>
              <w:rPr>
                <w:rFonts w:ascii="Times New Roman" w:hAnsi="Times New Roman" w:cs="Times New Roman"/>
                <w:sz w:val="20"/>
                <w:szCs w:val="20"/>
                <w:lang w:val="en-US"/>
              </w:rPr>
            </w:pPr>
            <w:r w:rsidRPr="008F7431">
              <w:rPr>
                <w:rFonts w:ascii="Times New Roman" w:hAnsi="Times New Roman" w:cs="Times New Roman"/>
                <w:b/>
                <w:bCs/>
                <w:sz w:val="20"/>
                <w:szCs w:val="20"/>
                <w:lang w:val="en-US"/>
              </w:rPr>
              <w:t xml:space="preserve">Pongvongsa et al. </w:t>
            </w:r>
            <w:r w:rsidRPr="008F7431">
              <w:rPr>
                <w:rFonts w:ascii="Times New Roman" w:hAnsi="Times New Roman" w:cs="Times New Roman"/>
                <w:sz w:val="20"/>
                <w:szCs w:val="20"/>
                <w:lang w:val="en-US"/>
              </w:rPr>
              <w:t>(2018)</w:t>
            </w:r>
          </w:p>
          <w:p w14:paraId="3502CD93" w14:textId="5D8BE02C" w:rsidR="005633E3" w:rsidRPr="008F7431" w:rsidRDefault="005633E3" w:rsidP="005633E3">
            <w:pPr>
              <w:spacing w:line="480" w:lineRule="auto"/>
              <w:jc w:val="both"/>
              <w:rPr>
                <w:rFonts w:ascii="Times New Roman" w:hAnsi="Times New Roman" w:cs="Times New Roman"/>
                <w:b/>
                <w:bCs/>
                <w:sz w:val="20"/>
                <w:szCs w:val="20"/>
                <w:lang w:val="en-US"/>
              </w:rPr>
            </w:pPr>
            <w:r w:rsidRPr="008F7431">
              <w:rPr>
                <w:rFonts w:ascii="Times New Roman" w:hAnsi="Times New Roman" w:cs="Times New Roman"/>
                <w:sz w:val="20"/>
                <w:szCs w:val="20"/>
                <w:lang w:val="en-US"/>
              </w:rPr>
              <w:t>(29)</w:t>
            </w:r>
          </w:p>
        </w:tc>
        <w:tc>
          <w:tcPr>
            <w:tcW w:w="490" w:type="dxa"/>
          </w:tcPr>
          <w:p w14:paraId="69169C76" w14:textId="3BCBDA60" w:rsidR="005633E3" w:rsidRPr="008F7431" w:rsidRDefault="005633E3" w:rsidP="00760DB4">
            <w:pPr>
              <w:spacing w:line="480" w:lineRule="auto"/>
              <w:jc w:val="both"/>
              <w:rPr>
                <w:rFonts w:ascii="Times New Roman" w:hAnsi="Times New Roman" w:cs="Times New Roman"/>
                <w:sz w:val="20"/>
                <w:szCs w:val="20"/>
                <w:lang w:val="en-US"/>
              </w:rPr>
            </w:pPr>
          </w:p>
        </w:tc>
      </w:tr>
      <w:tr w:rsidR="005633E3" w:rsidRPr="008F7431" w14:paraId="2CF2B739" w14:textId="379DD532" w:rsidTr="007507EB">
        <w:trPr>
          <w:gridAfter w:val="1"/>
          <w:wAfter w:w="77" w:type="dxa"/>
        </w:trPr>
        <w:tc>
          <w:tcPr>
            <w:tcW w:w="978" w:type="dxa"/>
          </w:tcPr>
          <w:p w14:paraId="4C72C938" w14:textId="1DB847D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1</w:t>
            </w:r>
          </w:p>
        </w:tc>
        <w:tc>
          <w:tcPr>
            <w:tcW w:w="1554" w:type="dxa"/>
          </w:tcPr>
          <w:p w14:paraId="6A9E4641" w14:textId="7D9CD571" w:rsidR="005633E3" w:rsidRPr="008F7431" w:rsidRDefault="005633E3" w:rsidP="00760DB4">
            <w:pPr>
              <w:spacing w:line="480" w:lineRule="auto"/>
              <w:jc w:val="both"/>
              <w:rPr>
                <w:rFonts w:ascii="Times New Roman" w:hAnsi="Times New Roman" w:cs="Times New Roman"/>
                <w:b/>
                <w:bCs/>
                <w:sz w:val="20"/>
                <w:szCs w:val="20"/>
                <w:lang w:val="en-US"/>
              </w:rPr>
            </w:pPr>
            <w:r w:rsidRPr="008F7431">
              <w:rPr>
                <w:rFonts w:ascii="Times New Roman" w:hAnsi="Times New Roman" w:cs="Times New Roman"/>
                <w:b/>
                <w:bCs/>
                <w:sz w:val="20"/>
                <w:szCs w:val="20"/>
                <w:lang w:val="en-US"/>
              </w:rPr>
              <w:t>Title and abstract</w:t>
            </w:r>
          </w:p>
        </w:tc>
        <w:tc>
          <w:tcPr>
            <w:tcW w:w="850" w:type="dxa"/>
          </w:tcPr>
          <w:p w14:paraId="54FA0E71" w14:textId="04B55906"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50" w:type="dxa"/>
            <w:gridSpan w:val="3"/>
          </w:tcPr>
          <w:p w14:paraId="1808F54C" w14:textId="3C24F02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50" w:type="dxa"/>
            <w:gridSpan w:val="3"/>
          </w:tcPr>
          <w:p w14:paraId="2AB71BD5" w14:textId="701DF21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50" w:type="dxa"/>
            <w:gridSpan w:val="3"/>
          </w:tcPr>
          <w:p w14:paraId="4DB38F32" w14:textId="47DE3C9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50" w:type="dxa"/>
            <w:gridSpan w:val="3"/>
          </w:tcPr>
          <w:p w14:paraId="7C8962AD" w14:textId="33C7690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50" w:type="dxa"/>
            <w:gridSpan w:val="3"/>
          </w:tcPr>
          <w:p w14:paraId="3D9B8E2B" w14:textId="0414711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50" w:type="dxa"/>
            <w:gridSpan w:val="3"/>
          </w:tcPr>
          <w:p w14:paraId="13A9E343" w14:textId="1F43EA8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50" w:type="dxa"/>
            <w:gridSpan w:val="3"/>
          </w:tcPr>
          <w:p w14:paraId="1C0C57D9" w14:textId="6AB2D2F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50" w:type="dxa"/>
            <w:gridSpan w:val="3"/>
          </w:tcPr>
          <w:p w14:paraId="2092EAC3" w14:textId="3D2546C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50" w:type="dxa"/>
            <w:gridSpan w:val="3"/>
          </w:tcPr>
          <w:p w14:paraId="3F4506E4" w14:textId="6953565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50" w:type="dxa"/>
            <w:gridSpan w:val="2"/>
          </w:tcPr>
          <w:p w14:paraId="0311B32D" w14:textId="23EB5178" w:rsidR="005633E3" w:rsidRPr="008F7431" w:rsidRDefault="004F2E81">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50" w:type="dxa"/>
            <w:gridSpan w:val="3"/>
          </w:tcPr>
          <w:p w14:paraId="7AFB0E88" w14:textId="15A12583" w:rsidR="005633E3" w:rsidRPr="008F7431" w:rsidRDefault="004F2E81">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1438" w:type="dxa"/>
            <w:gridSpan w:val="4"/>
          </w:tcPr>
          <w:p w14:paraId="539859AF" w14:textId="6228DFEA" w:rsidR="005633E3" w:rsidRPr="008F7431" w:rsidRDefault="004F2E81">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490" w:type="dxa"/>
          </w:tcPr>
          <w:p w14:paraId="52D1DB6F" w14:textId="7BE9CE32" w:rsidR="005633E3" w:rsidRPr="008F7431" w:rsidRDefault="005633E3">
            <w:pPr>
              <w:spacing w:line="480" w:lineRule="auto"/>
              <w:jc w:val="both"/>
              <w:rPr>
                <w:rFonts w:ascii="Times New Roman" w:hAnsi="Times New Roman" w:cs="Times New Roman"/>
                <w:sz w:val="20"/>
                <w:szCs w:val="20"/>
                <w:lang w:val="en-US"/>
              </w:rPr>
            </w:pPr>
          </w:p>
        </w:tc>
      </w:tr>
      <w:tr w:rsidR="005633E3" w:rsidRPr="008F7431" w14:paraId="07B50C30" w14:textId="169DF8C7" w:rsidTr="005633E3">
        <w:tc>
          <w:tcPr>
            <w:tcW w:w="978" w:type="dxa"/>
          </w:tcPr>
          <w:p w14:paraId="50858C8B" w14:textId="567CD6A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2</w:t>
            </w:r>
          </w:p>
        </w:tc>
        <w:tc>
          <w:tcPr>
            <w:tcW w:w="1554" w:type="dxa"/>
          </w:tcPr>
          <w:p w14:paraId="712E743F" w14:textId="54CD849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Background and rationale</w:t>
            </w:r>
          </w:p>
        </w:tc>
        <w:tc>
          <w:tcPr>
            <w:tcW w:w="938" w:type="dxa"/>
            <w:gridSpan w:val="3"/>
          </w:tcPr>
          <w:p w14:paraId="1E2E7EFD" w14:textId="3A0E041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78CA6B2D" w14:textId="46C0C6E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087E9131" w14:textId="6C9B0A6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7A94B161" w14:textId="12EB92C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3565D95D" w14:textId="726B738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1F5099D5" w14:textId="1F3CC11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8" w:type="dxa"/>
            <w:gridSpan w:val="3"/>
          </w:tcPr>
          <w:p w14:paraId="722A3A12" w14:textId="78C85350"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1CC53795" w14:textId="0D769E1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2A2B482B" w14:textId="1752B121"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4"/>
          </w:tcPr>
          <w:p w14:paraId="597C6A2B" w14:textId="5A61F6F5"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54F1FF02" w14:textId="61BCFC6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2"/>
          </w:tcPr>
          <w:p w14:paraId="77C7EDB0" w14:textId="5522FF3B"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455DABB5" w14:textId="77777777" w:rsidR="005633E3" w:rsidRPr="008F7431" w:rsidRDefault="005633E3" w:rsidP="00760DB4">
            <w:pPr>
              <w:spacing w:line="480" w:lineRule="auto"/>
              <w:jc w:val="both"/>
              <w:rPr>
                <w:rFonts w:ascii="Times New Roman" w:hAnsi="Times New Roman" w:cs="Times New Roman"/>
                <w:sz w:val="20"/>
                <w:szCs w:val="20"/>
                <w:lang w:val="en-US"/>
              </w:rPr>
            </w:pPr>
          </w:p>
        </w:tc>
      </w:tr>
      <w:tr w:rsidR="005633E3" w:rsidRPr="008F7431" w14:paraId="134D8479" w14:textId="7F147E29" w:rsidTr="005633E3">
        <w:tc>
          <w:tcPr>
            <w:tcW w:w="978" w:type="dxa"/>
          </w:tcPr>
          <w:p w14:paraId="6399E7E1" w14:textId="14B44F1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3</w:t>
            </w:r>
          </w:p>
        </w:tc>
        <w:tc>
          <w:tcPr>
            <w:tcW w:w="1554" w:type="dxa"/>
          </w:tcPr>
          <w:p w14:paraId="0DA5E468" w14:textId="41EB67E4"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Objectives or hypothesis</w:t>
            </w:r>
          </w:p>
        </w:tc>
        <w:tc>
          <w:tcPr>
            <w:tcW w:w="938" w:type="dxa"/>
            <w:gridSpan w:val="3"/>
          </w:tcPr>
          <w:p w14:paraId="30381AB6" w14:textId="737256C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7365830B" w14:textId="0478EEB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18612F6A" w14:textId="2E6B6A4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6364B711" w14:textId="69D9FB2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29D004E8" w14:textId="6A856960"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2C590A2E" w14:textId="1B28700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8" w:type="dxa"/>
            <w:gridSpan w:val="3"/>
          </w:tcPr>
          <w:p w14:paraId="6EE84EA4" w14:textId="795E827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282045C4" w14:textId="47A5212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453ABA48" w14:textId="7B4C0924"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4"/>
          </w:tcPr>
          <w:p w14:paraId="79092FD9" w14:textId="2F0798C0"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79213582" w14:textId="691AD3C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2"/>
          </w:tcPr>
          <w:p w14:paraId="7F27E5A0" w14:textId="3AA65180"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939" w:type="dxa"/>
            <w:gridSpan w:val="3"/>
          </w:tcPr>
          <w:p w14:paraId="5038DA2A" w14:textId="77777777" w:rsidR="005633E3" w:rsidRPr="008F7431" w:rsidRDefault="005633E3" w:rsidP="00760DB4">
            <w:pPr>
              <w:spacing w:line="480" w:lineRule="auto"/>
              <w:jc w:val="both"/>
              <w:rPr>
                <w:rFonts w:ascii="Times New Roman" w:hAnsi="Times New Roman" w:cs="Times New Roman"/>
                <w:sz w:val="20"/>
                <w:szCs w:val="20"/>
                <w:lang w:val="en-US"/>
              </w:rPr>
            </w:pPr>
          </w:p>
        </w:tc>
      </w:tr>
      <w:tr w:rsidR="005633E3" w:rsidRPr="008F7431" w14:paraId="3991DCE0" w14:textId="6237EFA6" w:rsidTr="007507EB">
        <w:trPr>
          <w:gridAfter w:val="2"/>
          <w:wAfter w:w="567" w:type="dxa"/>
        </w:trPr>
        <w:tc>
          <w:tcPr>
            <w:tcW w:w="978" w:type="dxa"/>
          </w:tcPr>
          <w:p w14:paraId="383C9FB4" w14:textId="3661897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4</w:t>
            </w:r>
          </w:p>
        </w:tc>
        <w:tc>
          <w:tcPr>
            <w:tcW w:w="1554" w:type="dxa"/>
          </w:tcPr>
          <w:p w14:paraId="0467CC87" w14:textId="2F8FBC6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Study design</w:t>
            </w:r>
          </w:p>
        </w:tc>
        <w:tc>
          <w:tcPr>
            <w:tcW w:w="895" w:type="dxa"/>
            <w:gridSpan w:val="2"/>
          </w:tcPr>
          <w:p w14:paraId="1D1E129D" w14:textId="45CEEE4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5BCD406" w14:textId="2E9813C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581EAC7D" w14:textId="1B3B880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BCC2E19" w14:textId="55DEE42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53114421" w14:textId="62E3F4C0"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586F9807" w14:textId="5E314D4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C282FEA" w14:textId="246D98D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5139B2F6" w14:textId="162AC494"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568F5B82" w14:textId="009F0333"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54B667A9" w14:textId="6F4A754B"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D93670D" w14:textId="73B0894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6E8B181" w14:textId="1682C02D"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2"/>
          </w:tcPr>
          <w:p w14:paraId="16F1AA72" w14:textId="31133C04"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r>
      <w:tr w:rsidR="005633E3" w:rsidRPr="008F7431" w14:paraId="0C7BA85E" w14:textId="1A37649B" w:rsidTr="007507EB">
        <w:trPr>
          <w:gridAfter w:val="2"/>
          <w:wAfter w:w="567" w:type="dxa"/>
        </w:trPr>
        <w:tc>
          <w:tcPr>
            <w:tcW w:w="978" w:type="dxa"/>
          </w:tcPr>
          <w:p w14:paraId="0D7653BC" w14:textId="542B1AC6"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5</w:t>
            </w:r>
          </w:p>
        </w:tc>
        <w:tc>
          <w:tcPr>
            <w:tcW w:w="1554" w:type="dxa"/>
          </w:tcPr>
          <w:p w14:paraId="793E4E1C" w14:textId="753C681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xml:space="preserve">Describe settings, location, </w:t>
            </w:r>
            <w:r w:rsidRPr="008F7431">
              <w:rPr>
                <w:rFonts w:ascii="Times New Roman" w:hAnsi="Times New Roman" w:cs="Times New Roman"/>
                <w:sz w:val="20"/>
                <w:szCs w:val="20"/>
                <w:lang w:val="en-US"/>
              </w:rPr>
              <w:lastRenderedPageBreak/>
              <w:t>relevant dates of recruitment</w:t>
            </w:r>
          </w:p>
        </w:tc>
        <w:tc>
          <w:tcPr>
            <w:tcW w:w="895" w:type="dxa"/>
            <w:gridSpan w:val="2"/>
          </w:tcPr>
          <w:p w14:paraId="106D8D93" w14:textId="7CFFDC5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w:t>
            </w:r>
          </w:p>
        </w:tc>
        <w:tc>
          <w:tcPr>
            <w:tcW w:w="895" w:type="dxa"/>
            <w:gridSpan w:val="3"/>
          </w:tcPr>
          <w:p w14:paraId="66477FC1" w14:textId="7EB49FB6"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5FFD0B6B" w14:textId="72600C9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9ABEED4" w14:textId="69D0DAD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23F5DE29" w14:textId="0C687B6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A5885A4" w14:textId="1F528CE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10BA7A4" w14:textId="3CF3A6F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3BD4E0D" w14:textId="53DDFAC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0C4A192A" w14:textId="49F22BBC"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11B40A25" w14:textId="6A84B3AB"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06810E2" w14:textId="603C81B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89B495C" w14:textId="7FEDA84B"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2"/>
          </w:tcPr>
          <w:p w14:paraId="5A1B5E2E" w14:textId="5B5E4B24"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r>
      <w:tr w:rsidR="005633E3" w:rsidRPr="008F7431" w14:paraId="0E248E0E" w14:textId="6AC0495F" w:rsidTr="007507EB">
        <w:trPr>
          <w:gridAfter w:val="2"/>
          <w:wAfter w:w="567" w:type="dxa"/>
        </w:trPr>
        <w:tc>
          <w:tcPr>
            <w:tcW w:w="978" w:type="dxa"/>
          </w:tcPr>
          <w:p w14:paraId="5DCD5C02" w14:textId="528904F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Item 6</w:t>
            </w:r>
          </w:p>
        </w:tc>
        <w:tc>
          <w:tcPr>
            <w:tcW w:w="1554" w:type="dxa"/>
          </w:tcPr>
          <w:p w14:paraId="6C184043" w14:textId="32A0CC60"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Provides eligibility criteria</w:t>
            </w:r>
          </w:p>
        </w:tc>
        <w:tc>
          <w:tcPr>
            <w:tcW w:w="895" w:type="dxa"/>
            <w:gridSpan w:val="2"/>
          </w:tcPr>
          <w:p w14:paraId="7EB33302" w14:textId="1224219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w:t>
            </w:r>
            <w:r w:rsidRPr="008F7431">
              <w:rPr>
                <w:rFonts w:ascii="Times New Roman" w:hAnsi="Times New Roman" w:cs="Times New Roman"/>
                <w:i/>
                <w:iCs/>
                <w:sz w:val="20"/>
                <w:szCs w:val="20"/>
                <w:lang w:val="en-US"/>
              </w:rPr>
              <w:t>P.malariae</w:t>
            </w:r>
            <w:r w:rsidRPr="008F7431">
              <w:rPr>
                <w:rFonts w:ascii="Times New Roman" w:hAnsi="Times New Roman" w:cs="Times New Roman"/>
                <w:sz w:val="20"/>
                <w:szCs w:val="20"/>
                <w:lang w:val="en-US"/>
              </w:rPr>
              <w:t xml:space="preserve"> cases)</w:t>
            </w:r>
          </w:p>
        </w:tc>
        <w:tc>
          <w:tcPr>
            <w:tcW w:w="895" w:type="dxa"/>
            <w:gridSpan w:val="3"/>
          </w:tcPr>
          <w:p w14:paraId="7966327D" w14:textId="4399A6E4"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0ABD1D4" w14:textId="684B85A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 (malariometric survey)</w:t>
            </w:r>
          </w:p>
        </w:tc>
        <w:tc>
          <w:tcPr>
            <w:tcW w:w="895" w:type="dxa"/>
            <w:gridSpan w:val="3"/>
          </w:tcPr>
          <w:p w14:paraId="3A9DABED" w14:textId="53409914"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4DD96AE1" w14:textId="703D63E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8E61407" w14:textId="5CFA482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 (comprehensive sampling of all residentsin the study area)</w:t>
            </w:r>
          </w:p>
        </w:tc>
        <w:tc>
          <w:tcPr>
            <w:tcW w:w="895" w:type="dxa"/>
            <w:gridSpan w:val="3"/>
          </w:tcPr>
          <w:p w14:paraId="1D9B25AA" w14:textId="28FD9E9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xml:space="preserve">NA (longhouses residences with presence of positive </w:t>
            </w:r>
            <w:r w:rsidRPr="008F7431">
              <w:rPr>
                <w:rFonts w:ascii="Times New Roman" w:hAnsi="Times New Roman" w:cs="Times New Roman"/>
                <w:i/>
                <w:iCs/>
                <w:sz w:val="20"/>
                <w:szCs w:val="20"/>
                <w:lang w:val="en-US"/>
              </w:rPr>
              <w:t>P.knowlesi</w:t>
            </w:r>
            <w:r w:rsidRPr="008F7431">
              <w:rPr>
                <w:rFonts w:ascii="Times New Roman" w:hAnsi="Times New Roman" w:cs="Times New Roman"/>
                <w:sz w:val="20"/>
                <w:szCs w:val="20"/>
                <w:lang w:val="en-US"/>
              </w:rPr>
              <w:t xml:space="preserve"> in the longhouses)</w:t>
            </w:r>
          </w:p>
        </w:tc>
        <w:tc>
          <w:tcPr>
            <w:tcW w:w="895" w:type="dxa"/>
            <w:gridSpan w:val="3"/>
          </w:tcPr>
          <w:p w14:paraId="5A4FE2BD" w14:textId="16855C36" w:rsidR="005633E3" w:rsidRPr="008F7431" w:rsidRDefault="00095B0D"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 (convinience sampling-  “as many as possible”</w:t>
            </w:r>
          </w:p>
        </w:tc>
        <w:tc>
          <w:tcPr>
            <w:tcW w:w="896" w:type="dxa"/>
            <w:gridSpan w:val="3"/>
          </w:tcPr>
          <w:p w14:paraId="2D5D5FF4"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5" w:type="dxa"/>
            <w:gridSpan w:val="3"/>
          </w:tcPr>
          <w:p w14:paraId="7236D606"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5" w:type="dxa"/>
            <w:gridSpan w:val="3"/>
          </w:tcPr>
          <w:p w14:paraId="45BA5675" w14:textId="4BE8645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77A7ADF0" w14:textId="5465CD2B" w:rsidR="005633E3" w:rsidRPr="008F7431" w:rsidRDefault="00091729"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 (convenience sampling)</w:t>
            </w:r>
          </w:p>
        </w:tc>
        <w:tc>
          <w:tcPr>
            <w:tcW w:w="896" w:type="dxa"/>
            <w:gridSpan w:val="2"/>
          </w:tcPr>
          <w:p w14:paraId="6DCBBBB8" w14:textId="75E6F395" w:rsidR="005633E3" w:rsidRPr="008F7431" w:rsidRDefault="00D314FB"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 (population screening)</w:t>
            </w:r>
          </w:p>
        </w:tc>
      </w:tr>
      <w:tr w:rsidR="005633E3" w:rsidRPr="008F7431" w14:paraId="4F3776FF" w14:textId="6080ABB1" w:rsidTr="007507EB">
        <w:trPr>
          <w:gridAfter w:val="2"/>
          <w:wAfter w:w="567" w:type="dxa"/>
        </w:trPr>
        <w:tc>
          <w:tcPr>
            <w:tcW w:w="978" w:type="dxa"/>
          </w:tcPr>
          <w:p w14:paraId="11B06157" w14:textId="1604443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7</w:t>
            </w:r>
          </w:p>
        </w:tc>
        <w:tc>
          <w:tcPr>
            <w:tcW w:w="1554" w:type="dxa"/>
          </w:tcPr>
          <w:p w14:paraId="35A90CCD" w14:textId="4857774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Provides the number of participants/sam</w:t>
            </w:r>
            <w:r w:rsidRPr="008F7431">
              <w:rPr>
                <w:rFonts w:ascii="Times New Roman" w:hAnsi="Times New Roman" w:cs="Times New Roman"/>
                <w:sz w:val="20"/>
                <w:szCs w:val="20"/>
                <w:lang w:val="en-US"/>
              </w:rPr>
              <w:lastRenderedPageBreak/>
              <w:t>ple size/how the size was calculated</w:t>
            </w:r>
          </w:p>
        </w:tc>
        <w:tc>
          <w:tcPr>
            <w:tcW w:w="895" w:type="dxa"/>
            <w:gridSpan w:val="2"/>
          </w:tcPr>
          <w:p w14:paraId="641425A2" w14:textId="41757D6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 xml:space="preserve">NA ( 95 </w:t>
            </w:r>
            <w:r w:rsidRPr="008F7431">
              <w:rPr>
                <w:rFonts w:ascii="Times New Roman" w:hAnsi="Times New Roman" w:cs="Times New Roman"/>
                <w:i/>
                <w:iCs/>
                <w:sz w:val="20"/>
                <w:szCs w:val="20"/>
                <w:lang w:val="en-US"/>
              </w:rPr>
              <w:t>P.malariae</w:t>
            </w:r>
            <w:r w:rsidRPr="008F7431">
              <w:rPr>
                <w:rFonts w:ascii="Times New Roman" w:hAnsi="Times New Roman" w:cs="Times New Roman"/>
                <w:sz w:val="20"/>
                <w:szCs w:val="20"/>
                <w:lang w:val="en-US"/>
              </w:rPr>
              <w:t xml:space="preserve"> </w:t>
            </w:r>
            <w:r w:rsidRPr="008F7431">
              <w:rPr>
                <w:rFonts w:ascii="Times New Roman" w:hAnsi="Times New Roman" w:cs="Times New Roman"/>
                <w:sz w:val="20"/>
                <w:szCs w:val="20"/>
                <w:lang w:val="en-US"/>
              </w:rPr>
              <w:lastRenderedPageBreak/>
              <w:t xml:space="preserve">cases were screened for </w:t>
            </w:r>
            <w:r w:rsidRPr="008F7431">
              <w:rPr>
                <w:rFonts w:ascii="Times New Roman" w:hAnsi="Times New Roman" w:cs="Times New Roman"/>
                <w:i/>
                <w:iCs/>
                <w:sz w:val="20"/>
                <w:szCs w:val="20"/>
                <w:lang w:val="en-US"/>
              </w:rPr>
              <w:t>P. knowlesi</w:t>
            </w:r>
            <w:r w:rsidRPr="008F7431">
              <w:rPr>
                <w:rFonts w:ascii="Times New Roman" w:hAnsi="Times New Roman" w:cs="Times New Roman"/>
                <w:sz w:val="20"/>
                <w:szCs w:val="20"/>
                <w:lang w:val="en-US"/>
              </w:rPr>
              <w:t>(</w:t>
            </w:r>
          </w:p>
        </w:tc>
        <w:tc>
          <w:tcPr>
            <w:tcW w:w="895" w:type="dxa"/>
            <w:gridSpan w:val="3"/>
          </w:tcPr>
          <w:p w14:paraId="315CDF7A" w14:textId="55958E2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w:t>
            </w:r>
          </w:p>
        </w:tc>
        <w:tc>
          <w:tcPr>
            <w:tcW w:w="895" w:type="dxa"/>
            <w:gridSpan w:val="3"/>
          </w:tcPr>
          <w:p w14:paraId="52F61E57" w14:textId="4C66C3C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 (malario</w:t>
            </w:r>
            <w:r w:rsidRPr="008F7431">
              <w:rPr>
                <w:rFonts w:ascii="Times New Roman" w:hAnsi="Times New Roman" w:cs="Times New Roman"/>
                <w:sz w:val="20"/>
                <w:szCs w:val="20"/>
                <w:lang w:val="en-US"/>
              </w:rPr>
              <w:lastRenderedPageBreak/>
              <w:t>metric survey)</w:t>
            </w:r>
          </w:p>
        </w:tc>
        <w:tc>
          <w:tcPr>
            <w:tcW w:w="895" w:type="dxa"/>
            <w:gridSpan w:val="3"/>
          </w:tcPr>
          <w:p w14:paraId="46F6D356" w14:textId="51FA16F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w:t>
            </w:r>
          </w:p>
        </w:tc>
        <w:tc>
          <w:tcPr>
            <w:tcW w:w="896" w:type="dxa"/>
            <w:gridSpan w:val="3"/>
          </w:tcPr>
          <w:p w14:paraId="06165B05" w14:textId="0250493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2AE7AF4" w14:textId="6D40466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w:t>
            </w:r>
          </w:p>
        </w:tc>
        <w:tc>
          <w:tcPr>
            <w:tcW w:w="895" w:type="dxa"/>
            <w:gridSpan w:val="3"/>
          </w:tcPr>
          <w:p w14:paraId="1AAF9598" w14:textId="276F981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xml:space="preserve">NA (longhouses </w:t>
            </w:r>
            <w:r w:rsidRPr="008F7431">
              <w:rPr>
                <w:rFonts w:ascii="Times New Roman" w:hAnsi="Times New Roman" w:cs="Times New Roman"/>
                <w:sz w:val="20"/>
                <w:szCs w:val="20"/>
                <w:lang w:val="en-US"/>
              </w:rPr>
              <w:lastRenderedPageBreak/>
              <w:t>residents)</w:t>
            </w:r>
          </w:p>
        </w:tc>
        <w:tc>
          <w:tcPr>
            <w:tcW w:w="895" w:type="dxa"/>
            <w:gridSpan w:val="3"/>
          </w:tcPr>
          <w:p w14:paraId="148668C5" w14:textId="152F3419" w:rsidR="005633E3" w:rsidRPr="008F7431" w:rsidRDefault="00095B0D"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 xml:space="preserve">NA (as many as </w:t>
            </w:r>
            <w:r w:rsidRPr="008F7431">
              <w:rPr>
                <w:rFonts w:ascii="Times New Roman" w:hAnsi="Times New Roman" w:cs="Times New Roman"/>
                <w:sz w:val="20"/>
                <w:szCs w:val="20"/>
                <w:lang w:val="en-US"/>
              </w:rPr>
              <w:lastRenderedPageBreak/>
              <w:t>possible)</w:t>
            </w:r>
          </w:p>
        </w:tc>
        <w:tc>
          <w:tcPr>
            <w:tcW w:w="896" w:type="dxa"/>
            <w:gridSpan w:val="3"/>
          </w:tcPr>
          <w:p w14:paraId="4137C483" w14:textId="57CC43BD" w:rsidR="005633E3" w:rsidRPr="008F7431" w:rsidRDefault="00095B0D"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 xml:space="preserve">NA (population </w:t>
            </w:r>
            <w:r w:rsidRPr="008F7431">
              <w:rPr>
                <w:rFonts w:ascii="Times New Roman" w:hAnsi="Times New Roman" w:cs="Times New Roman"/>
                <w:sz w:val="20"/>
                <w:szCs w:val="20"/>
                <w:lang w:val="en-US"/>
              </w:rPr>
              <w:lastRenderedPageBreak/>
              <w:t>sscreening)</w:t>
            </w:r>
          </w:p>
        </w:tc>
        <w:tc>
          <w:tcPr>
            <w:tcW w:w="895" w:type="dxa"/>
            <w:gridSpan w:val="3"/>
          </w:tcPr>
          <w:p w14:paraId="137AA671"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5" w:type="dxa"/>
            <w:gridSpan w:val="3"/>
          </w:tcPr>
          <w:p w14:paraId="036E0BB0" w14:textId="4EEE6A90"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xml:space="preserve">/NA (Mass blood </w:t>
            </w:r>
            <w:r w:rsidRPr="008F7431">
              <w:rPr>
                <w:rFonts w:ascii="Times New Roman" w:hAnsi="Times New Roman" w:cs="Times New Roman"/>
                <w:sz w:val="20"/>
                <w:szCs w:val="20"/>
                <w:lang w:val="en-US"/>
              </w:rPr>
              <w:lastRenderedPageBreak/>
              <w:t>survey due to outbreak)</w:t>
            </w:r>
          </w:p>
        </w:tc>
        <w:tc>
          <w:tcPr>
            <w:tcW w:w="895" w:type="dxa"/>
            <w:gridSpan w:val="3"/>
          </w:tcPr>
          <w:p w14:paraId="67B02F34"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6" w:type="dxa"/>
            <w:gridSpan w:val="2"/>
          </w:tcPr>
          <w:p w14:paraId="43479C5D" w14:textId="77777777" w:rsidR="005633E3" w:rsidRPr="008F7431" w:rsidRDefault="005633E3" w:rsidP="00760DB4">
            <w:pPr>
              <w:spacing w:line="480" w:lineRule="auto"/>
              <w:jc w:val="both"/>
              <w:rPr>
                <w:rFonts w:ascii="Times New Roman" w:hAnsi="Times New Roman" w:cs="Times New Roman"/>
                <w:sz w:val="20"/>
                <w:szCs w:val="20"/>
                <w:lang w:val="en-US"/>
              </w:rPr>
            </w:pPr>
          </w:p>
        </w:tc>
      </w:tr>
      <w:tr w:rsidR="005633E3" w:rsidRPr="008F7431" w14:paraId="63E2945E" w14:textId="02D50663" w:rsidTr="007507EB">
        <w:trPr>
          <w:gridAfter w:val="2"/>
          <w:wAfter w:w="567" w:type="dxa"/>
        </w:trPr>
        <w:tc>
          <w:tcPr>
            <w:tcW w:w="978" w:type="dxa"/>
          </w:tcPr>
          <w:p w14:paraId="5FA0769E" w14:textId="7E309A7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Item 8</w:t>
            </w:r>
          </w:p>
        </w:tc>
        <w:tc>
          <w:tcPr>
            <w:tcW w:w="1554" w:type="dxa"/>
          </w:tcPr>
          <w:p w14:paraId="67A6FA69" w14:textId="23D6952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xml:space="preserve">Define outcome, exposures, predictors, potential confounders or diagnostic critieria if applicable </w:t>
            </w:r>
          </w:p>
        </w:tc>
        <w:tc>
          <w:tcPr>
            <w:tcW w:w="895" w:type="dxa"/>
            <w:gridSpan w:val="2"/>
          </w:tcPr>
          <w:p w14:paraId="600A0F7C" w14:textId="78BE634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BE17506" w14:textId="278913D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35329B7" w14:textId="5C4DE02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87436B6" w14:textId="3F984D10"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6D63A6CD" w14:textId="50C23C7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302F9A4" w14:textId="0FDD7B0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42FC319" w14:textId="5413C8F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53964B02" w14:textId="3ADA1B9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3D6DD539" w14:textId="1DC63BAE" w:rsidR="005633E3" w:rsidRPr="008F7431" w:rsidRDefault="00095B0D"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3999C912" w14:textId="58EC4173" w:rsidR="005633E3" w:rsidRPr="008F7431" w:rsidRDefault="00095B0D"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7C86CAF" w14:textId="4485006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FC01FBF"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6" w:type="dxa"/>
            <w:gridSpan w:val="2"/>
          </w:tcPr>
          <w:p w14:paraId="4162B100" w14:textId="77777777" w:rsidR="005633E3" w:rsidRPr="008F7431" w:rsidRDefault="005633E3" w:rsidP="00760DB4">
            <w:pPr>
              <w:spacing w:line="480" w:lineRule="auto"/>
              <w:jc w:val="both"/>
              <w:rPr>
                <w:rFonts w:ascii="Times New Roman" w:hAnsi="Times New Roman" w:cs="Times New Roman"/>
                <w:sz w:val="20"/>
                <w:szCs w:val="20"/>
                <w:lang w:val="en-US"/>
              </w:rPr>
            </w:pPr>
          </w:p>
        </w:tc>
      </w:tr>
      <w:tr w:rsidR="005633E3" w:rsidRPr="008F7431" w14:paraId="01042B9B" w14:textId="3AB29D3A" w:rsidTr="007507EB">
        <w:trPr>
          <w:gridAfter w:val="2"/>
          <w:wAfter w:w="567" w:type="dxa"/>
        </w:trPr>
        <w:tc>
          <w:tcPr>
            <w:tcW w:w="978" w:type="dxa"/>
          </w:tcPr>
          <w:p w14:paraId="7B26832C" w14:textId="5BF0575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9</w:t>
            </w:r>
          </w:p>
        </w:tc>
        <w:tc>
          <w:tcPr>
            <w:tcW w:w="1554" w:type="dxa"/>
          </w:tcPr>
          <w:p w14:paraId="56136694" w14:textId="16B4C80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xml:space="preserve">Sources of data of variables of interest </w:t>
            </w:r>
          </w:p>
        </w:tc>
        <w:tc>
          <w:tcPr>
            <w:tcW w:w="895" w:type="dxa"/>
            <w:gridSpan w:val="2"/>
          </w:tcPr>
          <w:p w14:paraId="4438FE00" w14:textId="2B6F31F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1531D19" w14:textId="63DBE04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C90200D" w14:textId="053768E6"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02A4FA4" w14:textId="39BFEB04"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623E13E7" w14:textId="12A7B96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28E7025" w14:textId="478103D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D70EC25" w14:textId="3B7DB510"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D255EFB" w14:textId="7683F37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54617469" w14:textId="5E83CEA1" w:rsidR="005633E3" w:rsidRPr="008F7431" w:rsidRDefault="00095B0D"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9BBD017" w14:textId="019ADF3E" w:rsidR="005633E3" w:rsidRPr="008F7431" w:rsidRDefault="00095B0D"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DB9C555" w14:textId="15EA30D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11832F01"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6" w:type="dxa"/>
            <w:gridSpan w:val="2"/>
          </w:tcPr>
          <w:p w14:paraId="714695DB" w14:textId="77777777" w:rsidR="005633E3" w:rsidRPr="008F7431" w:rsidRDefault="005633E3" w:rsidP="00760DB4">
            <w:pPr>
              <w:spacing w:line="480" w:lineRule="auto"/>
              <w:jc w:val="both"/>
              <w:rPr>
                <w:rFonts w:ascii="Times New Roman" w:hAnsi="Times New Roman" w:cs="Times New Roman"/>
                <w:sz w:val="20"/>
                <w:szCs w:val="20"/>
                <w:lang w:val="en-US"/>
              </w:rPr>
            </w:pPr>
          </w:p>
        </w:tc>
      </w:tr>
      <w:tr w:rsidR="005633E3" w:rsidRPr="008F7431" w14:paraId="097C3238" w14:textId="5AE74C6C" w:rsidTr="007507EB">
        <w:trPr>
          <w:gridAfter w:val="2"/>
          <w:wAfter w:w="567" w:type="dxa"/>
        </w:trPr>
        <w:tc>
          <w:tcPr>
            <w:tcW w:w="978" w:type="dxa"/>
          </w:tcPr>
          <w:p w14:paraId="361D29B9" w14:textId="0F1706B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Item 10</w:t>
            </w:r>
          </w:p>
        </w:tc>
        <w:tc>
          <w:tcPr>
            <w:tcW w:w="1554" w:type="dxa"/>
          </w:tcPr>
          <w:p w14:paraId="593D1835" w14:textId="47920B2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xml:space="preserve">Provides the characteristic of participants at enrollment </w:t>
            </w:r>
          </w:p>
        </w:tc>
        <w:tc>
          <w:tcPr>
            <w:tcW w:w="895" w:type="dxa"/>
            <w:gridSpan w:val="2"/>
          </w:tcPr>
          <w:p w14:paraId="17D69454" w14:textId="3A53D14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(residents)</w:t>
            </w:r>
          </w:p>
        </w:tc>
        <w:tc>
          <w:tcPr>
            <w:tcW w:w="895" w:type="dxa"/>
            <w:gridSpan w:val="3"/>
          </w:tcPr>
          <w:p w14:paraId="1E0523A6" w14:textId="7B209BD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6355592" w14:textId="65ED5E76"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(residents)</w:t>
            </w:r>
          </w:p>
        </w:tc>
        <w:tc>
          <w:tcPr>
            <w:tcW w:w="895" w:type="dxa"/>
            <w:gridSpan w:val="3"/>
          </w:tcPr>
          <w:p w14:paraId="072099B5" w14:textId="129D60F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(residents)</w:t>
            </w:r>
          </w:p>
        </w:tc>
        <w:tc>
          <w:tcPr>
            <w:tcW w:w="896" w:type="dxa"/>
            <w:gridSpan w:val="3"/>
          </w:tcPr>
          <w:p w14:paraId="08B57C2A" w14:textId="58D13D2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5690EB5" w14:textId="62E900D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 residents)</w:t>
            </w:r>
          </w:p>
        </w:tc>
        <w:tc>
          <w:tcPr>
            <w:tcW w:w="895" w:type="dxa"/>
            <w:gridSpan w:val="3"/>
          </w:tcPr>
          <w:p w14:paraId="1A65F91E" w14:textId="4B492FC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(residents)</w:t>
            </w:r>
          </w:p>
        </w:tc>
        <w:tc>
          <w:tcPr>
            <w:tcW w:w="895" w:type="dxa"/>
            <w:gridSpan w:val="3"/>
          </w:tcPr>
          <w:p w14:paraId="33344CBD" w14:textId="6ABC1BA0"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r w:rsidR="00095B0D" w:rsidRPr="008F7431">
              <w:rPr>
                <w:rFonts w:ascii="Times New Roman" w:hAnsi="Times New Roman" w:cs="Times New Roman"/>
                <w:sz w:val="20"/>
                <w:szCs w:val="20"/>
                <w:lang w:val="en-US"/>
              </w:rPr>
              <w:t xml:space="preserve"> (residents)</w:t>
            </w:r>
          </w:p>
        </w:tc>
        <w:tc>
          <w:tcPr>
            <w:tcW w:w="896" w:type="dxa"/>
            <w:gridSpan w:val="3"/>
          </w:tcPr>
          <w:p w14:paraId="4B43B749"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5" w:type="dxa"/>
            <w:gridSpan w:val="3"/>
          </w:tcPr>
          <w:p w14:paraId="7FDB4CB3"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5" w:type="dxa"/>
            <w:gridSpan w:val="3"/>
          </w:tcPr>
          <w:p w14:paraId="7870CF17" w14:textId="07C9295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3DD0D799"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6" w:type="dxa"/>
            <w:gridSpan w:val="2"/>
          </w:tcPr>
          <w:p w14:paraId="766BAEA9" w14:textId="77777777" w:rsidR="005633E3" w:rsidRPr="008F7431" w:rsidRDefault="005633E3" w:rsidP="00760DB4">
            <w:pPr>
              <w:spacing w:line="480" w:lineRule="auto"/>
              <w:jc w:val="both"/>
              <w:rPr>
                <w:rFonts w:ascii="Times New Roman" w:hAnsi="Times New Roman" w:cs="Times New Roman"/>
                <w:sz w:val="20"/>
                <w:szCs w:val="20"/>
                <w:lang w:val="en-US"/>
              </w:rPr>
            </w:pPr>
          </w:p>
        </w:tc>
      </w:tr>
      <w:tr w:rsidR="005633E3" w:rsidRPr="008F7431" w14:paraId="08CE4F44" w14:textId="581526AA" w:rsidTr="007507EB">
        <w:trPr>
          <w:gridAfter w:val="2"/>
          <w:wAfter w:w="567" w:type="dxa"/>
        </w:trPr>
        <w:tc>
          <w:tcPr>
            <w:tcW w:w="978" w:type="dxa"/>
          </w:tcPr>
          <w:p w14:paraId="3E126412" w14:textId="31E837F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11</w:t>
            </w:r>
          </w:p>
        </w:tc>
        <w:tc>
          <w:tcPr>
            <w:tcW w:w="1554" w:type="dxa"/>
          </w:tcPr>
          <w:p w14:paraId="6295D5A9" w14:textId="3ACBAE6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xml:space="preserve">Reporting any potential issues on bias </w:t>
            </w:r>
          </w:p>
        </w:tc>
        <w:tc>
          <w:tcPr>
            <w:tcW w:w="895" w:type="dxa"/>
            <w:gridSpan w:val="2"/>
          </w:tcPr>
          <w:p w14:paraId="2932AD68" w14:textId="162F84D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18332FAC" w14:textId="7937A25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7EB8987F" w14:textId="643DF20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0ABF3720" w14:textId="12F34E1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64B28B2F" w14:textId="3C3632F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30926BA2" w14:textId="457D04D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7C37EC5B" w14:textId="029E71D0"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3B01ADBE" w14:textId="1C39646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r w:rsidR="00095B0D" w:rsidRPr="008F7431">
              <w:rPr>
                <w:rFonts w:ascii="Times New Roman" w:hAnsi="Times New Roman" w:cs="Times New Roman"/>
                <w:sz w:val="20"/>
                <w:szCs w:val="20"/>
                <w:lang w:val="en-US"/>
              </w:rPr>
              <w:t xml:space="preserve"> (gender bias- male)</w:t>
            </w:r>
          </w:p>
        </w:tc>
        <w:tc>
          <w:tcPr>
            <w:tcW w:w="896" w:type="dxa"/>
            <w:gridSpan w:val="3"/>
          </w:tcPr>
          <w:p w14:paraId="3E5264F8" w14:textId="354BF7F9"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79F85801" w14:textId="3E74DCD4"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A733800" w14:textId="61B02A44"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53B67AC5"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6" w:type="dxa"/>
            <w:gridSpan w:val="2"/>
          </w:tcPr>
          <w:p w14:paraId="3E793B5F" w14:textId="3ECA27DC" w:rsidR="005633E3" w:rsidRPr="008F7431" w:rsidRDefault="00D314FB"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r>
      <w:tr w:rsidR="005633E3" w:rsidRPr="008F7431" w14:paraId="059760F3" w14:textId="7C713156" w:rsidTr="007507EB">
        <w:trPr>
          <w:gridAfter w:val="2"/>
          <w:wAfter w:w="567" w:type="dxa"/>
        </w:trPr>
        <w:tc>
          <w:tcPr>
            <w:tcW w:w="978" w:type="dxa"/>
          </w:tcPr>
          <w:p w14:paraId="44E1148C" w14:textId="492860B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12</w:t>
            </w:r>
          </w:p>
        </w:tc>
        <w:tc>
          <w:tcPr>
            <w:tcW w:w="1554" w:type="dxa"/>
          </w:tcPr>
          <w:p w14:paraId="09DE0EA9" w14:textId="6F333AF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Plan of analysis</w:t>
            </w:r>
          </w:p>
        </w:tc>
        <w:tc>
          <w:tcPr>
            <w:tcW w:w="895" w:type="dxa"/>
            <w:gridSpan w:val="2"/>
          </w:tcPr>
          <w:p w14:paraId="26E52E08" w14:textId="16D0397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123AB11" w14:textId="675828A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106693EE" w14:textId="592BAEB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A45C264" w14:textId="7986209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713F4141" w14:textId="2FB92F86"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2B74D08" w14:textId="063F264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D12ED77" w14:textId="2253546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57E6CE60" w14:textId="3E1632C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71BC8313" w14:textId="23370B08"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7FD7473" w14:textId="11AEFC17"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C881902" w14:textId="6E05DB5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4EA930A" w14:textId="0109AB18"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2"/>
          </w:tcPr>
          <w:p w14:paraId="1D7EB28C" w14:textId="6AF555B0" w:rsidR="005633E3" w:rsidRPr="008F7431" w:rsidRDefault="004F2E81"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r>
      <w:tr w:rsidR="005633E3" w:rsidRPr="008F7431" w14:paraId="18F82179" w14:textId="7B2638D9" w:rsidTr="007507EB">
        <w:trPr>
          <w:gridAfter w:val="2"/>
          <w:wAfter w:w="567" w:type="dxa"/>
        </w:trPr>
        <w:tc>
          <w:tcPr>
            <w:tcW w:w="978" w:type="dxa"/>
          </w:tcPr>
          <w:p w14:paraId="14ADFC3E" w14:textId="42CEBDE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13</w:t>
            </w:r>
          </w:p>
        </w:tc>
        <w:tc>
          <w:tcPr>
            <w:tcW w:w="1554" w:type="dxa"/>
          </w:tcPr>
          <w:p w14:paraId="55CD90C3" w14:textId="0281B85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Report number of eligible individual, included and completed the study.</w:t>
            </w:r>
          </w:p>
        </w:tc>
        <w:tc>
          <w:tcPr>
            <w:tcW w:w="895" w:type="dxa"/>
            <w:gridSpan w:val="2"/>
          </w:tcPr>
          <w:p w14:paraId="0C330D33" w14:textId="7123CBA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w:t>
            </w:r>
          </w:p>
        </w:tc>
        <w:tc>
          <w:tcPr>
            <w:tcW w:w="895" w:type="dxa"/>
            <w:gridSpan w:val="3"/>
          </w:tcPr>
          <w:p w14:paraId="4A377AE1" w14:textId="13C02F0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D71F51C" w14:textId="60D376E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w:t>
            </w:r>
          </w:p>
        </w:tc>
        <w:tc>
          <w:tcPr>
            <w:tcW w:w="895" w:type="dxa"/>
            <w:gridSpan w:val="3"/>
          </w:tcPr>
          <w:p w14:paraId="27D5182D" w14:textId="1264F62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350D4A7E" w14:textId="1D038DE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59EF9CF0" w14:textId="5A5AEFA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w:t>
            </w:r>
          </w:p>
        </w:tc>
        <w:tc>
          <w:tcPr>
            <w:tcW w:w="895" w:type="dxa"/>
            <w:gridSpan w:val="3"/>
          </w:tcPr>
          <w:p w14:paraId="586482DF" w14:textId="78FC3E4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73D6948D" w14:textId="2B7AFB18"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w:t>
            </w:r>
          </w:p>
        </w:tc>
        <w:tc>
          <w:tcPr>
            <w:tcW w:w="896" w:type="dxa"/>
            <w:gridSpan w:val="3"/>
          </w:tcPr>
          <w:p w14:paraId="551E4FFE" w14:textId="7A8DAF2B"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6EF9540" w14:textId="2886050D"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A0DD159" w14:textId="2FA4820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C83D205" w14:textId="43F4A92B" w:rsidR="005633E3" w:rsidRPr="008F7431" w:rsidRDefault="00091729"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w:t>
            </w:r>
          </w:p>
        </w:tc>
        <w:tc>
          <w:tcPr>
            <w:tcW w:w="896" w:type="dxa"/>
            <w:gridSpan w:val="2"/>
          </w:tcPr>
          <w:p w14:paraId="045FE2F5" w14:textId="77777777" w:rsidR="005633E3" w:rsidRPr="008F7431" w:rsidRDefault="005633E3" w:rsidP="00760DB4">
            <w:pPr>
              <w:spacing w:line="480" w:lineRule="auto"/>
              <w:jc w:val="both"/>
              <w:rPr>
                <w:rFonts w:ascii="Times New Roman" w:hAnsi="Times New Roman" w:cs="Times New Roman"/>
                <w:sz w:val="20"/>
                <w:szCs w:val="20"/>
                <w:lang w:val="en-US"/>
              </w:rPr>
            </w:pPr>
          </w:p>
        </w:tc>
      </w:tr>
      <w:tr w:rsidR="005633E3" w:rsidRPr="008F7431" w14:paraId="42CB3202" w14:textId="4C4028BA" w:rsidTr="007507EB">
        <w:trPr>
          <w:gridAfter w:val="2"/>
          <w:wAfter w:w="567" w:type="dxa"/>
        </w:trPr>
        <w:tc>
          <w:tcPr>
            <w:tcW w:w="978" w:type="dxa"/>
          </w:tcPr>
          <w:p w14:paraId="033A3937" w14:textId="6D05897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14</w:t>
            </w:r>
          </w:p>
        </w:tc>
        <w:tc>
          <w:tcPr>
            <w:tcW w:w="1554" w:type="dxa"/>
          </w:tcPr>
          <w:p w14:paraId="4C9AC00A" w14:textId="1F99146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xml:space="preserve">Provides a description of </w:t>
            </w:r>
            <w:r w:rsidRPr="008F7431">
              <w:rPr>
                <w:rFonts w:ascii="Times New Roman" w:hAnsi="Times New Roman" w:cs="Times New Roman"/>
                <w:sz w:val="20"/>
                <w:szCs w:val="20"/>
                <w:lang w:val="en-US"/>
              </w:rPr>
              <w:lastRenderedPageBreak/>
              <w:t xml:space="preserve">asymptomatic </w:t>
            </w:r>
            <w:r w:rsidRPr="008F7431">
              <w:rPr>
                <w:rFonts w:ascii="Times New Roman" w:hAnsi="Times New Roman" w:cs="Times New Roman"/>
                <w:i/>
                <w:iCs/>
                <w:sz w:val="20"/>
                <w:szCs w:val="20"/>
                <w:lang w:val="en-US"/>
              </w:rPr>
              <w:t>P. knowlesi</w:t>
            </w:r>
            <w:r w:rsidRPr="008F7431">
              <w:rPr>
                <w:rFonts w:ascii="Times New Roman" w:hAnsi="Times New Roman" w:cs="Times New Roman"/>
                <w:sz w:val="20"/>
                <w:szCs w:val="20"/>
                <w:lang w:val="en-US"/>
              </w:rPr>
              <w:t xml:space="preserve"> characteristicS</w:t>
            </w:r>
          </w:p>
        </w:tc>
        <w:tc>
          <w:tcPr>
            <w:tcW w:w="895" w:type="dxa"/>
            <w:gridSpan w:val="2"/>
          </w:tcPr>
          <w:p w14:paraId="67C6193F" w14:textId="14A005E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w:t>
            </w:r>
          </w:p>
        </w:tc>
        <w:tc>
          <w:tcPr>
            <w:tcW w:w="895" w:type="dxa"/>
            <w:gridSpan w:val="3"/>
          </w:tcPr>
          <w:p w14:paraId="35C36905" w14:textId="2B96D9C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4A0A435" w14:textId="39D61EA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1C8525B" w14:textId="7FE6877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3D0C4360" w14:textId="2B43707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 (seropre</w:t>
            </w:r>
            <w:r w:rsidRPr="008F7431">
              <w:rPr>
                <w:rFonts w:ascii="Times New Roman" w:hAnsi="Times New Roman" w:cs="Times New Roman"/>
                <w:sz w:val="20"/>
                <w:szCs w:val="20"/>
                <w:lang w:val="en-US"/>
              </w:rPr>
              <w:lastRenderedPageBreak/>
              <w:t>valence study)</w:t>
            </w:r>
          </w:p>
        </w:tc>
        <w:tc>
          <w:tcPr>
            <w:tcW w:w="895" w:type="dxa"/>
            <w:gridSpan w:val="3"/>
          </w:tcPr>
          <w:p w14:paraId="1A819D4F" w14:textId="02B5451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w:t>
            </w:r>
          </w:p>
        </w:tc>
        <w:tc>
          <w:tcPr>
            <w:tcW w:w="895" w:type="dxa"/>
            <w:gridSpan w:val="3"/>
          </w:tcPr>
          <w:p w14:paraId="797C9498" w14:textId="7848BFC6"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15B1734" w14:textId="31C7656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6451E8A1" w14:textId="2E68ABD7"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55643AD" w14:textId="009533F2"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E95F757" w14:textId="2C340FE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563AFC5E"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6" w:type="dxa"/>
            <w:gridSpan w:val="2"/>
          </w:tcPr>
          <w:p w14:paraId="54673858" w14:textId="77777777" w:rsidR="005633E3" w:rsidRPr="008F7431" w:rsidRDefault="005633E3" w:rsidP="00760DB4">
            <w:pPr>
              <w:spacing w:line="480" w:lineRule="auto"/>
              <w:jc w:val="both"/>
              <w:rPr>
                <w:rFonts w:ascii="Times New Roman" w:hAnsi="Times New Roman" w:cs="Times New Roman"/>
                <w:sz w:val="20"/>
                <w:szCs w:val="20"/>
                <w:lang w:val="en-US"/>
              </w:rPr>
            </w:pPr>
          </w:p>
        </w:tc>
      </w:tr>
      <w:tr w:rsidR="005633E3" w:rsidRPr="008F7431" w14:paraId="451B5960" w14:textId="6DC4A21D" w:rsidTr="007507EB">
        <w:trPr>
          <w:gridAfter w:val="2"/>
          <w:wAfter w:w="567" w:type="dxa"/>
        </w:trPr>
        <w:tc>
          <w:tcPr>
            <w:tcW w:w="978" w:type="dxa"/>
          </w:tcPr>
          <w:p w14:paraId="32C53EE2" w14:textId="12CE2D2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Item 15</w:t>
            </w:r>
          </w:p>
        </w:tc>
        <w:tc>
          <w:tcPr>
            <w:tcW w:w="1554" w:type="dxa"/>
          </w:tcPr>
          <w:p w14:paraId="540A2A4F" w14:textId="058861A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Report numbers of outcome events/summary measures</w:t>
            </w:r>
          </w:p>
        </w:tc>
        <w:tc>
          <w:tcPr>
            <w:tcW w:w="895" w:type="dxa"/>
            <w:gridSpan w:val="2"/>
          </w:tcPr>
          <w:p w14:paraId="2505FA1C" w14:textId="42E82F76"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7158BCBD" w14:textId="4AFFC93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744DA42E" w14:textId="734639C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1A06CEC" w14:textId="11982E7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627F8F72" w14:textId="2B58080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52AEEFF7" w14:textId="3256211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1C38B19F" w14:textId="4301FE80"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BBD214B" w14:textId="498A62B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2C3F65EB" w14:textId="5E6953BC"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1735C117" w14:textId="09BE4DE2"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1B2FB35" w14:textId="1B47CAE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BF2271A"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6" w:type="dxa"/>
            <w:gridSpan w:val="2"/>
          </w:tcPr>
          <w:p w14:paraId="2B8C28C6" w14:textId="77777777" w:rsidR="005633E3" w:rsidRPr="008F7431" w:rsidRDefault="005633E3" w:rsidP="00760DB4">
            <w:pPr>
              <w:spacing w:line="480" w:lineRule="auto"/>
              <w:jc w:val="both"/>
              <w:rPr>
                <w:rFonts w:ascii="Times New Roman" w:hAnsi="Times New Roman" w:cs="Times New Roman"/>
                <w:sz w:val="20"/>
                <w:szCs w:val="20"/>
                <w:lang w:val="en-US"/>
              </w:rPr>
            </w:pPr>
          </w:p>
        </w:tc>
      </w:tr>
      <w:tr w:rsidR="005633E3" w:rsidRPr="008F7431" w14:paraId="5540C6D2" w14:textId="0B3C0A1C" w:rsidTr="007507EB">
        <w:trPr>
          <w:gridAfter w:val="2"/>
          <w:wAfter w:w="567" w:type="dxa"/>
        </w:trPr>
        <w:tc>
          <w:tcPr>
            <w:tcW w:w="978" w:type="dxa"/>
          </w:tcPr>
          <w:p w14:paraId="68F68753" w14:textId="420CB94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16</w:t>
            </w:r>
          </w:p>
        </w:tc>
        <w:tc>
          <w:tcPr>
            <w:tcW w:w="1554" w:type="dxa"/>
          </w:tcPr>
          <w:p w14:paraId="54B274AF" w14:textId="6DF5D0C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Give unadjusted estimates ( if confounder were adjusted for (OR/RR) or 95% confidence intervals</w:t>
            </w:r>
          </w:p>
        </w:tc>
        <w:tc>
          <w:tcPr>
            <w:tcW w:w="895" w:type="dxa"/>
            <w:gridSpan w:val="2"/>
          </w:tcPr>
          <w:p w14:paraId="5D334F3D" w14:textId="4E3B204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1473C60F" w14:textId="410ED9E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881DA55" w14:textId="224DA72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68A1C126" w14:textId="49DD492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207BB994" w14:textId="4828E6E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58B3663" w14:textId="355DDB14"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8B242B8" w14:textId="2F2BB01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2F1D529E" w14:textId="64BE90D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r w:rsidR="000B10A5" w:rsidRPr="008F7431">
              <w:rPr>
                <w:rFonts w:ascii="Times New Roman" w:hAnsi="Times New Roman" w:cs="Times New Roman"/>
                <w:sz w:val="20"/>
                <w:szCs w:val="20"/>
                <w:lang w:val="en-US"/>
              </w:rPr>
              <w:t>x</w:t>
            </w:r>
          </w:p>
        </w:tc>
        <w:tc>
          <w:tcPr>
            <w:tcW w:w="896" w:type="dxa"/>
            <w:gridSpan w:val="3"/>
          </w:tcPr>
          <w:p w14:paraId="42AEF840" w14:textId="7DC89692"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D767D66" w14:textId="13455DE5"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12F73345" w14:textId="32FD839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5FCD217E" w14:textId="1C0AA8D2" w:rsidR="005633E3" w:rsidRPr="008F7431" w:rsidRDefault="00091729"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6" w:type="dxa"/>
            <w:gridSpan w:val="2"/>
          </w:tcPr>
          <w:p w14:paraId="195C8255" w14:textId="17D76F21" w:rsidR="005633E3" w:rsidRPr="008F7431" w:rsidRDefault="00D314FB"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NA</w:t>
            </w:r>
          </w:p>
        </w:tc>
      </w:tr>
      <w:tr w:rsidR="005633E3" w:rsidRPr="008F7431" w14:paraId="291D1352" w14:textId="4A9D5372" w:rsidTr="007507EB">
        <w:trPr>
          <w:gridAfter w:val="2"/>
          <w:wAfter w:w="567" w:type="dxa"/>
        </w:trPr>
        <w:tc>
          <w:tcPr>
            <w:tcW w:w="978" w:type="dxa"/>
          </w:tcPr>
          <w:p w14:paraId="456945EC" w14:textId="112B179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17</w:t>
            </w:r>
          </w:p>
        </w:tc>
        <w:tc>
          <w:tcPr>
            <w:tcW w:w="1554" w:type="dxa"/>
          </w:tcPr>
          <w:p w14:paraId="72AC48DF" w14:textId="465B076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xml:space="preserve">Provides a description of asymptomatic </w:t>
            </w:r>
            <w:r w:rsidRPr="008F7431">
              <w:rPr>
                <w:rFonts w:ascii="Times New Roman" w:hAnsi="Times New Roman" w:cs="Times New Roman"/>
                <w:i/>
                <w:iCs/>
                <w:sz w:val="20"/>
                <w:szCs w:val="20"/>
                <w:lang w:val="en-US"/>
              </w:rPr>
              <w:t>P. knowlesi</w:t>
            </w:r>
            <w:r w:rsidRPr="008F7431">
              <w:rPr>
                <w:rFonts w:ascii="Times New Roman" w:hAnsi="Times New Roman" w:cs="Times New Roman"/>
                <w:sz w:val="20"/>
                <w:szCs w:val="20"/>
                <w:lang w:val="en-US"/>
              </w:rPr>
              <w:t xml:space="preserve">  </w:t>
            </w:r>
            <w:r w:rsidRPr="008F7431">
              <w:rPr>
                <w:rFonts w:ascii="Times New Roman" w:hAnsi="Times New Roman" w:cs="Times New Roman"/>
                <w:sz w:val="20"/>
                <w:szCs w:val="20"/>
                <w:lang w:val="en-US"/>
              </w:rPr>
              <w:lastRenderedPageBreak/>
              <w:t>infection based on diagnostic method (other analysis)</w:t>
            </w:r>
          </w:p>
        </w:tc>
        <w:tc>
          <w:tcPr>
            <w:tcW w:w="895" w:type="dxa"/>
            <w:gridSpan w:val="2"/>
          </w:tcPr>
          <w:p w14:paraId="5674808E" w14:textId="2809F55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 xml:space="preserve">/ </w:t>
            </w:r>
          </w:p>
        </w:tc>
        <w:tc>
          <w:tcPr>
            <w:tcW w:w="895" w:type="dxa"/>
            <w:gridSpan w:val="3"/>
          </w:tcPr>
          <w:p w14:paraId="4E74B701" w14:textId="2954973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E9D7F05" w14:textId="1D5D054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B1EE4F8" w14:textId="6349A79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5B42C533" w14:textId="044E932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B941DD4" w14:textId="6C659E6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C4921DC" w14:textId="41C1C8E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06BCA66" w14:textId="27FF86F6"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5B9F3DE9" w14:textId="3FDE32D7"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716FDE6" w14:textId="4A5126F7"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2407BE7" w14:textId="040C016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DDF98C5"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6" w:type="dxa"/>
            <w:gridSpan w:val="2"/>
          </w:tcPr>
          <w:p w14:paraId="10971C1A" w14:textId="77777777" w:rsidR="005633E3" w:rsidRPr="008F7431" w:rsidRDefault="005633E3" w:rsidP="00760DB4">
            <w:pPr>
              <w:spacing w:line="480" w:lineRule="auto"/>
              <w:jc w:val="both"/>
              <w:rPr>
                <w:rFonts w:ascii="Times New Roman" w:hAnsi="Times New Roman" w:cs="Times New Roman"/>
                <w:sz w:val="20"/>
                <w:szCs w:val="20"/>
                <w:lang w:val="en-US"/>
              </w:rPr>
            </w:pPr>
          </w:p>
        </w:tc>
      </w:tr>
      <w:tr w:rsidR="005633E3" w:rsidRPr="008F7431" w14:paraId="3646810D" w14:textId="3E79BFBE" w:rsidTr="007507EB">
        <w:trPr>
          <w:gridAfter w:val="2"/>
          <w:wAfter w:w="567" w:type="dxa"/>
        </w:trPr>
        <w:tc>
          <w:tcPr>
            <w:tcW w:w="978" w:type="dxa"/>
          </w:tcPr>
          <w:p w14:paraId="1A9E256D" w14:textId="666A5FB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Item 18</w:t>
            </w:r>
          </w:p>
        </w:tc>
        <w:tc>
          <w:tcPr>
            <w:tcW w:w="1554" w:type="dxa"/>
          </w:tcPr>
          <w:p w14:paraId="6CB5D449" w14:textId="439C61A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Summarise key result with reference to study objective</w:t>
            </w:r>
          </w:p>
        </w:tc>
        <w:tc>
          <w:tcPr>
            <w:tcW w:w="895" w:type="dxa"/>
            <w:gridSpan w:val="2"/>
          </w:tcPr>
          <w:p w14:paraId="5F63C7D5" w14:textId="3CEEAE4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169DF5B3" w14:textId="33C2AF1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4E78D33" w14:textId="5C93336D"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220A7B6" w14:textId="7A01640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39CE9DDA" w14:textId="446CDA9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68A7888" w14:textId="54B5E95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93EDD10" w14:textId="5A0A8AA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1A6A9E65" w14:textId="32A60F7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5BB0B635" w14:textId="43705E0E" w:rsidR="005633E3" w:rsidRPr="008F7431" w:rsidRDefault="00D314FB"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54AF4EF" w14:textId="48D5164D" w:rsidR="005633E3" w:rsidRPr="008F7431" w:rsidRDefault="00D314FB"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74B538C" w14:textId="276B5536"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E8047B4" w14:textId="31C5724C" w:rsidR="005633E3" w:rsidRPr="008F7431" w:rsidRDefault="00D314FB"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2"/>
          </w:tcPr>
          <w:p w14:paraId="5FBD9F88" w14:textId="7EBE9DC7" w:rsidR="005633E3" w:rsidRPr="008F7431" w:rsidRDefault="00D314FB"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r>
      <w:tr w:rsidR="005633E3" w:rsidRPr="008F7431" w14:paraId="667ECC8E" w14:textId="5548147E" w:rsidTr="007507EB">
        <w:trPr>
          <w:gridAfter w:val="2"/>
          <w:wAfter w:w="567" w:type="dxa"/>
        </w:trPr>
        <w:tc>
          <w:tcPr>
            <w:tcW w:w="978" w:type="dxa"/>
          </w:tcPr>
          <w:p w14:paraId="5453CCA9" w14:textId="435DA66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19</w:t>
            </w:r>
          </w:p>
        </w:tc>
        <w:tc>
          <w:tcPr>
            <w:tcW w:w="1554" w:type="dxa"/>
          </w:tcPr>
          <w:p w14:paraId="36E5B6B1" w14:textId="0864C2C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Discus limitations of the study</w:t>
            </w:r>
          </w:p>
        </w:tc>
        <w:tc>
          <w:tcPr>
            <w:tcW w:w="895" w:type="dxa"/>
            <w:gridSpan w:val="2"/>
          </w:tcPr>
          <w:p w14:paraId="5EB34309" w14:textId="5DFD0B3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259E7DB1" w14:textId="2060A26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C48BD87" w14:textId="1E4EFD6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1D9BAFCC" w14:textId="600074C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6" w:type="dxa"/>
            <w:gridSpan w:val="3"/>
          </w:tcPr>
          <w:p w14:paraId="78B3F115" w14:textId="1D2A4D5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A34B9E0" w14:textId="2ED71EA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3CB9AF8" w14:textId="4EDE6920"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78C9668D" w14:textId="10E94A89"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6" w:type="dxa"/>
            <w:gridSpan w:val="3"/>
          </w:tcPr>
          <w:p w14:paraId="3C8A2F98" w14:textId="6596BE8D"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1C50AB72" w14:textId="63190DF3"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17038A4" w14:textId="5EA0091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35046395" w14:textId="6CDED2F7" w:rsidR="005633E3" w:rsidRPr="008F7431" w:rsidRDefault="00E6665E"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2"/>
          </w:tcPr>
          <w:p w14:paraId="4946FF2A" w14:textId="06F56758" w:rsidR="005633E3" w:rsidRPr="008F7431" w:rsidRDefault="00D314FB"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r>
      <w:tr w:rsidR="005633E3" w:rsidRPr="008F7431" w14:paraId="0D2E58F2" w14:textId="32E00073" w:rsidTr="007507EB">
        <w:trPr>
          <w:gridAfter w:val="2"/>
          <w:wAfter w:w="567" w:type="dxa"/>
        </w:trPr>
        <w:tc>
          <w:tcPr>
            <w:tcW w:w="978" w:type="dxa"/>
          </w:tcPr>
          <w:p w14:paraId="5B5BE563" w14:textId="5FAB845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20</w:t>
            </w:r>
          </w:p>
        </w:tc>
        <w:tc>
          <w:tcPr>
            <w:tcW w:w="1554" w:type="dxa"/>
          </w:tcPr>
          <w:p w14:paraId="6F7BE838" w14:textId="65EC206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Overall interpretation of results</w:t>
            </w:r>
          </w:p>
        </w:tc>
        <w:tc>
          <w:tcPr>
            <w:tcW w:w="895" w:type="dxa"/>
            <w:gridSpan w:val="2"/>
          </w:tcPr>
          <w:p w14:paraId="7F88A3B3" w14:textId="6468040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7FD17DE" w14:textId="72C207E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38973A6" w14:textId="6DD6763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B264C2B" w14:textId="2DF4A04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1744F58D" w14:textId="5FC90E2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4B8CD33A" w14:textId="29BF4BB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749029F7" w14:textId="3A329484"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756E07A8" w14:textId="3A16C78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2DC89883" w14:textId="37992A40" w:rsidR="005633E3" w:rsidRPr="008F7431" w:rsidRDefault="00D314FB"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38F9CA8" w14:textId="09F69C2A" w:rsidR="005633E3" w:rsidRPr="008F7431" w:rsidRDefault="00D314FB"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19289FF6" w14:textId="11817094"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F2096A3" w14:textId="54D1B29A" w:rsidR="005633E3" w:rsidRPr="008F7431" w:rsidRDefault="00D314FB"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2"/>
          </w:tcPr>
          <w:p w14:paraId="567E1CCF" w14:textId="0BBD9265" w:rsidR="005633E3" w:rsidRPr="008F7431" w:rsidRDefault="00D314FB"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r>
      <w:tr w:rsidR="005633E3" w:rsidRPr="008F7431" w14:paraId="13BCAC34" w14:textId="7D5F2B26" w:rsidTr="007507EB">
        <w:trPr>
          <w:gridAfter w:val="2"/>
          <w:wAfter w:w="567" w:type="dxa"/>
        </w:trPr>
        <w:tc>
          <w:tcPr>
            <w:tcW w:w="978" w:type="dxa"/>
          </w:tcPr>
          <w:p w14:paraId="2E223AE2" w14:textId="1714BDE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Item 21</w:t>
            </w:r>
          </w:p>
        </w:tc>
        <w:tc>
          <w:tcPr>
            <w:tcW w:w="1554" w:type="dxa"/>
          </w:tcPr>
          <w:p w14:paraId="7239B170" w14:textId="01AD582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 xml:space="preserve">Recommendation for future research/ </w:t>
            </w:r>
            <w:r w:rsidRPr="008F7431">
              <w:rPr>
                <w:rFonts w:ascii="Times New Roman" w:hAnsi="Times New Roman" w:cs="Times New Roman"/>
                <w:sz w:val="20"/>
                <w:szCs w:val="20"/>
                <w:lang w:val="en-US"/>
              </w:rPr>
              <w:lastRenderedPageBreak/>
              <w:t>generasability (external validity)</w:t>
            </w:r>
          </w:p>
        </w:tc>
        <w:tc>
          <w:tcPr>
            <w:tcW w:w="895" w:type="dxa"/>
            <w:gridSpan w:val="2"/>
          </w:tcPr>
          <w:p w14:paraId="2A58FE84" w14:textId="4412ED77"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w:t>
            </w:r>
          </w:p>
        </w:tc>
        <w:tc>
          <w:tcPr>
            <w:tcW w:w="895" w:type="dxa"/>
            <w:gridSpan w:val="3"/>
          </w:tcPr>
          <w:p w14:paraId="3328C5ED" w14:textId="0C7DB2B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E3DE2E0" w14:textId="72738FF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73573AE" w14:textId="2B3B61DC"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08A3BEEB" w14:textId="49E6B7A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CDFF5A5" w14:textId="1AAC56C9"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6DF7E3B" w14:textId="4998666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44E51679" w14:textId="16F27EA3"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6F974D53" w14:textId="321B3849"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X</w:t>
            </w:r>
          </w:p>
        </w:tc>
        <w:tc>
          <w:tcPr>
            <w:tcW w:w="895" w:type="dxa"/>
            <w:gridSpan w:val="3"/>
          </w:tcPr>
          <w:p w14:paraId="1A7E6649" w14:textId="594B12C6"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39C03EA" w14:textId="4D346F1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1B8E5E6D" w14:textId="77777777" w:rsidR="005633E3" w:rsidRPr="008F7431" w:rsidRDefault="005633E3" w:rsidP="00760DB4">
            <w:pPr>
              <w:spacing w:line="480" w:lineRule="auto"/>
              <w:jc w:val="both"/>
              <w:rPr>
                <w:rFonts w:ascii="Times New Roman" w:hAnsi="Times New Roman" w:cs="Times New Roman"/>
                <w:sz w:val="20"/>
                <w:szCs w:val="20"/>
                <w:lang w:val="en-US"/>
              </w:rPr>
            </w:pPr>
          </w:p>
        </w:tc>
        <w:tc>
          <w:tcPr>
            <w:tcW w:w="896" w:type="dxa"/>
            <w:gridSpan w:val="2"/>
          </w:tcPr>
          <w:p w14:paraId="47074A1D" w14:textId="77777777" w:rsidR="005633E3" w:rsidRPr="008F7431" w:rsidRDefault="005633E3" w:rsidP="00760DB4">
            <w:pPr>
              <w:spacing w:line="480" w:lineRule="auto"/>
              <w:jc w:val="both"/>
              <w:rPr>
                <w:rFonts w:ascii="Times New Roman" w:hAnsi="Times New Roman" w:cs="Times New Roman"/>
                <w:sz w:val="20"/>
                <w:szCs w:val="20"/>
                <w:lang w:val="en-US"/>
              </w:rPr>
            </w:pPr>
          </w:p>
        </w:tc>
      </w:tr>
      <w:tr w:rsidR="005633E3" w:rsidRPr="008F7431" w14:paraId="1C24FFD3" w14:textId="513DC613" w:rsidTr="007507EB">
        <w:trPr>
          <w:gridAfter w:val="2"/>
          <w:wAfter w:w="567" w:type="dxa"/>
        </w:trPr>
        <w:tc>
          <w:tcPr>
            <w:tcW w:w="978" w:type="dxa"/>
          </w:tcPr>
          <w:p w14:paraId="2A76F0DC" w14:textId="37EC26D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lastRenderedPageBreak/>
              <w:t>Item 22</w:t>
            </w:r>
          </w:p>
        </w:tc>
        <w:tc>
          <w:tcPr>
            <w:tcW w:w="1554" w:type="dxa"/>
          </w:tcPr>
          <w:p w14:paraId="4B6E8F4B" w14:textId="23CE27F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Funding/conflict of interesr</w:t>
            </w:r>
          </w:p>
        </w:tc>
        <w:tc>
          <w:tcPr>
            <w:tcW w:w="895" w:type="dxa"/>
            <w:gridSpan w:val="2"/>
          </w:tcPr>
          <w:p w14:paraId="491FF48C" w14:textId="3A51F7C8"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6B7C08BC" w14:textId="72C7214A"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106801FF" w14:textId="06E12002"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0121441F" w14:textId="78E431AE"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743EFA61" w14:textId="6D3287E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F184005" w14:textId="2301F56B"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505CCAAB" w14:textId="1A778055"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23E21355" w14:textId="36050BC1"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3"/>
          </w:tcPr>
          <w:p w14:paraId="668AAAB9" w14:textId="301C0FFF"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70C46B13" w14:textId="3F9E69DA"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330C570F" w14:textId="14644A7F" w:rsidR="005633E3" w:rsidRPr="008F7431" w:rsidRDefault="005633E3"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5" w:type="dxa"/>
            <w:gridSpan w:val="3"/>
          </w:tcPr>
          <w:p w14:paraId="7B4EF483" w14:textId="3B4F9D39"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c>
          <w:tcPr>
            <w:tcW w:w="896" w:type="dxa"/>
            <w:gridSpan w:val="2"/>
          </w:tcPr>
          <w:p w14:paraId="49E4B01A" w14:textId="784F630E" w:rsidR="005633E3" w:rsidRPr="008F7431" w:rsidRDefault="000B10A5" w:rsidP="00760DB4">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w:t>
            </w:r>
          </w:p>
        </w:tc>
      </w:tr>
      <w:tr w:rsidR="005633E3" w:rsidRPr="008F7431" w14:paraId="29327DB2" w14:textId="6DEF08E0" w:rsidTr="007507EB">
        <w:trPr>
          <w:gridAfter w:val="2"/>
          <w:wAfter w:w="567" w:type="dxa"/>
        </w:trPr>
        <w:tc>
          <w:tcPr>
            <w:tcW w:w="978" w:type="dxa"/>
          </w:tcPr>
          <w:p w14:paraId="5A1601E5" w14:textId="77777777" w:rsidR="005633E3" w:rsidRPr="008F7431" w:rsidRDefault="005633E3">
            <w:pPr>
              <w:spacing w:line="480" w:lineRule="auto"/>
              <w:jc w:val="both"/>
              <w:rPr>
                <w:rFonts w:ascii="Times New Roman" w:hAnsi="Times New Roman" w:cs="Times New Roman"/>
                <w:sz w:val="20"/>
                <w:szCs w:val="20"/>
                <w:lang w:val="en-US"/>
              </w:rPr>
            </w:pPr>
          </w:p>
        </w:tc>
        <w:tc>
          <w:tcPr>
            <w:tcW w:w="1554" w:type="dxa"/>
          </w:tcPr>
          <w:p w14:paraId="19538855" w14:textId="6384EEC3" w:rsidR="005633E3" w:rsidRPr="008F7431" w:rsidRDefault="005633E3">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Quality of study</w:t>
            </w:r>
          </w:p>
        </w:tc>
        <w:tc>
          <w:tcPr>
            <w:tcW w:w="895" w:type="dxa"/>
            <w:gridSpan w:val="2"/>
          </w:tcPr>
          <w:p w14:paraId="34A1EC10" w14:textId="00839FE1" w:rsidR="005633E3" w:rsidRPr="008F7431" w:rsidRDefault="005633E3">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w:t>
            </w:r>
          </w:p>
        </w:tc>
        <w:tc>
          <w:tcPr>
            <w:tcW w:w="895" w:type="dxa"/>
            <w:gridSpan w:val="3"/>
          </w:tcPr>
          <w:p w14:paraId="42E9EAB8" w14:textId="43DFA51F" w:rsidR="005633E3" w:rsidRPr="008F7431" w:rsidRDefault="005633E3">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w:t>
            </w:r>
          </w:p>
        </w:tc>
        <w:tc>
          <w:tcPr>
            <w:tcW w:w="895" w:type="dxa"/>
            <w:gridSpan w:val="3"/>
          </w:tcPr>
          <w:p w14:paraId="22DE6492" w14:textId="16C21942" w:rsidR="005633E3" w:rsidRPr="008F7431" w:rsidRDefault="005633E3">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w:t>
            </w:r>
          </w:p>
        </w:tc>
        <w:tc>
          <w:tcPr>
            <w:tcW w:w="895" w:type="dxa"/>
            <w:gridSpan w:val="3"/>
          </w:tcPr>
          <w:p w14:paraId="48C4F2B4" w14:textId="4893C35F" w:rsidR="005633E3" w:rsidRPr="008F7431" w:rsidRDefault="005633E3">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w:t>
            </w:r>
          </w:p>
        </w:tc>
        <w:tc>
          <w:tcPr>
            <w:tcW w:w="896" w:type="dxa"/>
            <w:gridSpan w:val="3"/>
          </w:tcPr>
          <w:p w14:paraId="469FD009" w14:textId="45429387" w:rsidR="005633E3" w:rsidRPr="008F7431" w:rsidRDefault="005633E3">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w:t>
            </w:r>
          </w:p>
        </w:tc>
        <w:tc>
          <w:tcPr>
            <w:tcW w:w="895" w:type="dxa"/>
            <w:gridSpan w:val="3"/>
          </w:tcPr>
          <w:p w14:paraId="7BFCD1A4" w14:textId="6EA03690" w:rsidR="005633E3" w:rsidRPr="008F7431" w:rsidRDefault="005633E3">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w:t>
            </w:r>
          </w:p>
        </w:tc>
        <w:tc>
          <w:tcPr>
            <w:tcW w:w="895" w:type="dxa"/>
            <w:gridSpan w:val="3"/>
          </w:tcPr>
          <w:p w14:paraId="2D0381C2" w14:textId="509AFF04" w:rsidR="005633E3" w:rsidRPr="008F7431" w:rsidRDefault="005633E3">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w:t>
            </w:r>
          </w:p>
        </w:tc>
        <w:tc>
          <w:tcPr>
            <w:tcW w:w="895" w:type="dxa"/>
            <w:gridSpan w:val="3"/>
          </w:tcPr>
          <w:p w14:paraId="2393124B" w14:textId="44F69B1C" w:rsidR="005633E3" w:rsidRPr="008F7431" w:rsidRDefault="005633E3">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w:t>
            </w:r>
          </w:p>
        </w:tc>
        <w:tc>
          <w:tcPr>
            <w:tcW w:w="896" w:type="dxa"/>
            <w:gridSpan w:val="3"/>
          </w:tcPr>
          <w:p w14:paraId="130CE7FC" w14:textId="032B391F" w:rsidR="005633E3" w:rsidRPr="008F7431" w:rsidRDefault="000B10A5">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w:t>
            </w:r>
          </w:p>
        </w:tc>
        <w:tc>
          <w:tcPr>
            <w:tcW w:w="895" w:type="dxa"/>
            <w:gridSpan w:val="3"/>
          </w:tcPr>
          <w:p w14:paraId="712C579B" w14:textId="717C5278" w:rsidR="005633E3" w:rsidRPr="008F7431" w:rsidRDefault="000B10A5">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w:t>
            </w:r>
          </w:p>
        </w:tc>
        <w:tc>
          <w:tcPr>
            <w:tcW w:w="895" w:type="dxa"/>
            <w:gridSpan w:val="3"/>
          </w:tcPr>
          <w:p w14:paraId="5C319984" w14:textId="5EFC6072" w:rsidR="005633E3" w:rsidRPr="008F7431" w:rsidRDefault="005633E3">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w:t>
            </w:r>
          </w:p>
        </w:tc>
        <w:tc>
          <w:tcPr>
            <w:tcW w:w="895" w:type="dxa"/>
            <w:gridSpan w:val="3"/>
          </w:tcPr>
          <w:p w14:paraId="63D5CFDF" w14:textId="1D53F1A0" w:rsidR="005633E3" w:rsidRPr="008F7431" w:rsidRDefault="000B10A5">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w:t>
            </w:r>
          </w:p>
        </w:tc>
        <w:tc>
          <w:tcPr>
            <w:tcW w:w="896" w:type="dxa"/>
            <w:gridSpan w:val="2"/>
          </w:tcPr>
          <w:p w14:paraId="06347277" w14:textId="37A69B5E" w:rsidR="005633E3" w:rsidRPr="008F7431" w:rsidRDefault="000B10A5">
            <w:pPr>
              <w:spacing w:line="480" w:lineRule="auto"/>
              <w:jc w:val="both"/>
              <w:rPr>
                <w:rFonts w:ascii="Times New Roman" w:hAnsi="Times New Roman" w:cs="Times New Roman"/>
                <w:sz w:val="20"/>
                <w:szCs w:val="20"/>
                <w:lang w:val="en-US"/>
              </w:rPr>
            </w:pPr>
            <w:r w:rsidRPr="008F7431">
              <w:rPr>
                <w:rFonts w:ascii="Times New Roman" w:hAnsi="Times New Roman" w:cs="Times New Roman"/>
                <w:sz w:val="20"/>
                <w:szCs w:val="20"/>
                <w:lang w:val="en-US"/>
              </w:rPr>
              <w:t>S</w:t>
            </w:r>
          </w:p>
        </w:tc>
      </w:tr>
    </w:tbl>
    <w:p w14:paraId="73FE2A7F" w14:textId="7FB3B148" w:rsidR="00BD3E2D" w:rsidRDefault="00BD3E2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STROBE criteria : Yes (/), No (X), Not applicable (NA)</w:t>
      </w:r>
    </w:p>
    <w:p w14:paraId="2BA51111" w14:textId="259F97BB" w:rsidR="00F839A4" w:rsidRDefault="00F839A4" w:rsidP="00760DB4">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Quality of study: Sufficient (S), not sufficient (NS)</w:t>
      </w:r>
    </w:p>
    <w:p w14:paraId="4664F650" w14:textId="77777777" w:rsidR="00B14B5A" w:rsidRDefault="00B14B5A" w:rsidP="00760DB4">
      <w:pPr>
        <w:spacing w:line="480" w:lineRule="auto"/>
        <w:jc w:val="both"/>
        <w:rPr>
          <w:rFonts w:ascii="Times New Roman" w:hAnsi="Times New Roman" w:cs="Times New Roman"/>
          <w:sz w:val="24"/>
          <w:szCs w:val="24"/>
          <w:lang w:val="en-US"/>
        </w:rPr>
      </w:pPr>
    </w:p>
    <w:p w14:paraId="79E82A17" w14:textId="77777777" w:rsidR="00B14B5A" w:rsidRDefault="00B14B5A" w:rsidP="00760DB4">
      <w:pPr>
        <w:spacing w:line="480" w:lineRule="auto"/>
        <w:jc w:val="both"/>
        <w:rPr>
          <w:rFonts w:ascii="Times New Roman" w:hAnsi="Times New Roman" w:cs="Times New Roman"/>
          <w:sz w:val="24"/>
          <w:szCs w:val="24"/>
          <w:lang w:val="en-US"/>
        </w:rPr>
      </w:pPr>
    </w:p>
    <w:sectPr w:rsidR="00B14B5A" w:rsidSect="008F7431">
      <w:pgSz w:w="16838" w:h="11906" w:orient="landscape"/>
      <w:pgMar w:top="2155" w:right="170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B7F47" w14:textId="77777777" w:rsidR="006F4166" w:rsidRDefault="006F4166" w:rsidP="00201C09">
      <w:pPr>
        <w:spacing w:after="0" w:line="240" w:lineRule="auto"/>
      </w:pPr>
      <w:r>
        <w:separator/>
      </w:r>
    </w:p>
  </w:endnote>
  <w:endnote w:type="continuationSeparator" w:id="0">
    <w:p w14:paraId="01046B48" w14:textId="77777777" w:rsidR="006F4166" w:rsidRDefault="006F4166" w:rsidP="00201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F62AC" w14:textId="77777777" w:rsidR="006F4166" w:rsidRDefault="006F4166" w:rsidP="00201C09">
      <w:pPr>
        <w:spacing w:after="0" w:line="240" w:lineRule="auto"/>
      </w:pPr>
      <w:r>
        <w:separator/>
      </w:r>
    </w:p>
  </w:footnote>
  <w:footnote w:type="continuationSeparator" w:id="0">
    <w:p w14:paraId="09690D4E" w14:textId="77777777" w:rsidR="006F4166" w:rsidRDefault="006F4166" w:rsidP="00201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B4B58"/>
    <w:multiLevelType w:val="hybridMultilevel"/>
    <w:tmpl w:val="CBE805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D0F2B0B"/>
    <w:multiLevelType w:val="hybridMultilevel"/>
    <w:tmpl w:val="1B6E8A1E"/>
    <w:lvl w:ilvl="0" w:tplc="29FADA2A">
      <w:start w:val="5"/>
      <w:numFmt w:val="bullet"/>
      <w:lvlText w:val="-"/>
      <w:lvlJc w:val="left"/>
      <w:pPr>
        <w:ind w:left="720" w:hanging="360"/>
      </w:pPr>
      <w:rPr>
        <w:rFonts w:ascii="Arial" w:eastAsia="Times New Roman"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YxM7WwNDEzNjO3NDRR0lEKTi0uzszPAykwNK0FAGVRq/UtAAAA"/>
  </w:docVars>
  <w:rsids>
    <w:rsidRoot w:val="00E01DB0"/>
    <w:rsid w:val="00001020"/>
    <w:rsid w:val="0000186D"/>
    <w:rsid w:val="00006552"/>
    <w:rsid w:val="00007D7B"/>
    <w:rsid w:val="00012050"/>
    <w:rsid w:val="00014481"/>
    <w:rsid w:val="000179AA"/>
    <w:rsid w:val="00017E76"/>
    <w:rsid w:val="00021347"/>
    <w:rsid w:val="00023004"/>
    <w:rsid w:val="0002321E"/>
    <w:rsid w:val="00024E06"/>
    <w:rsid w:val="00026CC8"/>
    <w:rsid w:val="000270F8"/>
    <w:rsid w:val="00031F70"/>
    <w:rsid w:val="00034489"/>
    <w:rsid w:val="000369CE"/>
    <w:rsid w:val="00043C07"/>
    <w:rsid w:val="00044237"/>
    <w:rsid w:val="00046140"/>
    <w:rsid w:val="00052C06"/>
    <w:rsid w:val="0005379C"/>
    <w:rsid w:val="00057F73"/>
    <w:rsid w:val="00061433"/>
    <w:rsid w:val="00062A6D"/>
    <w:rsid w:val="00063FBE"/>
    <w:rsid w:val="00064F70"/>
    <w:rsid w:val="00065A72"/>
    <w:rsid w:val="00067953"/>
    <w:rsid w:val="00070269"/>
    <w:rsid w:val="0007425E"/>
    <w:rsid w:val="00076935"/>
    <w:rsid w:val="00076D35"/>
    <w:rsid w:val="000805A7"/>
    <w:rsid w:val="000818CC"/>
    <w:rsid w:val="000828A0"/>
    <w:rsid w:val="00086C5F"/>
    <w:rsid w:val="000913BA"/>
    <w:rsid w:val="00091729"/>
    <w:rsid w:val="00092A54"/>
    <w:rsid w:val="00094C39"/>
    <w:rsid w:val="00095B0D"/>
    <w:rsid w:val="000966D3"/>
    <w:rsid w:val="000A08AE"/>
    <w:rsid w:val="000B10A5"/>
    <w:rsid w:val="000B1B44"/>
    <w:rsid w:val="000B58E7"/>
    <w:rsid w:val="000B63B8"/>
    <w:rsid w:val="000C265C"/>
    <w:rsid w:val="000C3400"/>
    <w:rsid w:val="000C3968"/>
    <w:rsid w:val="000C60DE"/>
    <w:rsid w:val="000D2F50"/>
    <w:rsid w:val="000D37A6"/>
    <w:rsid w:val="000D4224"/>
    <w:rsid w:val="000D4A8C"/>
    <w:rsid w:val="000D5744"/>
    <w:rsid w:val="000E4875"/>
    <w:rsid w:val="000E5CF4"/>
    <w:rsid w:val="000E66B8"/>
    <w:rsid w:val="000E76B7"/>
    <w:rsid w:val="000F085C"/>
    <w:rsid w:val="000F49A1"/>
    <w:rsid w:val="000F5111"/>
    <w:rsid w:val="000F62AB"/>
    <w:rsid w:val="000F6B53"/>
    <w:rsid w:val="00103921"/>
    <w:rsid w:val="00103F4D"/>
    <w:rsid w:val="001067EC"/>
    <w:rsid w:val="0011164C"/>
    <w:rsid w:val="00113B8F"/>
    <w:rsid w:val="001178FC"/>
    <w:rsid w:val="00121D79"/>
    <w:rsid w:val="00124076"/>
    <w:rsid w:val="00124F12"/>
    <w:rsid w:val="001257F3"/>
    <w:rsid w:val="001258C7"/>
    <w:rsid w:val="00131569"/>
    <w:rsid w:val="00132A8C"/>
    <w:rsid w:val="0013465D"/>
    <w:rsid w:val="00135EA6"/>
    <w:rsid w:val="00140E17"/>
    <w:rsid w:val="00141FC3"/>
    <w:rsid w:val="00142719"/>
    <w:rsid w:val="00143597"/>
    <w:rsid w:val="001466A4"/>
    <w:rsid w:val="001477BC"/>
    <w:rsid w:val="00150C4E"/>
    <w:rsid w:val="00150F1B"/>
    <w:rsid w:val="00153A24"/>
    <w:rsid w:val="0015577A"/>
    <w:rsid w:val="001558C2"/>
    <w:rsid w:val="00156681"/>
    <w:rsid w:val="00157B50"/>
    <w:rsid w:val="001640E4"/>
    <w:rsid w:val="001661D5"/>
    <w:rsid w:val="00167DC0"/>
    <w:rsid w:val="00170314"/>
    <w:rsid w:val="001805B9"/>
    <w:rsid w:val="00181F52"/>
    <w:rsid w:val="0018553A"/>
    <w:rsid w:val="0018784E"/>
    <w:rsid w:val="00191AB9"/>
    <w:rsid w:val="00192AFA"/>
    <w:rsid w:val="00193F3F"/>
    <w:rsid w:val="001956C3"/>
    <w:rsid w:val="0019763A"/>
    <w:rsid w:val="001A36A8"/>
    <w:rsid w:val="001A39EB"/>
    <w:rsid w:val="001A5655"/>
    <w:rsid w:val="001A571F"/>
    <w:rsid w:val="001A65A3"/>
    <w:rsid w:val="001B3CCC"/>
    <w:rsid w:val="001B42E8"/>
    <w:rsid w:val="001B4E02"/>
    <w:rsid w:val="001B7E12"/>
    <w:rsid w:val="001C0B8C"/>
    <w:rsid w:val="001C1291"/>
    <w:rsid w:val="001C2E4A"/>
    <w:rsid w:val="001C53CD"/>
    <w:rsid w:val="001C5CE7"/>
    <w:rsid w:val="001D16EA"/>
    <w:rsid w:val="001D398A"/>
    <w:rsid w:val="001D4951"/>
    <w:rsid w:val="001E1638"/>
    <w:rsid w:val="001E3421"/>
    <w:rsid w:val="001E6489"/>
    <w:rsid w:val="001E6B34"/>
    <w:rsid w:val="001F144C"/>
    <w:rsid w:val="001F32F7"/>
    <w:rsid w:val="001F4D08"/>
    <w:rsid w:val="00201A8E"/>
    <w:rsid w:val="00201C09"/>
    <w:rsid w:val="002040F2"/>
    <w:rsid w:val="00207F09"/>
    <w:rsid w:val="002101F8"/>
    <w:rsid w:val="0021269D"/>
    <w:rsid w:val="00214BD8"/>
    <w:rsid w:val="0021567A"/>
    <w:rsid w:val="002168CA"/>
    <w:rsid w:val="00221CFB"/>
    <w:rsid w:val="00222C94"/>
    <w:rsid w:val="00223FE2"/>
    <w:rsid w:val="002265B5"/>
    <w:rsid w:val="00227F7D"/>
    <w:rsid w:val="002359EC"/>
    <w:rsid w:val="00236AAE"/>
    <w:rsid w:val="002421BA"/>
    <w:rsid w:val="00242716"/>
    <w:rsid w:val="00244A1D"/>
    <w:rsid w:val="00245C70"/>
    <w:rsid w:val="00247BD5"/>
    <w:rsid w:val="0025626B"/>
    <w:rsid w:val="00256886"/>
    <w:rsid w:val="00260324"/>
    <w:rsid w:val="00262C52"/>
    <w:rsid w:val="002662E8"/>
    <w:rsid w:val="00267099"/>
    <w:rsid w:val="002707BD"/>
    <w:rsid w:val="00270D03"/>
    <w:rsid w:val="002732B1"/>
    <w:rsid w:val="002737F5"/>
    <w:rsid w:val="00281152"/>
    <w:rsid w:val="0028621B"/>
    <w:rsid w:val="00291694"/>
    <w:rsid w:val="00292D69"/>
    <w:rsid w:val="00292FC2"/>
    <w:rsid w:val="0029349F"/>
    <w:rsid w:val="00293F5B"/>
    <w:rsid w:val="002A0352"/>
    <w:rsid w:val="002A2190"/>
    <w:rsid w:val="002A2FB9"/>
    <w:rsid w:val="002A43D4"/>
    <w:rsid w:val="002A710C"/>
    <w:rsid w:val="002A7A71"/>
    <w:rsid w:val="002B0290"/>
    <w:rsid w:val="002B3DB4"/>
    <w:rsid w:val="002B41AB"/>
    <w:rsid w:val="002B4B19"/>
    <w:rsid w:val="002B4BE6"/>
    <w:rsid w:val="002B4D20"/>
    <w:rsid w:val="002C02F5"/>
    <w:rsid w:val="002C1F55"/>
    <w:rsid w:val="002C70AA"/>
    <w:rsid w:val="002C7AA2"/>
    <w:rsid w:val="002D0839"/>
    <w:rsid w:val="002D2C65"/>
    <w:rsid w:val="002E0B39"/>
    <w:rsid w:val="002E21EB"/>
    <w:rsid w:val="002E465B"/>
    <w:rsid w:val="002E5B88"/>
    <w:rsid w:val="002F0114"/>
    <w:rsid w:val="002F0ACC"/>
    <w:rsid w:val="002F2496"/>
    <w:rsid w:val="0030277F"/>
    <w:rsid w:val="00302865"/>
    <w:rsid w:val="003044B1"/>
    <w:rsid w:val="003067F4"/>
    <w:rsid w:val="0030753E"/>
    <w:rsid w:val="00307BB1"/>
    <w:rsid w:val="00307C34"/>
    <w:rsid w:val="0031621D"/>
    <w:rsid w:val="003205C6"/>
    <w:rsid w:val="00320C1F"/>
    <w:rsid w:val="0032451B"/>
    <w:rsid w:val="00333346"/>
    <w:rsid w:val="00337CA8"/>
    <w:rsid w:val="003421B4"/>
    <w:rsid w:val="003448D3"/>
    <w:rsid w:val="00345676"/>
    <w:rsid w:val="003458AA"/>
    <w:rsid w:val="00350573"/>
    <w:rsid w:val="003516EE"/>
    <w:rsid w:val="00352E1A"/>
    <w:rsid w:val="003573D2"/>
    <w:rsid w:val="00360F64"/>
    <w:rsid w:val="0036229C"/>
    <w:rsid w:val="00364C93"/>
    <w:rsid w:val="00367402"/>
    <w:rsid w:val="003710E3"/>
    <w:rsid w:val="0037116B"/>
    <w:rsid w:val="00373B9A"/>
    <w:rsid w:val="00375112"/>
    <w:rsid w:val="00376005"/>
    <w:rsid w:val="00377DD1"/>
    <w:rsid w:val="003827F9"/>
    <w:rsid w:val="003842B4"/>
    <w:rsid w:val="003850E5"/>
    <w:rsid w:val="00386337"/>
    <w:rsid w:val="003872E4"/>
    <w:rsid w:val="00387837"/>
    <w:rsid w:val="003912D6"/>
    <w:rsid w:val="00393BBE"/>
    <w:rsid w:val="003A0379"/>
    <w:rsid w:val="003A08E0"/>
    <w:rsid w:val="003A1017"/>
    <w:rsid w:val="003A5BC3"/>
    <w:rsid w:val="003A6832"/>
    <w:rsid w:val="003B0A2B"/>
    <w:rsid w:val="003B10A1"/>
    <w:rsid w:val="003B238C"/>
    <w:rsid w:val="003B2B49"/>
    <w:rsid w:val="003B3D1D"/>
    <w:rsid w:val="003B3E2E"/>
    <w:rsid w:val="003B5A19"/>
    <w:rsid w:val="003B5CDE"/>
    <w:rsid w:val="003B6089"/>
    <w:rsid w:val="003B649A"/>
    <w:rsid w:val="003C07BB"/>
    <w:rsid w:val="003C1C72"/>
    <w:rsid w:val="003C1FC7"/>
    <w:rsid w:val="003C3BAE"/>
    <w:rsid w:val="003C6CFE"/>
    <w:rsid w:val="003D014C"/>
    <w:rsid w:val="003D137F"/>
    <w:rsid w:val="003D19FC"/>
    <w:rsid w:val="003D3F26"/>
    <w:rsid w:val="003D57EF"/>
    <w:rsid w:val="003D6B03"/>
    <w:rsid w:val="003D7072"/>
    <w:rsid w:val="003E0FFE"/>
    <w:rsid w:val="003E1D5F"/>
    <w:rsid w:val="003E3C3E"/>
    <w:rsid w:val="003E4569"/>
    <w:rsid w:val="003E6B6C"/>
    <w:rsid w:val="003F06AA"/>
    <w:rsid w:val="003F08B4"/>
    <w:rsid w:val="003F25AA"/>
    <w:rsid w:val="003F30B3"/>
    <w:rsid w:val="003F607A"/>
    <w:rsid w:val="00401E70"/>
    <w:rsid w:val="00402ACE"/>
    <w:rsid w:val="00403582"/>
    <w:rsid w:val="004036C5"/>
    <w:rsid w:val="00404FD8"/>
    <w:rsid w:val="004061A9"/>
    <w:rsid w:val="00406288"/>
    <w:rsid w:val="00406935"/>
    <w:rsid w:val="00406BF7"/>
    <w:rsid w:val="00425A5D"/>
    <w:rsid w:val="00425C82"/>
    <w:rsid w:val="00426556"/>
    <w:rsid w:val="00431E2A"/>
    <w:rsid w:val="0043275C"/>
    <w:rsid w:val="00434574"/>
    <w:rsid w:val="00442360"/>
    <w:rsid w:val="0044287A"/>
    <w:rsid w:val="0044322F"/>
    <w:rsid w:val="00443D15"/>
    <w:rsid w:val="00444BC4"/>
    <w:rsid w:val="00445B11"/>
    <w:rsid w:val="00446802"/>
    <w:rsid w:val="00450C35"/>
    <w:rsid w:val="004511CD"/>
    <w:rsid w:val="00455B90"/>
    <w:rsid w:val="00456FE1"/>
    <w:rsid w:val="00461726"/>
    <w:rsid w:val="004628E1"/>
    <w:rsid w:val="004754BB"/>
    <w:rsid w:val="004755E8"/>
    <w:rsid w:val="00475F6F"/>
    <w:rsid w:val="00481059"/>
    <w:rsid w:val="00483C92"/>
    <w:rsid w:val="00487CCF"/>
    <w:rsid w:val="00490B90"/>
    <w:rsid w:val="00491F26"/>
    <w:rsid w:val="0049205B"/>
    <w:rsid w:val="004922D3"/>
    <w:rsid w:val="00493146"/>
    <w:rsid w:val="00495142"/>
    <w:rsid w:val="00497847"/>
    <w:rsid w:val="004A1379"/>
    <w:rsid w:val="004A2B8B"/>
    <w:rsid w:val="004A3E68"/>
    <w:rsid w:val="004A4A36"/>
    <w:rsid w:val="004A58DE"/>
    <w:rsid w:val="004A6A76"/>
    <w:rsid w:val="004B551C"/>
    <w:rsid w:val="004B61BA"/>
    <w:rsid w:val="004C091E"/>
    <w:rsid w:val="004C216B"/>
    <w:rsid w:val="004C2306"/>
    <w:rsid w:val="004C393E"/>
    <w:rsid w:val="004C5B87"/>
    <w:rsid w:val="004C7BA1"/>
    <w:rsid w:val="004D1B8B"/>
    <w:rsid w:val="004D2050"/>
    <w:rsid w:val="004D2E24"/>
    <w:rsid w:val="004D3AB2"/>
    <w:rsid w:val="004D4703"/>
    <w:rsid w:val="004D6125"/>
    <w:rsid w:val="004D6D14"/>
    <w:rsid w:val="004D7CC9"/>
    <w:rsid w:val="004D7FCC"/>
    <w:rsid w:val="004E3871"/>
    <w:rsid w:val="004E49EF"/>
    <w:rsid w:val="004E4A4C"/>
    <w:rsid w:val="004E5D4E"/>
    <w:rsid w:val="004E5F7E"/>
    <w:rsid w:val="004E67A2"/>
    <w:rsid w:val="004F03F9"/>
    <w:rsid w:val="004F08AF"/>
    <w:rsid w:val="004F2520"/>
    <w:rsid w:val="004F2E81"/>
    <w:rsid w:val="004F31A9"/>
    <w:rsid w:val="004F6EFC"/>
    <w:rsid w:val="004F7179"/>
    <w:rsid w:val="00501D3B"/>
    <w:rsid w:val="00502E06"/>
    <w:rsid w:val="00503AEE"/>
    <w:rsid w:val="0050481F"/>
    <w:rsid w:val="00504E3D"/>
    <w:rsid w:val="005053F7"/>
    <w:rsid w:val="00505C2B"/>
    <w:rsid w:val="005060F8"/>
    <w:rsid w:val="00507ABD"/>
    <w:rsid w:val="00513E10"/>
    <w:rsid w:val="00520C05"/>
    <w:rsid w:val="00521650"/>
    <w:rsid w:val="0052283F"/>
    <w:rsid w:val="00532B1E"/>
    <w:rsid w:val="0053607B"/>
    <w:rsid w:val="00537D2D"/>
    <w:rsid w:val="005441BB"/>
    <w:rsid w:val="00545521"/>
    <w:rsid w:val="0054597E"/>
    <w:rsid w:val="00550802"/>
    <w:rsid w:val="00551052"/>
    <w:rsid w:val="00552134"/>
    <w:rsid w:val="0055232D"/>
    <w:rsid w:val="005534E6"/>
    <w:rsid w:val="0056175A"/>
    <w:rsid w:val="005619D4"/>
    <w:rsid w:val="005633E3"/>
    <w:rsid w:val="005636D3"/>
    <w:rsid w:val="00563B68"/>
    <w:rsid w:val="00565942"/>
    <w:rsid w:val="0056730A"/>
    <w:rsid w:val="00571B3F"/>
    <w:rsid w:val="0057276E"/>
    <w:rsid w:val="00573CA4"/>
    <w:rsid w:val="00574541"/>
    <w:rsid w:val="005779DE"/>
    <w:rsid w:val="0058215E"/>
    <w:rsid w:val="00582C02"/>
    <w:rsid w:val="005833C2"/>
    <w:rsid w:val="00585056"/>
    <w:rsid w:val="005854C0"/>
    <w:rsid w:val="005876B0"/>
    <w:rsid w:val="005907BD"/>
    <w:rsid w:val="005916FD"/>
    <w:rsid w:val="005959A7"/>
    <w:rsid w:val="005979E3"/>
    <w:rsid w:val="005C1D52"/>
    <w:rsid w:val="005C3288"/>
    <w:rsid w:val="005C4AA8"/>
    <w:rsid w:val="005C698D"/>
    <w:rsid w:val="005D07E6"/>
    <w:rsid w:val="005D4544"/>
    <w:rsid w:val="005D5309"/>
    <w:rsid w:val="005E0078"/>
    <w:rsid w:val="005E073E"/>
    <w:rsid w:val="005E1C28"/>
    <w:rsid w:val="005E4492"/>
    <w:rsid w:val="005E5BB9"/>
    <w:rsid w:val="005E6075"/>
    <w:rsid w:val="005E60D9"/>
    <w:rsid w:val="005F18A7"/>
    <w:rsid w:val="005F3A92"/>
    <w:rsid w:val="005F43F5"/>
    <w:rsid w:val="005F4498"/>
    <w:rsid w:val="00600944"/>
    <w:rsid w:val="00600B08"/>
    <w:rsid w:val="00602D26"/>
    <w:rsid w:val="006057D2"/>
    <w:rsid w:val="00610A21"/>
    <w:rsid w:val="00610DCA"/>
    <w:rsid w:val="00612360"/>
    <w:rsid w:val="006155A7"/>
    <w:rsid w:val="006158DB"/>
    <w:rsid w:val="00620A85"/>
    <w:rsid w:val="00621089"/>
    <w:rsid w:val="00626565"/>
    <w:rsid w:val="00627A0F"/>
    <w:rsid w:val="006307B8"/>
    <w:rsid w:val="00632270"/>
    <w:rsid w:val="00632736"/>
    <w:rsid w:val="0063315C"/>
    <w:rsid w:val="0063353C"/>
    <w:rsid w:val="0063665D"/>
    <w:rsid w:val="00636895"/>
    <w:rsid w:val="00637C66"/>
    <w:rsid w:val="00637F74"/>
    <w:rsid w:val="006439D2"/>
    <w:rsid w:val="00645A1B"/>
    <w:rsid w:val="006523E6"/>
    <w:rsid w:val="006548B2"/>
    <w:rsid w:val="00655D27"/>
    <w:rsid w:val="00656A02"/>
    <w:rsid w:val="00656B55"/>
    <w:rsid w:val="00656E81"/>
    <w:rsid w:val="00657A05"/>
    <w:rsid w:val="00661074"/>
    <w:rsid w:val="006610AF"/>
    <w:rsid w:val="00661120"/>
    <w:rsid w:val="00664088"/>
    <w:rsid w:val="006652FE"/>
    <w:rsid w:val="0066768A"/>
    <w:rsid w:val="00672BCE"/>
    <w:rsid w:val="0067306B"/>
    <w:rsid w:val="00680236"/>
    <w:rsid w:val="00685394"/>
    <w:rsid w:val="006869ED"/>
    <w:rsid w:val="00687528"/>
    <w:rsid w:val="006A0DE1"/>
    <w:rsid w:val="006A0F35"/>
    <w:rsid w:val="006A5671"/>
    <w:rsid w:val="006A6E39"/>
    <w:rsid w:val="006B5EED"/>
    <w:rsid w:val="006B7287"/>
    <w:rsid w:val="006B72EF"/>
    <w:rsid w:val="006B757F"/>
    <w:rsid w:val="006C042F"/>
    <w:rsid w:val="006C088E"/>
    <w:rsid w:val="006C11A8"/>
    <w:rsid w:val="006C1AE2"/>
    <w:rsid w:val="006C2122"/>
    <w:rsid w:val="006C2F66"/>
    <w:rsid w:val="006C37A8"/>
    <w:rsid w:val="006C58B7"/>
    <w:rsid w:val="006D2036"/>
    <w:rsid w:val="006D4FA8"/>
    <w:rsid w:val="006D6ADD"/>
    <w:rsid w:val="006D7298"/>
    <w:rsid w:val="006D7CDD"/>
    <w:rsid w:val="006E0603"/>
    <w:rsid w:val="006E0AA5"/>
    <w:rsid w:val="006E2B82"/>
    <w:rsid w:val="006E32B0"/>
    <w:rsid w:val="006E3C7A"/>
    <w:rsid w:val="006F061C"/>
    <w:rsid w:val="006F23F4"/>
    <w:rsid w:val="006F4166"/>
    <w:rsid w:val="007007D0"/>
    <w:rsid w:val="007010B0"/>
    <w:rsid w:val="00703EAC"/>
    <w:rsid w:val="00703FF7"/>
    <w:rsid w:val="007043F7"/>
    <w:rsid w:val="00705134"/>
    <w:rsid w:val="00705C6A"/>
    <w:rsid w:val="00706A71"/>
    <w:rsid w:val="00714425"/>
    <w:rsid w:val="0072137A"/>
    <w:rsid w:val="0072494B"/>
    <w:rsid w:val="00726856"/>
    <w:rsid w:val="007318F0"/>
    <w:rsid w:val="00736EB8"/>
    <w:rsid w:val="00740142"/>
    <w:rsid w:val="007462B8"/>
    <w:rsid w:val="007507EB"/>
    <w:rsid w:val="00750D8D"/>
    <w:rsid w:val="00751DD4"/>
    <w:rsid w:val="00754DFC"/>
    <w:rsid w:val="00755B5C"/>
    <w:rsid w:val="007573EA"/>
    <w:rsid w:val="00760DB4"/>
    <w:rsid w:val="00762622"/>
    <w:rsid w:val="00763D8A"/>
    <w:rsid w:val="00765DA8"/>
    <w:rsid w:val="00766437"/>
    <w:rsid w:val="0077120C"/>
    <w:rsid w:val="00771C83"/>
    <w:rsid w:val="00773A2C"/>
    <w:rsid w:val="00774533"/>
    <w:rsid w:val="00777466"/>
    <w:rsid w:val="00777AEA"/>
    <w:rsid w:val="0078218E"/>
    <w:rsid w:val="00782353"/>
    <w:rsid w:val="00782F29"/>
    <w:rsid w:val="007869D6"/>
    <w:rsid w:val="0078730F"/>
    <w:rsid w:val="0079034C"/>
    <w:rsid w:val="0079045A"/>
    <w:rsid w:val="00790C51"/>
    <w:rsid w:val="007932D8"/>
    <w:rsid w:val="007935FF"/>
    <w:rsid w:val="00793947"/>
    <w:rsid w:val="00793ECA"/>
    <w:rsid w:val="00794289"/>
    <w:rsid w:val="00797857"/>
    <w:rsid w:val="007A38D8"/>
    <w:rsid w:val="007A5C68"/>
    <w:rsid w:val="007B0812"/>
    <w:rsid w:val="007B084E"/>
    <w:rsid w:val="007B08F7"/>
    <w:rsid w:val="007B299A"/>
    <w:rsid w:val="007B2C85"/>
    <w:rsid w:val="007B6C97"/>
    <w:rsid w:val="007C28B3"/>
    <w:rsid w:val="007C32B4"/>
    <w:rsid w:val="007C695B"/>
    <w:rsid w:val="007D2EA6"/>
    <w:rsid w:val="007D3969"/>
    <w:rsid w:val="007D5001"/>
    <w:rsid w:val="007E3F81"/>
    <w:rsid w:val="007E3FD1"/>
    <w:rsid w:val="007E4920"/>
    <w:rsid w:val="007E5477"/>
    <w:rsid w:val="007E661D"/>
    <w:rsid w:val="007F2A33"/>
    <w:rsid w:val="007F2AD7"/>
    <w:rsid w:val="007F3782"/>
    <w:rsid w:val="007F4EF0"/>
    <w:rsid w:val="007F72AA"/>
    <w:rsid w:val="0080071B"/>
    <w:rsid w:val="008030FC"/>
    <w:rsid w:val="00810CBD"/>
    <w:rsid w:val="00816CB8"/>
    <w:rsid w:val="00817315"/>
    <w:rsid w:val="00823D0B"/>
    <w:rsid w:val="00826510"/>
    <w:rsid w:val="00831E9B"/>
    <w:rsid w:val="00833696"/>
    <w:rsid w:val="00833B35"/>
    <w:rsid w:val="00847553"/>
    <w:rsid w:val="00847F7D"/>
    <w:rsid w:val="008533B8"/>
    <w:rsid w:val="0085562B"/>
    <w:rsid w:val="00855EDD"/>
    <w:rsid w:val="0086025C"/>
    <w:rsid w:val="0086035E"/>
    <w:rsid w:val="00861EF5"/>
    <w:rsid w:val="00871EC4"/>
    <w:rsid w:val="00873003"/>
    <w:rsid w:val="00873B94"/>
    <w:rsid w:val="00873C7D"/>
    <w:rsid w:val="00874D14"/>
    <w:rsid w:val="00876893"/>
    <w:rsid w:val="008776E7"/>
    <w:rsid w:val="00883ECB"/>
    <w:rsid w:val="00883FD7"/>
    <w:rsid w:val="00885BE3"/>
    <w:rsid w:val="00887880"/>
    <w:rsid w:val="00890CFC"/>
    <w:rsid w:val="00890DAB"/>
    <w:rsid w:val="008935E7"/>
    <w:rsid w:val="0089444C"/>
    <w:rsid w:val="008A1D1B"/>
    <w:rsid w:val="008A512E"/>
    <w:rsid w:val="008B690C"/>
    <w:rsid w:val="008B6990"/>
    <w:rsid w:val="008B7B32"/>
    <w:rsid w:val="008C048C"/>
    <w:rsid w:val="008C328A"/>
    <w:rsid w:val="008C3928"/>
    <w:rsid w:val="008C4E34"/>
    <w:rsid w:val="008D36CD"/>
    <w:rsid w:val="008D7AB7"/>
    <w:rsid w:val="008E291E"/>
    <w:rsid w:val="008E2EDC"/>
    <w:rsid w:val="008E46B1"/>
    <w:rsid w:val="008F13C1"/>
    <w:rsid w:val="008F1C88"/>
    <w:rsid w:val="008F6BD0"/>
    <w:rsid w:val="008F7431"/>
    <w:rsid w:val="00902A40"/>
    <w:rsid w:val="00903A4F"/>
    <w:rsid w:val="00906C53"/>
    <w:rsid w:val="00910729"/>
    <w:rsid w:val="00910DDF"/>
    <w:rsid w:val="00911969"/>
    <w:rsid w:val="00911EBF"/>
    <w:rsid w:val="00912F6D"/>
    <w:rsid w:val="00913584"/>
    <w:rsid w:val="00915C47"/>
    <w:rsid w:val="00916F28"/>
    <w:rsid w:val="00917352"/>
    <w:rsid w:val="00922D8F"/>
    <w:rsid w:val="00926380"/>
    <w:rsid w:val="009304EE"/>
    <w:rsid w:val="009336FC"/>
    <w:rsid w:val="0093527F"/>
    <w:rsid w:val="00935C00"/>
    <w:rsid w:val="00941197"/>
    <w:rsid w:val="009423BF"/>
    <w:rsid w:val="00942C76"/>
    <w:rsid w:val="00947060"/>
    <w:rsid w:val="009475BF"/>
    <w:rsid w:val="00952541"/>
    <w:rsid w:val="00953820"/>
    <w:rsid w:val="00953E73"/>
    <w:rsid w:val="00953F3D"/>
    <w:rsid w:val="00954C71"/>
    <w:rsid w:val="0095529D"/>
    <w:rsid w:val="009575D4"/>
    <w:rsid w:val="00960964"/>
    <w:rsid w:val="00960E73"/>
    <w:rsid w:val="00962FBB"/>
    <w:rsid w:val="009631C6"/>
    <w:rsid w:val="00963F5B"/>
    <w:rsid w:val="00965FB1"/>
    <w:rsid w:val="0097032D"/>
    <w:rsid w:val="009727CC"/>
    <w:rsid w:val="00972DC5"/>
    <w:rsid w:val="0097528F"/>
    <w:rsid w:val="009754B9"/>
    <w:rsid w:val="0098012A"/>
    <w:rsid w:val="00985899"/>
    <w:rsid w:val="0099309D"/>
    <w:rsid w:val="00995B70"/>
    <w:rsid w:val="00995CF7"/>
    <w:rsid w:val="009A0EA9"/>
    <w:rsid w:val="009A1D61"/>
    <w:rsid w:val="009A3164"/>
    <w:rsid w:val="009A3B89"/>
    <w:rsid w:val="009A4695"/>
    <w:rsid w:val="009A79F5"/>
    <w:rsid w:val="009B064F"/>
    <w:rsid w:val="009B06C3"/>
    <w:rsid w:val="009C02CF"/>
    <w:rsid w:val="009C1413"/>
    <w:rsid w:val="009D037A"/>
    <w:rsid w:val="009D098E"/>
    <w:rsid w:val="009D0B67"/>
    <w:rsid w:val="009D1010"/>
    <w:rsid w:val="009D134E"/>
    <w:rsid w:val="009D2C60"/>
    <w:rsid w:val="009D74FD"/>
    <w:rsid w:val="009E0EDF"/>
    <w:rsid w:val="009E60C6"/>
    <w:rsid w:val="009F0466"/>
    <w:rsid w:val="009F1040"/>
    <w:rsid w:val="009F320B"/>
    <w:rsid w:val="009F4A45"/>
    <w:rsid w:val="009F4BF6"/>
    <w:rsid w:val="009F4CB4"/>
    <w:rsid w:val="009F6394"/>
    <w:rsid w:val="009F6EBA"/>
    <w:rsid w:val="00A0067E"/>
    <w:rsid w:val="00A01234"/>
    <w:rsid w:val="00A01C1B"/>
    <w:rsid w:val="00A03469"/>
    <w:rsid w:val="00A03A8A"/>
    <w:rsid w:val="00A11143"/>
    <w:rsid w:val="00A116B9"/>
    <w:rsid w:val="00A13F4B"/>
    <w:rsid w:val="00A146F7"/>
    <w:rsid w:val="00A17F7C"/>
    <w:rsid w:val="00A2007A"/>
    <w:rsid w:val="00A21015"/>
    <w:rsid w:val="00A225EA"/>
    <w:rsid w:val="00A22ACB"/>
    <w:rsid w:val="00A22AFF"/>
    <w:rsid w:val="00A234AF"/>
    <w:rsid w:val="00A262B8"/>
    <w:rsid w:val="00A27336"/>
    <w:rsid w:val="00A27CF8"/>
    <w:rsid w:val="00A32D8D"/>
    <w:rsid w:val="00A33009"/>
    <w:rsid w:val="00A3473B"/>
    <w:rsid w:val="00A46C06"/>
    <w:rsid w:val="00A506EF"/>
    <w:rsid w:val="00A513E0"/>
    <w:rsid w:val="00A519F9"/>
    <w:rsid w:val="00A521FF"/>
    <w:rsid w:val="00A5759E"/>
    <w:rsid w:val="00A60208"/>
    <w:rsid w:val="00A61210"/>
    <w:rsid w:val="00A622C0"/>
    <w:rsid w:val="00A636BF"/>
    <w:rsid w:val="00A64C4B"/>
    <w:rsid w:val="00A65E1A"/>
    <w:rsid w:val="00A66480"/>
    <w:rsid w:val="00A74F91"/>
    <w:rsid w:val="00A75114"/>
    <w:rsid w:val="00A81530"/>
    <w:rsid w:val="00A819AF"/>
    <w:rsid w:val="00A8220E"/>
    <w:rsid w:val="00A843EA"/>
    <w:rsid w:val="00A84BE2"/>
    <w:rsid w:val="00A863DB"/>
    <w:rsid w:val="00A86422"/>
    <w:rsid w:val="00A927B2"/>
    <w:rsid w:val="00A962D9"/>
    <w:rsid w:val="00AA27B1"/>
    <w:rsid w:val="00AA38CC"/>
    <w:rsid w:val="00AA5B94"/>
    <w:rsid w:val="00AB0491"/>
    <w:rsid w:val="00AB3F01"/>
    <w:rsid w:val="00AB6864"/>
    <w:rsid w:val="00AC25E4"/>
    <w:rsid w:val="00AC4B3F"/>
    <w:rsid w:val="00AC5705"/>
    <w:rsid w:val="00AC5A24"/>
    <w:rsid w:val="00AD1046"/>
    <w:rsid w:val="00AD15D2"/>
    <w:rsid w:val="00AD1B54"/>
    <w:rsid w:val="00AD3F7B"/>
    <w:rsid w:val="00AD552E"/>
    <w:rsid w:val="00AE1CD8"/>
    <w:rsid w:val="00AE1FB6"/>
    <w:rsid w:val="00AF195D"/>
    <w:rsid w:val="00AF28AF"/>
    <w:rsid w:val="00AF2DCD"/>
    <w:rsid w:val="00AF2E81"/>
    <w:rsid w:val="00AF5446"/>
    <w:rsid w:val="00AF7E94"/>
    <w:rsid w:val="00B01CA8"/>
    <w:rsid w:val="00B02A93"/>
    <w:rsid w:val="00B02B2E"/>
    <w:rsid w:val="00B03374"/>
    <w:rsid w:val="00B04569"/>
    <w:rsid w:val="00B076D0"/>
    <w:rsid w:val="00B12CA3"/>
    <w:rsid w:val="00B1315D"/>
    <w:rsid w:val="00B13481"/>
    <w:rsid w:val="00B14B5A"/>
    <w:rsid w:val="00B22839"/>
    <w:rsid w:val="00B229CD"/>
    <w:rsid w:val="00B23180"/>
    <w:rsid w:val="00B23EBF"/>
    <w:rsid w:val="00B26669"/>
    <w:rsid w:val="00B31B05"/>
    <w:rsid w:val="00B31E95"/>
    <w:rsid w:val="00B32312"/>
    <w:rsid w:val="00B34FDC"/>
    <w:rsid w:val="00B36CEC"/>
    <w:rsid w:val="00B426C5"/>
    <w:rsid w:val="00B4401C"/>
    <w:rsid w:val="00B44607"/>
    <w:rsid w:val="00B46696"/>
    <w:rsid w:val="00B46788"/>
    <w:rsid w:val="00B469E1"/>
    <w:rsid w:val="00B47330"/>
    <w:rsid w:val="00B53443"/>
    <w:rsid w:val="00B64961"/>
    <w:rsid w:val="00B649E9"/>
    <w:rsid w:val="00B67C32"/>
    <w:rsid w:val="00B70451"/>
    <w:rsid w:val="00B71D8A"/>
    <w:rsid w:val="00B72327"/>
    <w:rsid w:val="00B727D3"/>
    <w:rsid w:val="00B74431"/>
    <w:rsid w:val="00B77EE5"/>
    <w:rsid w:val="00B82661"/>
    <w:rsid w:val="00B82830"/>
    <w:rsid w:val="00B82D1B"/>
    <w:rsid w:val="00B838EE"/>
    <w:rsid w:val="00B902D7"/>
    <w:rsid w:val="00B9215D"/>
    <w:rsid w:val="00B95AA1"/>
    <w:rsid w:val="00B95C24"/>
    <w:rsid w:val="00BA36E8"/>
    <w:rsid w:val="00BA44C1"/>
    <w:rsid w:val="00BA50EE"/>
    <w:rsid w:val="00BB15D4"/>
    <w:rsid w:val="00BB5C86"/>
    <w:rsid w:val="00BB6B97"/>
    <w:rsid w:val="00BB6DEE"/>
    <w:rsid w:val="00BB7125"/>
    <w:rsid w:val="00BC23D8"/>
    <w:rsid w:val="00BC3C99"/>
    <w:rsid w:val="00BC4744"/>
    <w:rsid w:val="00BC5B90"/>
    <w:rsid w:val="00BD0DBE"/>
    <w:rsid w:val="00BD3E2D"/>
    <w:rsid w:val="00BD4165"/>
    <w:rsid w:val="00BD570F"/>
    <w:rsid w:val="00BD672A"/>
    <w:rsid w:val="00BD6B5F"/>
    <w:rsid w:val="00BE1401"/>
    <w:rsid w:val="00BE1A47"/>
    <w:rsid w:val="00BE2B93"/>
    <w:rsid w:val="00BE39AB"/>
    <w:rsid w:val="00BE3B3A"/>
    <w:rsid w:val="00BE4C6A"/>
    <w:rsid w:val="00BE4C88"/>
    <w:rsid w:val="00BE5D20"/>
    <w:rsid w:val="00BE772E"/>
    <w:rsid w:val="00BE7D86"/>
    <w:rsid w:val="00BF0EDC"/>
    <w:rsid w:val="00BF18E2"/>
    <w:rsid w:val="00BF4171"/>
    <w:rsid w:val="00BF43D3"/>
    <w:rsid w:val="00BF5703"/>
    <w:rsid w:val="00BF6DF4"/>
    <w:rsid w:val="00C0295F"/>
    <w:rsid w:val="00C03630"/>
    <w:rsid w:val="00C0721A"/>
    <w:rsid w:val="00C11C99"/>
    <w:rsid w:val="00C125BC"/>
    <w:rsid w:val="00C13CF0"/>
    <w:rsid w:val="00C14B01"/>
    <w:rsid w:val="00C14EF4"/>
    <w:rsid w:val="00C15748"/>
    <w:rsid w:val="00C161F1"/>
    <w:rsid w:val="00C20776"/>
    <w:rsid w:val="00C212A4"/>
    <w:rsid w:val="00C230D5"/>
    <w:rsid w:val="00C23B7B"/>
    <w:rsid w:val="00C25A64"/>
    <w:rsid w:val="00C31BA0"/>
    <w:rsid w:val="00C34F56"/>
    <w:rsid w:val="00C3673E"/>
    <w:rsid w:val="00C370B5"/>
    <w:rsid w:val="00C406EB"/>
    <w:rsid w:val="00C432C8"/>
    <w:rsid w:val="00C45483"/>
    <w:rsid w:val="00C567D0"/>
    <w:rsid w:val="00C60E06"/>
    <w:rsid w:val="00C645AA"/>
    <w:rsid w:val="00C64BBF"/>
    <w:rsid w:val="00C71BC0"/>
    <w:rsid w:val="00C81627"/>
    <w:rsid w:val="00C82766"/>
    <w:rsid w:val="00C926B6"/>
    <w:rsid w:val="00C93409"/>
    <w:rsid w:val="00C948E3"/>
    <w:rsid w:val="00C95B5E"/>
    <w:rsid w:val="00C9645F"/>
    <w:rsid w:val="00C975F5"/>
    <w:rsid w:val="00CA35E1"/>
    <w:rsid w:val="00CA62E8"/>
    <w:rsid w:val="00CB07C2"/>
    <w:rsid w:val="00CB5289"/>
    <w:rsid w:val="00CC03D7"/>
    <w:rsid w:val="00CC1E25"/>
    <w:rsid w:val="00CD4741"/>
    <w:rsid w:val="00CD584E"/>
    <w:rsid w:val="00CD5C80"/>
    <w:rsid w:val="00CD6C17"/>
    <w:rsid w:val="00CD7CC4"/>
    <w:rsid w:val="00CE0B66"/>
    <w:rsid w:val="00CE1810"/>
    <w:rsid w:val="00CE1A9C"/>
    <w:rsid w:val="00CE5431"/>
    <w:rsid w:val="00CE555E"/>
    <w:rsid w:val="00CF1917"/>
    <w:rsid w:val="00CF22BC"/>
    <w:rsid w:val="00CF43DA"/>
    <w:rsid w:val="00CF4646"/>
    <w:rsid w:val="00CF4E76"/>
    <w:rsid w:val="00CF65A6"/>
    <w:rsid w:val="00D0070F"/>
    <w:rsid w:val="00D01D95"/>
    <w:rsid w:val="00D035CC"/>
    <w:rsid w:val="00D03E33"/>
    <w:rsid w:val="00D04692"/>
    <w:rsid w:val="00D062A6"/>
    <w:rsid w:val="00D0643F"/>
    <w:rsid w:val="00D11B8D"/>
    <w:rsid w:val="00D145D8"/>
    <w:rsid w:val="00D15643"/>
    <w:rsid w:val="00D17468"/>
    <w:rsid w:val="00D208C9"/>
    <w:rsid w:val="00D2310E"/>
    <w:rsid w:val="00D265E4"/>
    <w:rsid w:val="00D3044C"/>
    <w:rsid w:val="00D314FB"/>
    <w:rsid w:val="00D3408B"/>
    <w:rsid w:val="00D3448E"/>
    <w:rsid w:val="00D377BA"/>
    <w:rsid w:val="00D418FD"/>
    <w:rsid w:val="00D4395C"/>
    <w:rsid w:val="00D43CDF"/>
    <w:rsid w:val="00D6161E"/>
    <w:rsid w:val="00D6240A"/>
    <w:rsid w:val="00D63459"/>
    <w:rsid w:val="00D6501F"/>
    <w:rsid w:val="00D7471C"/>
    <w:rsid w:val="00D77AEB"/>
    <w:rsid w:val="00D77B2D"/>
    <w:rsid w:val="00D83CF2"/>
    <w:rsid w:val="00D845F5"/>
    <w:rsid w:val="00D864B7"/>
    <w:rsid w:val="00D87C27"/>
    <w:rsid w:val="00D87D92"/>
    <w:rsid w:val="00D9496C"/>
    <w:rsid w:val="00D94C32"/>
    <w:rsid w:val="00D97B2F"/>
    <w:rsid w:val="00DA0308"/>
    <w:rsid w:val="00DA1574"/>
    <w:rsid w:val="00DA2AD3"/>
    <w:rsid w:val="00DA3EEE"/>
    <w:rsid w:val="00DA5310"/>
    <w:rsid w:val="00DC01B1"/>
    <w:rsid w:val="00DC086D"/>
    <w:rsid w:val="00DC4B0E"/>
    <w:rsid w:val="00DC71B2"/>
    <w:rsid w:val="00DD021A"/>
    <w:rsid w:val="00DD2A2E"/>
    <w:rsid w:val="00DD35C0"/>
    <w:rsid w:val="00DD5138"/>
    <w:rsid w:val="00DE0CE7"/>
    <w:rsid w:val="00DE2607"/>
    <w:rsid w:val="00DF0896"/>
    <w:rsid w:val="00DF6AE6"/>
    <w:rsid w:val="00E005F6"/>
    <w:rsid w:val="00E00601"/>
    <w:rsid w:val="00E017F0"/>
    <w:rsid w:val="00E01DB0"/>
    <w:rsid w:val="00E026DE"/>
    <w:rsid w:val="00E06D9D"/>
    <w:rsid w:val="00E10782"/>
    <w:rsid w:val="00E109C1"/>
    <w:rsid w:val="00E10D22"/>
    <w:rsid w:val="00E129AD"/>
    <w:rsid w:val="00E151B2"/>
    <w:rsid w:val="00E17BD3"/>
    <w:rsid w:val="00E26452"/>
    <w:rsid w:val="00E276E8"/>
    <w:rsid w:val="00E31349"/>
    <w:rsid w:val="00E31F60"/>
    <w:rsid w:val="00E33512"/>
    <w:rsid w:val="00E339A2"/>
    <w:rsid w:val="00E35B24"/>
    <w:rsid w:val="00E36368"/>
    <w:rsid w:val="00E3726F"/>
    <w:rsid w:val="00E40D49"/>
    <w:rsid w:val="00E41291"/>
    <w:rsid w:val="00E4249C"/>
    <w:rsid w:val="00E44BE7"/>
    <w:rsid w:val="00E505D3"/>
    <w:rsid w:val="00E527BC"/>
    <w:rsid w:val="00E63641"/>
    <w:rsid w:val="00E64551"/>
    <w:rsid w:val="00E6665E"/>
    <w:rsid w:val="00E702AE"/>
    <w:rsid w:val="00E7302D"/>
    <w:rsid w:val="00E73075"/>
    <w:rsid w:val="00E73A48"/>
    <w:rsid w:val="00E74263"/>
    <w:rsid w:val="00E76032"/>
    <w:rsid w:val="00E84DA3"/>
    <w:rsid w:val="00E85767"/>
    <w:rsid w:val="00EA098D"/>
    <w:rsid w:val="00EA1E17"/>
    <w:rsid w:val="00EA3679"/>
    <w:rsid w:val="00EA569B"/>
    <w:rsid w:val="00EB3175"/>
    <w:rsid w:val="00EB33CB"/>
    <w:rsid w:val="00EB4383"/>
    <w:rsid w:val="00EC4ECB"/>
    <w:rsid w:val="00EC57C1"/>
    <w:rsid w:val="00EC5A2F"/>
    <w:rsid w:val="00ED00E0"/>
    <w:rsid w:val="00ED5116"/>
    <w:rsid w:val="00ED5881"/>
    <w:rsid w:val="00ED76FE"/>
    <w:rsid w:val="00EE4B4B"/>
    <w:rsid w:val="00EF261C"/>
    <w:rsid w:val="00F00818"/>
    <w:rsid w:val="00F020BF"/>
    <w:rsid w:val="00F05378"/>
    <w:rsid w:val="00F067D8"/>
    <w:rsid w:val="00F07B1F"/>
    <w:rsid w:val="00F10780"/>
    <w:rsid w:val="00F11550"/>
    <w:rsid w:val="00F14D46"/>
    <w:rsid w:val="00F207E4"/>
    <w:rsid w:val="00F236A0"/>
    <w:rsid w:val="00F244C3"/>
    <w:rsid w:val="00F24B7E"/>
    <w:rsid w:val="00F24ED5"/>
    <w:rsid w:val="00F26686"/>
    <w:rsid w:val="00F30715"/>
    <w:rsid w:val="00F32779"/>
    <w:rsid w:val="00F33DEA"/>
    <w:rsid w:val="00F40BC7"/>
    <w:rsid w:val="00F4612D"/>
    <w:rsid w:val="00F55CD0"/>
    <w:rsid w:val="00F5670E"/>
    <w:rsid w:val="00F60879"/>
    <w:rsid w:val="00F641C2"/>
    <w:rsid w:val="00F67BE4"/>
    <w:rsid w:val="00F7119F"/>
    <w:rsid w:val="00F839A4"/>
    <w:rsid w:val="00F94109"/>
    <w:rsid w:val="00F94C00"/>
    <w:rsid w:val="00F95BFB"/>
    <w:rsid w:val="00F963AE"/>
    <w:rsid w:val="00F97473"/>
    <w:rsid w:val="00FA065A"/>
    <w:rsid w:val="00FA0CB1"/>
    <w:rsid w:val="00FA0D86"/>
    <w:rsid w:val="00FA0F75"/>
    <w:rsid w:val="00FA24F0"/>
    <w:rsid w:val="00FA348D"/>
    <w:rsid w:val="00FA528C"/>
    <w:rsid w:val="00FA61E6"/>
    <w:rsid w:val="00FB062C"/>
    <w:rsid w:val="00FB1094"/>
    <w:rsid w:val="00FB158E"/>
    <w:rsid w:val="00FB2652"/>
    <w:rsid w:val="00FB4018"/>
    <w:rsid w:val="00FC2ECE"/>
    <w:rsid w:val="00FC7E5C"/>
    <w:rsid w:val="00FD0051"/>
    <w:rsid w:val="00FD4300"/>
    <w:rsid w:val="00FE0034"/>
    <w:rsid w:val="00FE7F88"/>
    <w:rsid w:val="00FF08A5"/>
    <w:rsid w:val="00FF24DA"/>
    <w:rsid w:val="00FF5410"/>
    <w:rsid w:val="00FF5A5E"/>
    <w:rsid w:val="00FF71D7"/>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64D916"/>
  <w15:chartTrackingRefBased/>
  <w15:docId w15:val="{FAAF5DA5-69B6-4C41-AC18-A0DB5CE70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036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036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73A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63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03630"/>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AF7E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E9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01C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C09"/>
  </w:style>
  <w:style w:type="paragraph" w:styleId="Footer">
    <w:name w:val="footer"/>
    <w:basedOn w:val="Normal"/>
    <w:link w:val="FooterChar"/>
    <w:uiPriority w:val="99"/>
    <w:unhideWhenUsed/>
    <w:rsid w:val="00201C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C09"/>
  </w:style>
  <w:style w:type="character" w:styleId="IntenseReference">
    <w:name w:val="Intense Reference"/>
    <w:basedOn w:val="DefaultParagraphFont"/>
    <w:uiPriority w:val="32"/>
    <w:qFormat/>
    <w:rsid w:val="004F08AF"/>
    <w:rPr>
      <w:b/>
      <w:bCs/>
      <w:smallCaps/>
      <w:color w:val="4472C4" w:themeColor="accent1"/>
      <w:spacing w:val="5"/>
    </w:rPr>
  </w:style>
  <w:style w:type="paragraph" w:styleId="BalloonText">
    <w:name w:val="Balloon Text"/>
    <w:basedOn w:val="Normal"/>
    <w:link w:val="BalloonTextChar"/>
    <w:uiPriority w:val="99"/>
    <w:semiHidden/>
    <w:unhideWhenUsed/>
    <w:rsid w:val="00C82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766"/>
    <w:rPr>
      <w:rFonts w:ascii="Segoe UI" w:hAnsi="Segoe UI" w:cs="Segoe UI"/>
      <w:sz w:val="18"/>
      <w:szCs w:val="18"/>
    </w:rPr>
  </w:style>
  <w:style w:type="table" w:styleId="TableGrid">
    <w:name w:val="Table Grid"/>
    <w:basedOn w:val="TableNormal"/>
    <w:uiPriority w:val="39"/>
    <w:rsid w:val="00633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73A48"/>
    <w:rPr>
      <w:rFonts w:asciiTheme="majorHAnsi" w:eastAsiaTheme="majorEastAsia" w:hAnsiTheme="majorHAnsi" w:cstheme="majorBidi"/>
      <w:color w:val="1F3763" w:themeColor="accent1" w:themeShade="7F"/>
      <w:sz w:val="24"/>
      <w:szCs w:val="24"/>
    </w:rPr>
  </w:style>
  <w:style w:type="paragraph" w:styleId="TableofFigures">
    <w:name w:val="table of figures"/>
    <w:basedOn w:val="Normal"/>
    <w:next w:val="Normal"/>
    <w:uiPriority w:val="99"/>
    <w:semiHidden/>
    <w:unhideWhenUsed/>
    <w:rsid w:val="00BE4C6A"/>
    <w:pPr>
      <w:spacing w:after="0"/>
    </w:pPr>
  </w:style>
  <w:style w:type="paragraph" w:customStyle="1" w:styleId="10Normal01-FirstParagraph">
    <w:name w:val="10 Normal01-FirstParagraph"/>
    <w:next w:val="Normal"/>
    <w:qFormat/>
    <w:rsid w:val="001258C7"/>
    <w:pPr>
      <w:spacing w:before="400" w:after="400" w:line="360" w:lineRule="auto"/>
      <w:jc w:val="both"/>
    </w:pPr>
    <w:rPr>
      <w:rFonts w:ascii="Times New Roman" w:eastAsia="MS Mincho" w:hAnsi="Times New Roman" w:cs="Times New Roman"/>
      <w:sz w:val="24"/>
      <w:szCs w:val="24"/>
    </w:rPr>
  </w:style>
  <w:style w:type="character" w:styleId="Emphasis">
    <w:name w:val="Emphasis"/>
    <w:basedOn w:val="DefaultParagraphFont"/>
    <w:uiPriority w:val="20"/>
    <w:qFormat/>
    <w:rsid w:val="0044287A"/>
    <w:rPr>
      <w:i/>
      <w:iCs/>
    </w:rPr>
  </w:style>
  <w:style w:type="paragraph" w:customStyle="1" w:styleId="11Normal02-SecondOnwardParagraph">
    <w:name w:val="11 Normal02-Second&amp;OnwardParagraph"/>
    <w:qFormat/>
    <w:rsid w:val="0044287A"/>
    <w:pPr>
      <w:spacing w:before="400" w:after="400" w:line="360" w:lineRule="auto"/>
      <w:ind w:firstLine="720"/>
      <w:jc w:val="both"/>
    </w:pPr>
    <w:rPr>
      <w:rFonts w:ascii="Times New Roman" w:eastAsia="MS Mincho" w:hAnsi="Times New Roman" w:cs="Arial"/>
      <w:sz w:val="24"/>
      <w:szCs w:val="24"/>
    </w:rPr>
  </w:style>
  <w:style w:type="paragraph" w:styleId="ListParagraph">
    <w:name w:val="List Paragraph"/>
    <w:basedOn w:val="Normal"/>
    <w:uiPriority w:val="34"/>
    <w:qFormat/>
    <w:rsid w:val="00DD35C0"/>
    <w:pPr>
      <w:ind w:left="720"/>
      <w:contextualSpacing/>
    </w:pPr>
  </w:style>
  <w:style w:type="paragraph" w:styleId="Caption">
    <w:name w:val="caption"/>
    <w:basedOn w:val="Normal"/>
    <w:next w:val="Normal"/>
    <w:uiPriority w:val="35"/>
    <w:unhideWhenUsed/>
    <w:qFormat/>
    <w:rsid w:val="000A08AE"/>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4C5B87"/>
    <w:rPr>
      <w:sz w:val="16"/>
      <w:szCs w:val="16"/>
    </w:rPr>
  </w:style>
  <w:style w:type="paragraph" w:styleId="CommentText">
    <w:name w:val="annotation text"/>
    <w:basedOn w:val="Normal"/>
    <w:link w:val="CommentTextChar"/>
    <w:uiPriority w:val="99"/>
    <w:semiHidden/>
    <w:unhideWhenUsed/>
    <w:rsid w:val="004C5B87"/>
    <w:pPr>
      <w:spacing w:line="240" w:lineRule="auto"/>
    </w:pPr>
    <w:rPr>
      <w:sz w:val="20"/>
      <w:szCs w:val="20"/>
    </w:rPr>
  </w:style>
  <w:style w:type="character" w:customStyle="1" w:styleId="CommentTextChar">
    <w:name w:val="Comment Text Char"/>
    <w:basedOn w:val="DefaultParagraphFont"/>
    <w:link w:val="CommentText"/>
    <w:uiPriority w:val="99"/>
    <w:semiHidden/>
    <w:rsid w:val="004C5B87"/>
    <w:rPr>
      <w:sz w:val="20"/>
      <w:szCs w:val="20"/>
    </w:rPr>
  </w:style>
  <w:style w:type="paragraph" w:styleId="CommentSubject">
    <w:name w:val="annotation subject"/>
    <w:basedOn w:val="CommentText"/>
    <w:next w:val="CommentText"/>
    <w:link w:val="CommentSubjectChar"/>
    <w:uiPriority w:val="99"/>
    <w:semiHidden/>
    <w:unhideWhenUsed/>
    <w:rsid w:val="004C5B87"/>
    <w:rPr>
      <w:b/>
      <w:bCs/>
    </w:rPr>
  </w:style>
  <w:style w:type="character" w:customStyle="1" w:styleId="CommentSubjectChar">
    <w:name w:val="Comment Subject Char"/>
    <w:basedOn w:val="CommentTextChar"/>
    <w:link w:val="CommentSubject"/>
    <w:uiPriority w:val="99"/>
    <w:semiHidden/>
    <w:rsid w:val="004C5B87"/>
    <w:rPr>
      <w:b/>
      <w:bCs/>
      <w:sz w:val="20"/>
      <w:szCs w:val="20"/>
    </w:rPr>
  </w:style>
  <w:style w:type="paragraph" w:styleId="Revision">
    <w:name w:val="Revision"/>
    <w:hidden/>
    <w:uiPriority w:val="99"/>
    <w:semiHidden/>
    <w:rsid w:val="00EC5A2F"/>
    <w:pPr>
      <w:spacing w:after="0" w:line="240" w:lineRule="auto"/>
    </w:pPr>
  </w:style>
  <w:style w:type="character" w:styleId="Hyperlink">
    <w:name w:val="Hyperlink"/>
    <w:basedOn w:val="DefaultParagraphFont"/>
    <w:uiPriority w:val="99"/>
    <w:unhideWhenUsed/>
    <w:rsid w:val="00F97473"/>
    <w:rPr>
      <w:color w:val="0000FF"/>
      <w:u w:val="single"/>
    </w:rPr>
  </w:style>
  <w:style w:type="character" w:styleId="LineNumber">
    <w:name w:val="line number"/>
    <w:basedOn w:val="DefaultParagraphFont"/>
    <w:uiPriority w:val="99"/>
    <w:semiHidden/>
    <w:unhideWhenUsed/>
    <w:rsid w:val="00563B68"/>
  </w:style>
  <w:style w:type="character" w:customStyle="1" w:styleId="UnresolvedMention1">
    <w:name w:val="Unresolved Mention1"/>
    <w:basedOn w:val="DefaultParagraphFont"/>
    <w:uiPriority w:val="99"/>
    <w:semiHidden/>
    <w:unhideWhenUsed/>
    <w:rsid w:val="00DD5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63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5C6FB-8E24-49A3-A735-C573A74E1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8066</Words>
  <Characters>45978</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ATHIRAH NASERRUDIN</dc:creator>
  <cp:keywords/>
  <dc:description/>
  <cp:lastModifiedBy>Kamruddin</cp:lastModifiedBy>
  <cp:revision>5</cp:revision>
  <cp:lastPrinted>2020-12-25T15:11:00Z</cp:lastPrinted>
  <dcterms:created xsi:type="dcterms:W3CDTF">2021-12-26T06:31:00Z</dcterms:created>
  <dcterms:modified xsi:type="dcterms:W3CDTF">2021-12-26T06:42:00Z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bd9c28d0-6422-3636-8f58-78f484d9d0e4</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http://www.zotero.org/styles/bmj-open</vt:lpwstr>
  </property>
  <property fmtid="{D5CDD505-2E9C-101B-9397-08002B2CF9AE}" pid="10" name="Mendeley Recent Style Name 2_1">
    <vt:lpwstr>BMJ Open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http://csl.mendeley.com/styles/25600161/Gaya-UKM-2017</vt:lpwstr>
  </property>
  <property fmtid="{D5CDD505-2E9C-101B-9397-08002B2CF9AE}" pid="16" name="Mendeley Recent Style Name 5_1">
    <vt:lpwstr>GayaUKM-2017NT - Noraini Talib</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