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A2" w:rsidRDefault="009F17F4">
      <w:pPr>
        <w:spacing w:line="360" w:lineRule="auto"/>
        <w:rPr>
          <w:rFonts w:ascii="Times New Roman" w:eastAsia="等线" w:hAnsi="Times New Roman" w:cs="Times New Roman"/>
          <w:b/>
          <w:bCs/>
          <w:szCs w:val="21"/>
        </w:rPr>
      </w:pPr>
      <w:bookmarkStart w:id="0" w:name="_GoBack"/>
      <w:bookmarkEnd w:id="0"/>
      <w:r>
        <w:rPr>
          <w:rFonts w:ascii="Times New Roman" w:eastAsia="等线" w:hAnsi="Times New Roman" w:cs="Times New Roman" w:hint="eastAsia"/>
          <w:b/>
          <w:bCs/>
          <w:szCs w:val="21"/>
        </w:rPr>
        <w:t>Add</w:t>
      </w:r>
      <w:r>
        <w:rPr>
          <w:rFonts w:ascii="Times New Roman" w:eastAsia="等线" w:hAnsi="Times New Roman" w:cs="Times New Roman"/>
          <w:b/>
          <w:bCs/>
          <w:szCs w:val="21"/>
        </w:rPr>
        <w:t xml:space="preserve">itional 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file </w:t>
      </w:r>
      <w:r>
        <w:rPr>
          <w:rFonts w:ascii="Times New Roman" w:eastAsia="等线" w:hAnsi="Times New Roman" w:cs="Times New Roman"/>
          <w:b/>
          <w:bCs/>
          <w:szCs w:val="21"/>
        </w:rPr>
        <w:t>10</w:t>
      </w:r>
    </w:p>
    <w:p w:rsidR="00AF14A2" w:rsidRDefault="009F17F4">
      <w:pPr>
        <w:spacing w:line="36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The 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predict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ed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3D structural diagram of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i/>
          <w:iCs/>
          <w:szCs w:val="21"/>
        </w:rPr>
        <w:t xml:space="preserve">P. vivax </w:t>
      </w:r>
      <w:r>
        <w:rPr>
          <w:rFonts w:ascii="Times New Roman" w:eastAsia="等线" w:hAnsi="Times New Roman" w:cs="Times New Roman"/>
          <w:b/>
          <w:bCs/>
          <w:szCs w:val="21"/>
        </w:rPr>
        <w:t>multidrug resistance protein 1 (</w:t>
      </w:r>
      <w:r>
        <w:rPr>
          <w:rFonts w:ascii="Times New Roman" w:eastAsia="等线" w:hAnsi="Times New Roman" w:cs="Times New Roman"/>
          <w:b/>
          <w:bCs/>
          <w:i/>
          <w:iCs/>
          <w:szCs w:val="21"/>
        </w:rPr>
        <w:t>Pv</w:t>
      </w:r>
      <w:r>
        <w:rPr>
          <w:rFonts w:ascii="Times New Roman" w:eastAsia="等线" w:hAnsi="Times New Roman" w:cs="Times New Roman"/>
          <w:b/>
          <w:bCs/>
          <w:szCs w:val="21"/>
        </w:rPr>
        <w:t>MDR1)</w:t>
      </w:r>
    </w:p>
    <w:p w:rsidR="00AF14A2" w:rsidRDefault="00AF14A2">
      <w:pPr>
        <w:spacing w:line="360" w:lineRule="auto"/>
        <w:rPr>
          <w:rFonts w:ascii="Times New Roman" w:eastAsia="等线" w:hAnsi="Times New Roman" w:cs="Times New Roman"/>
          <w:b/>
          <w:bCs/>
          <w:szCs w:val="21"/>
        </w:rPr>
      </w:pPr>
    </w:p>
    <w:p w:rsidR="00AF14A2" w:rsidRDefault="009F17F4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 xml:space="preserve">The 3D structure of </w:t>
      </w:r>
      <w:bookmarkStart w:id="1" w:name="OLE_LINK2"/>
      <w:r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bookmarkStart w:id="2" w:name="OLE_LINK1"/>
      <w:r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. vivax </w:t>
      </w:r>
      <w:r>
        <w:rPr>
          <w:rFonts w:ascii="Times New Roman" w:eastAsia="等线" w:hAnsi="Times New Roman" w:cs="Times New Roman"/>
          <w:sz w:val="24"/>
          <w:szCs w:val="24"/>
        </w:rPr>
        <w:t>multidrug resistance protein 1</w:t>
      </w:r>
      <w:bookmarkEnd w:id="2"/>
      <w:r>
        <w:rPr>
          <w:rFonts w:ascii="Times New Roman" w:eastAsia="等线" w:hAnsi="Times New Roman" w:cs="Times New Roman"/>
          <w:sz w:val="24"/>
          <w:szCs w:val="24"/>
        </w:rPr>
        <w:t xml:space="preserve"> (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Pv</w:t>
      </w:r>
      <w:r>
        <w:rPr>
          <w:rFonts w:ascii="Times New Roman" w:eastAsia="等线" w:hAnsi="Times New Roman" w:cs="Times New Roman"/>
          <w:sz w:val="24"/>
          <w:szCs w:val="24"/>
        </w:rPr>
        <w:t>MDR1)</w:t>
      </w:r>
      <w:bookmarkEnd w:id="1"/>
      <w:r>
        <w:rPr>
          <w:rFonts w:ascii="Times New Roman" w:eastAsia="等线" w:hAnsi="Times New Roman" w:cs="Times New Roman"/>
          <w:sz w:val="24"/>
          <w:szCs w:val="24"/>
        </w:rPr>
        <w:t xml:space="preserve"> was predicted using SWISS-MODEL (https://swissmodel.expasy.org/interactive) online software, with 7qks used as a template, and the variant sites were edited using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PyMoL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2.3.4 software.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Pv</w:t>
      </w:r>
      <w:r>
        <w:rPr>
          <w:rFonts w:ascii="Times New Roman" w:eastAsia="等线" w:hAnsi="Times New Roman" w:cs="Times New Roman"/>
          <w:sz w:val="24"/>
          <w:szCs w:val="24"/>
        </w:rPr>
        <w:t xml:space="preserve">MDR1 as the digestive </w:t>
      </w:r>
      <w:bookmarkStart w:id="3" w:name="_Hlk129446827"/>
      <w:r>
        <w:rPr>
          <w:rFonts w:ascii="Times New Roman" w:eastAsia="等线" w:hAnsi="Times New Roman" w:cs="Times New Roman"/>
          <w:sz w:val="24"/>
          <w:szCs w:val="24"/>
        </w:rPr>
        <w:t>vesicle</w:t>
      </w:r>
      <w:bookmarkEnd w:id="3"/>
      <w:r>
        <w:rPr>
          <w:rFonts w:ascii="Times New Roman" w:eastAsia="等线" w:hAnsi="Times New Roman" w:cs="Times New Roman"/>
          <w:sz w:val="24"/>
          <w:szCs w:val="24"/>
        </w:rPr>
        <w:t xml:space="preserve"> membrane protein of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P. vivax</w:t>
      </w:r>
      <w:r>
        <w:rPr>
          <w:rFonts w:ascii="Times New Roman" w:eastAsia="等线" w:hAnsi="Times New Roman" w:cs="Times New Roman"/>
          <w:sz w:val="24"/>
          <w:szCs w:val="24"/>
        </w:rPr>
        <w:t>, accounts</w:t>
      </w:r>
      <w:r>
        <w:rPr>
          <w:rFonts w:ascii="Times New Roman" w:eastAsia="等线" w:hAnsi="Times New Roman" w:cs="Times New Roman"/>
          <w:sz w:val="24"/>
          <w:szCs w:val="24"/>
        </w:rPr>
        <w:t xml:space="preserve"> for about 2/3 of the amino acid chain immerses in digestive vesicle; all 12 transmembrane domains are α-helical structures spanning 62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-84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99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-121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171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-193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197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-216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281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-303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323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-345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825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-847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867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-889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940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-962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966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-985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</w:t>
      </w:r>
      <w:r>
        <w:rPr>
          <w:rFonts w:ascii="Times New Roman" w:eastAsia="等线" w:hAnsi="Times New Roman" w:cs="Times New Roman" w:hint="eastAsia"/>
          <w:sz w:val="24"/>
          <w:szCs w:val="24"/>
        </w:rPr>
        <w:t>、</w:t>
      </w:r>
      <w:r>
        <w:rPr>
          <w:rFonts w:ascii="Times New Roman" w:eastAsia="等线" w:hAnsi="Times New Roman" w:cs="Times New Roman"/>
          <w:sz w:val="24"/>
          <w:szCs w:val="24"/>
        </w:rPr>
        <w:t>1062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-1084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 and 1100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-1121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 xml:space="preserve"> aa; </w:t>
      </w:r>
      <w:proofErr w:type="gramStart"/>
      <w:r>
        <w:rPr>
          <w:rFonts w:ascii="Times New Roman" w:eastAsia="等线" w:hAnsi="Times New Roman" w:cs="Times New Roman"/>
          <w:sz w:val="24"/>
          <w:szCs w:val="24"/>
        </w:rPr>
        <w:t>the</w:t>
      </w:r>
      <w:proofErr w:type="gramEnd"/>
      <w:r>
        <w:rPr>
          <w:rFonts w:ascii="Times New Roman" w:eastAsia="等线" w:hAnsi="Times New Roman" w:cs="Times New Roman"/>
          <w:sz w:val="24"/>
          <w:szCs w:val="24"/>
        </w:rPr>
        <w:t xml:space="preserve"> two segments of the β-sheet structure reside outside the digestive vesicle, with both extending about 4 aa in sequence length [46].</w:t>
      </w:r>
    </w:p>
    <w:p w:rsidR="00AF14A2" w:rsidRDefault="00AF14A2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:rsidR="00AF14A2" w:rsidRDefault="009F17F4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The 3D spatial structure of</w:t>
      </w:r>
      <w:bookmarkStart w:id="4" w:name="_Hlk129551630"/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Pv</w:t>
      </w:r>
      <w:r>
        <w:rPr>
          <w:rFonts w:ascii="Times New Roman" w:eastAsia="等线" w:hAnsi="Times New Roman" w:cs="Times New Roman"/>
          <w:sz w:val="24"/>
          <w:szCs w:val="24"/>
        </w:rPr>
        <w:t xml:space="preserve">MDR1 </w:t>
      </w:r>
      <w:bookmarkEnd w:id="4"/>
      <w:r>
        <w:rPr>
          <w:rFonts w:ascii="Times New Roman" w:eastAsia="等线" w:hAnsi="Times New Roman" w:cs="Times New Roman"/>
          <w:sz w:val="24"/>
          <w:szCs w:val="24"/>
        </w:rPr>
        <w:t>was shown as the sha</w:t>
      </w:r>
      <w:r>
        <w:rPr>
          <w:rFonts w:ascii="Times New Roman" w:eastAsia="等线" w:hAnsi="Times New Roman" w:cs="Times New Roman"/>
          <w:sz w:val="24"/>
          <w:szCs w:val="24"/>
        </w:rPr>
        <w:t xml:space="preserve">pe of a "V", with the two arms of the "V" and the apical base being inside and outside the digestive </w:t>
      </w:r>
      <w:bookmarkStart w:id="5" w:name="_Hlk129552374"/>
      <w:r>
        <w:rPr>
          <w:rFonts w:ascii="Times New Roman" w:eastAsia="等线" w:hAnsi="Times New Roman" w:cs="Times New Roman"/>
          <w:sz w:val="24"/>
          <w:szCs w:val="24"/>
        </w:rPr>
        <w:t>vesicle</w:t>
      </w:r>
      <w:bookmarkEnd w:id="5"/>
      <w:r>
        <w:rPr>
          <w:rFonts w:ascii="Times New Roman" w:eastAsia="等线" w:hAnsi="Times New Roman" w:cs="Times New Roman"/>
          <w:sz w:val="24"/>
          <w:szCs w:val="24"/>
        </w:rPr>
        <w:t xml:space="preserve">, respectively, and the TMD of </w:t>
      </w:r>
      <w:bookmarkStart w:id="6" w:name="_Hlk129551778"/>
      <w:r>
        <w:rPr>
          <w:rFonts w:ascii="Times New Roman" w:eastAsia="等线" w:hAnsi="Times New Roman" w:cs="Times New Roman"/>
          <w:i/>
          <w:iCs/>
          <w:sz w:val="24"/>
          <w:szCs w:val="24"/>
        </w:rPr>
        <w:t>Pv</w:t>
      </w:r>
      <w:r>
        <w:rPr>
          <w:rFonts w:ascii="Times New Roman" w:eastAsia="等线" w:hAnsi="Times New Roman" w:cs="Times New Roman"/>
          <w:sz w:val="24"/>
          <w:szCs w:val="24"/>
        </w:rPr>
        <w:t xml:space="preserve">MDR1 </w:t>
      </w:r>
      <w:bookmarkEnd w:id="6"/>
      <w:r>
        <w:rPr>
          <w:rFonts w:ascii="Times New Roman" w:eastAsia="等线" w:hAnsi="Times New Roman" w:cs="Times New Roman"/>
          <w:sz w:val="24"/>
          <w:szCs w:val="24"/>
        </w:rPr>
        <w:t xml:space="preserve">being between them (Fig. 1a). The peptide chain lengths of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Pv</w:t>
      </w:r>
      <w:r>
        <w:rPr>
          <w:rFonts w:ascii="Times New Roman" w:eastAsia="等线" w:hAnsi="Times New Roman" w:cs="Times New Roman"/>
          <w:sz w:val="24"/>
          <w:szCs w:val="24"/>
        </w:rPr>
        <w:t>MDR1 in the intra-vesicular, transmembrane, and e</w:t>
      </w:r>
      <w:r>
        <w:rPr>
          <w:rFonts w:ascii="Times New Roman" w:eastAsia="等线" w:hAnsi="Times New Roman" w:cs="Times New Roman"/>
          <w:sz w:val="24"/>
          <w:szCs w:val="24"/>
        </w:rPr>
        <w:t xml:space="preserve">xtra-vesicular membrane surfaces were 53.2% (779 aa/1464 </w:t>
      </w:r>
      <w:proofErr w:type="gramStart"/>
      <w:r>
        <w:rPr>
          <w:rFonts w:ascii="Times New Roman" w:eastAsia="等线" w:hAnsi="Times New Roman" w:cs="Times New Roman"/>
          <w:sz w:val="24"/>
          <w:szCs w:val="24"/>
        </w:rPr>
        <w:t>aa</w:t>
      </w:r>
      <w:proofErr w:type="gramEnd"/>
      <w:r>
        <w:rPr>
          <w:rFonts w:ascii="Times New Roman" w:eastAsia="等线" w:hAnsi="Times New Roman" w:cs="Times New Roman"/>
          <w:sz w:val="24"/>
          <w:szCs w:val="24"/>
        </w:rPr>
        <w:t>), 24.5% (358 aa/1464 aa), and 22.3% (327 aa/1464 aa), respectively.</w:t>
      </w:r>
    </w:p>
    <w:p w:rsidR="00AF14A2" w:rsidRDefault="00AF14A2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:rsidR="00AF14A2" w:rsidRDefault="009F17F4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 xml:space="preserve">Of the 52 amino acids affected by SNPs, 12 were in the TMD, namely </w:t>
      </w:r>
      <w:bookmarkStart w:id="7" w:name="_Hlk132371315"/>
      <w:r>
        <w:rPr>
          <w:rFonts w:ascii="Times New Roman" w:eastAsia="等线" w:hAnsi="Times New Roman" w:cs="Times New Roman"/>
          <w:sz w:val="24"/>
          <w:szCs w:val="24"/>
        </w:rPr>
        <w:t>c.516C&gt;T</w:t>
      </w:r>
      <w:bookmarkEnd w:id="7"/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G172G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bookmarkStart w:id="8" w:name="_Hlk132371575"/>
      <w:r>
        <w:rPr>
          <w:rFonts w:ascii="Times New Roman" w:eastAsia="等线" w:hAnsi="Times New Roman" w:cs="Times New Roman"/>
          <w:sz w:val="24"/>
          <w:szCs w:val="24"/>
        </w:rPr>
        <w:t>c.543C&gt;T</w:t>
      </w:r>
      <w:bookmarkEnd w:id="8"/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Y181Y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r>
        <w:rPr>
          <w:rFonts w:ascii="Times New Roman" w:eastAsia="等线" w:hAnsi="Times New Roman" w:cs="Times New Roman"/>
          <w:sz w:val="24"/>
          <w:szCs w:val="24"/>
        </w:rPr>
        <w:t>c.553T&gt;C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F185L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bookmarkStart w:id="9" w:name="_Hlk132371634"/>
      <w:r>
        <w:rPr>
          <w:rFonts w:ascii="Times New Roman" w:eastAsia="等线" w:hAnsi="Times New Roman" w:cs="Times New Roman"/>
          <w:sz w:val="24"/>
          <w:szCs w:val="24"/>
        </w:rPr>
        <w:t>c.2499G&gt;T</w:t>
      </w:r>
      <w:bookmarkEnd w:id="9"/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M8</w:t>
      </w:r>
      <w:r>
        <w:rPr>
          <w:rFonts w:ascii="Times New Roman" w:eastAsia="等线" w:hAnsi="Times New Roman" w:cs="Times New Roman"/>
          <w:sz w:val="24"/>
          <w:szCs w:val="24"/>
        </w:rPr>
        <w:t>33I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r>
        <w:rPr>
          <w:rFonts w:ascii="Times New Roman" w:eastAsia="等线" w:hAnsi="Times New Roman" w:cs="Times New Roman"/>
          <w:sz w:val="24"/>
          <w:szCs w:val="24"/>
        </w:rPr>
        <w:lastRenderedPageBreak/>
        <w:t>c.2524T&gt;A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F842I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r>
        <w:rPr>
          <w:rFonts w:ascii="Times New Roman" w:eastAsia="等线" w:hAnsi="Times New Roman" w:cs="Times New Roman"/>
          <w:sz w:val="24"/>
          <w:szCs w:val="24"/>
        </w:rPr>
        <w:t>c.2533C&gt;T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L845F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r>
        <w:rPr>
          <w:rFonts w:ascii="Times New Roman" w:eastAsia="等线" w:hAnsi="Times New Roman" w:cs="Times New Roman"/>
          <w:sz w:val="24"/>
          <w:szCs w:val="24"/>
        </w:rPr>
        <w:t>c.2873C&gt;T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T958M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r>
        <w:rPr>
          <w:rFonts w:ascii="Times New Roman" w:eastAsia="等线" w:hAnsi="Times New Roman" w:cs="Times New Roman"/>
          <w:sz w:val="24"/>
          <w:szCs w:val="24"/>
        </w:rPr>
        <w:t>c.2927A&gt;T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Y976F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r>
        <w:rPr>
          <w:rFonts w:ascii="Times New Roman" w:eastAsia="等线" w:hAnsi="Times New Roman" w:cs="Times New Roman"/>
          <w:sz w:val="24"/>
          <w:szCs w:val="24"/>
        </w:rPr>
        <w:t>c.3201C&gt;T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L1067L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r>
        <w:rPr>
          <w:rFonts w:ascii="Times New Roman" w:eastAsia="等线" w:hAnsi="Times New Roman" w:cs="Times New Roman"/>
          <w:sz w:val="24"/>
          <w:szCs w:val="24"/>
        </w:rPr>
        <w:t>c.3210C&gt;T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F1070F</w:t>
      </w:r>
      <w:r>
        <w:rPr>
          <w:rFonts w:ascii="Times New Roman" w:eastAsia="等线" w:hAnsi="Times New Roman" w:cs="Times New Roman"/>
          <w:sz w:val="24"/>
          <w:szCs w:val="24"/>
        </w:rPr>
        <w:t>），</w:t>
      </w:r>
      <w:r>
        <w:rPr>
          <w:rFonts w:ascii="Times New Roman" w:eastAsia="等线" w:hAnsi="Times New Roman" w:cs="Times New Roman"/>
          <w:sz w:val="24"/>
          <w:szCs w:val="24"/>
        </w:rPr>
        <w:t>c.3226T&gt;C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F1076L</w:t>
      </w:r>
      <w:r>
        <w:rPr>
          <w:rFonts w:ascii="Times New Roman" w:eastAsia="等线" w:hAnsi="Times New Roman" w:cs="Times New Roman"/>
          <w:sz w:val="24"/>
          <w:szCs w:val="24"/>
        </w:rPr>
        <w:t>）</w:t>
      </w:r>
      <w:r>
        <w:rPr>
          <w:rFonts w:ascii="Times New Roman" w:eastAsia="等线" w:hAnsi="Times New Roman" w:cs="Times New Roman"/>
          <w:sz w:val="24"/>
          <w:szCs w:val="24"/>
        </w:rPr>
        <w:t>, and c.3358C&gt;T</w:t>
      </w:r>
      <w:r>
        <w:rPr>
          <w:rFonts w:ascii="Times New Roman" w:eastAsia="等线" w:hAnsi="Times New Roman" w:cs="Times New Roman"/>
          <w:sz w:val="24"/>
          <w:szCs w:val="24"/>
        </w:rPr>
        <w:t>（</w:t>
      </w:r>
      <w:r>
        <w:rPr>
          <w:rFonts w:ascii="Times New Roman" w:eastAsia="等线" w:hAnsi="Times New Roman" w:cs="Times New Roman"/>
          <w:sz w:val="24"/>
          <w:szCs w:val="24"/>
        </w:rPr>
        <w:t>L1120L</w:t>
      </w:r>
      <w:r>
        <w:rPr>
          <w:rFonts w:ascii="Times New Roman" w:eastAsia="等线" w:hAnsi="Times New Roman" w:cs="Times New Roman"/>
          <w:sz w:val="24"/>
          <w:szCs w:val="24"/>
        </w:rPr>
        <w:t>）；</w:t>
      </w:r>
      <w:r>
        <w:rPr>
          <w:rFonts w:ascii="Times New Roman" w:eastAsia="等线" w:hAnsi="Times New Roman" w:cs="Times New Roman"/>
          <w:sz w:val="24"/>
          <w:szCs w:val="24"/>
        </w:rPr>
        <w:t>of these, three were in the 3rd TMD, three in the 7th TMD, one in the 9th TMD, and one in the 10th TMD, th</w:t>
      </w:r>
      <w:r>
        <w:rPr>
          <w:rFonts w:ascii="Times New Roman" w:eastAsia="等线" w:hAnsi="Times New Roman" w:cs="Times New Roman"/>
          <w:sz w:val="24"/>
          <w:szCs w:val="24"/>
        </w:rPr>
        <w:t xml:space="preserve">ree in the 11th TMD and one in the 12th TMD (Fig. 1b); the SNPs immersed in the digestive </w:t>
      </w:r>
      <w:bookmarkStart w:id="10" w:name="_Hlk129552437"/>
      <w:r>
        <w:rPr>
          <w:rFonts w:ascii="Times New Roman" w:eastAsia="等线" w:hAnsi="Times New Roman" w:cs="Times New Roman"/>
          <w:sz w:val="24"/>
          <w:szCs w:val="24"/>
        </w:rPr>
        <w:t>vesicle</w:t>
      </w:r>
      <w:bookmarkEnd w:id="10"/>
      <w:r>
        <w:rPr>
          <w:rFonts w:ascii="Times New Roman" w:eastAsia="等线" w:hAnsi="Times New Roman" w:cs="Times New Roman"/>
          <w:sz w:val="24"/>
          <w:szCs w:val="24"/>
        </w:rPr>
        <w:t xml:space="preserve"> included 22 synonymous mutations and 15 non-synonymous mutations, and were mainly concentrated in the middle and end of the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Pv</w:t>
      </w:r>
      <w:r>
        <w:rPr>
          <w:rFonts w:ascii="Times New Roman" w:eastAsia="等线" w:hAnsi="Times New Roman" w:cs="Times New Roman"/>
          <w:sz w:val="24"/>
          <w:szCs w:val="24"/>
        </w:rPr>
        <w:t>MDR1 peptide chain; the remainin</w:t>
      </w:r>
      <w:r>
        <w:rPr>
          <w:rFonts w:ascii="Times New Roman" w:eastAsia="等线" w:hAnsi="Times New Roman" w:cs="Times New Roman"/>
          <w:sz w:val="24"/>
          <w:szCs w:val="24"/>
        </w:rPr>
        <w:t>g 3 SNPs were on the surface of the outer membrane of the digestive vesicle.</w:t>
      </w:r>
    </w:p>
    <w:p w:rsidR="00AF14A2" w:rsidRDefault="00AF14A2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  <w:sectPr w:rsidR="00AF14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F14A2" w:rsidRDefault="009F17F4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8961755" cy="5067300"/>
                <wp:effectExtent l="0" t="0" r="10795" b="19050"/>
                <wp:wrapNone/>
                <wp:docPr id="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1755" cy="506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F14A2" w:rsidRDefault="009F17F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8128000" cy="4248150"/>
                                  <wp:effectExtent l="0" t="0" r="6350" b="0"/>
                                  <wp:docPr id="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28000" cy="424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14A2" w:rsidRDefault="00AF14A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</w:pPr>
                          </w:p>
                          <w:p w:rsidR="00AF14A2" w:rsidRDefault="009F17F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  <w:t xml:space="preserve">Fig.1 The spatial distribution of 52 amino acids affected by 52 SNPs at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Cs w:val="21"/>
                              </w:rPr>
                              <w:t>Pv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  <w:t>MDR1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4" o:spid="_x0000_s1026" o:spt="202" type="#_x0000_t202" style="position:absolute;left:0pt;margin-top:0.65pt;height:399pt;width:705.65pt;mso-position-horizontal:left;mso-position-horizontal-relative:margin;z-index:251659264;mso-width-relative:page;mso-height-relative:page;" fillcolor="#FFFFFF" filled="t" stroked="t" coordsize="21600,21600" o:gfxdata="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b+rqr1wAAAAcBAAAPAAAAAAAAAAEAIAAAACIA&#10;AABkcnMvZG93bnJldi54bWxQSwECFAAUAAAACACHTuJA4h35N0MCAACJBAAADgAAAAAAAAABACAA&#10;AAAm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Times New Roman" w:hAnsi="Times New Roman" w:eastAsia="Times New Roman"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8128000" cy="4248150"/>
                            <wp:effectExtent l="0" t="0" r="6350" b="0"/>
                            <wp:docPr id="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28000" cy="424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Cs w:val="21"/>
                        </w:rPr>
                        <w:t xml:space="preserve">Fig.1 The spatial distribution of 52 amino acids affected by 52 SNPs at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Cs w:val="21"/>
                        </w:rPr>
                        <w:t>Pv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Cs w:val="21"/>
                        </w:rPr>
                        <w:t>MDR1</w:t>
                      </w:r>
                    </w:p>
                  </w:txbxContent>
                </v:textbox>
              </v:shape>
            </w:pict>
          </mc:Fallback>
        </mc:AlternateContent>
      </w:r>
    </w:p>
    <w:p w:rsidR="00AF14A2" w:rsidRDefault="00AF14A2"/>
    <w:sectPr w:rsidR="00AF14A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F4" w:rsidRDefault="009F17F4" w:rsidP="009F17F4">
      <w:r>
        <w:separator/>
      </w:r>
    </w:p>
  </w:endnote>
  <w:endnote w:type="continuationSeparator" w:id="0">
    <w:p w:rsidR="009F17F4" w:rsidRDefault="009F17F4" w:rsidP="009F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F4" w:rsidRDefault="009F17F4" w:rsidP="009F17F4">
      <w:r>
        <w:separator/>
      </w:r>
    </w:p>
  </w:footnote>
  <w:footnote w:type="continuationSeparator" w:id="0">
    <w:p w:rsidR="009F17F4" w:rsidRDefault="009F17F4" w:rsidP="009F1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C72687"/>
    <w:rsid w:val="00011F3D"/>
    <w:rsid w:val="00063121"/>
    <w:rsid w:val="001D26F7"/>
    <w:rsid w:val="002546D4"/>
    <w:rsid w:val="002A29A4"/>
    <w:rsid w:val="002C6F3D"/>
    <w:rsid w:val="00434480"/>
    <w:rsid w:val="00451E1F"/>
    <w:rsid w:val="004608EA"/>
    <w:rsid w:val="004C289E"/>
    <w:rsid w:val="004E2241"/>
    <w:rsid w:val="00544388"/>
    <w:rsid w:val="00553ED7"/>
    <w:rsid w:val="00566703"/>
    <w:rsid w:val="00621DEE"/>
    <w:rsid w:val="00632FA9"/>
    <w:rsid w:val="00693507"/>
    <w:rsid w:val="006A361E"/>
    <w:rsid w:val="006B491B"/>
    <w:rsid w:val="006D5434"/>
    <w:rsid w:val="006F47F0"/>
    <w:rsid w:val="007177E4"/>
    <w:rsid w:val="00724CD7"/>
    <w:rsid w:val="00726F59"/>
    <w:rsid w:val="00743AE2"/>
    <w:rsid w:val="00776A72"/>
    <w:rsid w:val="007C62D3"/>
    <w:rsid w:val="00801783"/>
    <w:rsid w:val="0080420C"/>
    <w:rsid w:val="00817499"/>
    <w:rsid w:val="00877496"/>
    <w:rsid w:val="008D635F"/>
    <w:rsid w:val="00936A60"/>
    <w:rsid w:val="00985E10"/>
    <w:rsid w:val="009E6A91"/>
    <w:rsid w:val="009F17F4"/>
    <w:rsid w:val="00A3399A"/>
    <w:rsid w:val="00AC6192"/>
    <w:rsid w:val="00AF14A2"/>
    <w:rsid w:val="00B31E0F"/>
    <w:rsid w:val="00B72306"/>
    <w:rsid w:val="00B850D0"/>
    <w:rsid w:val="00BA56E0"/>
    <w:rsid w:val="00C72687"/>
    <w:rsid w:val="00D01366"/>
    <w:rsid w:val="00D569E3"/>
    <w:rsid w:val="00DA2337"/>
    <w:rsid w:val="00DF69D8"/>
    <w:rsid w:val="00E52CDB"/>
    <w:rsid w:val="00E732E0"/>
    <w:rsid w:val="00F07667"/>
    <w:rsid w:val="00F57813"/>
    <w:rsid w:val="00F65CA2"/>
    <w:rsid w:val="00F75802"/>
    <w:rsid w:val="00FD0005"/>
    <w:rsid w:val="00FE63F1"/>
    <w:rsid w:val="11547D40"/>
    <w:rsid w:val="1E601D4A"/>
    <w:rsid w:val="6827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1743</Characters>
  <Application>Microsoft Office Word</Application>
  <DocSecurity>4</DocSecurity>
  <Lines>14</Lines>
  <Paragraphs>4</Paragraphs>
  <ScaleCrop>false</ScaleCrop>
  <Company>Microsoft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</dc:creator>
  <cp:lastModifiedBy>user</cp:lastModifiedBy>
  <cp:revision>2</cp:revision>
  <dcterms:created xsi:type="dcterms:W3CDTF">2023-06-08T08:27:00Z</dcterms:created>
  <dcterms:modified xsi:type="dcterms:W3CDTF">2023-06-08T08:27:00Z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76BB4015A118487FB08A027B6BD60B71_13</vt:lpwstr>
  </property>
</Properties>
</file>