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DB2B6" w14:textId="04624836" w:rsidR="00B85E29" w:rsidRDefault="000C17A8" w:rsidP="00B85E29">
      <w:pPr>
        <w:spacing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Additional</w:t>
      </w:r>
      <w:r w:rsidR="00B85E29" w:rsidRPr="00B26DC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Fi</w:t>
      </w:r>
      <w:r w:rsidR="009D6209">
        <w:rPr>
          <w:rFonts w:ascii="Times New Roman" w:hAnsi="Times New Roman" w:cs="Times New Roman"/>
          <w:b/>
          <w:color w:val="000000"/>
          <w:sz w:val="24"/>
          <w:szCs w:val="24"/>
        </w:rPr>
        <w:t>le</w:t>
      </w:r>
    </w:p>
    <w:p w14:paraId="6C4BB5C5" w14:textId="408B6BF6" w:rsidR="009D6209" w:rsidRPr="00B85E29" w:rsidRDefault="009D6209" w:rsidP="009D6209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Table </w:t>
      </w:r>
      <w:r w:rsidR="000C17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</w:p>
    <w:p w14:paraId="2F8941AD" w14:textId="77777777" w:rsidR="009D6209" w:rsidRPr="00B26DCC" w:rsidRDefault="009D6209" w:rsidP="009D620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CC">
        <w:rPr>
          <w:rFonts w:ascii="Times New Roman" w:hAnsi="Times New Roman" w:cs="Times New Roman"/>
          <w:sz w:val="24"/>
          <w:szCs w:val="24"/>
        </w:rPr>
        <w:t xml:space="preserve">Allele frequency differentiation (FST) between different </w:t>
      </w:r>
      <w:r w:rsidRPr="00B26DCC">
        <w:rPr>
          <w:rFonts w:ascii="Times New Roman" w:hAnsi="Times New Roman" w:cs="Times New Roman"/>
          <w:i/>
          <w:sz w:val="24"/>
          <w:szCs w:val="24"/>
        </w:rPr>
        <w:t>An. coluzzii</w:t>
      </w:r>
      <w:r w:rsidRPr="00B26DCC">
        <w:rPr>
          <w:rFonts w:ascii="Times New Roman" w:hAnsi="Times New Roman" w:cs="Times New Roman"/>
          <w:sz w:val="24"/>
          <w:szCs w:val="24"/>
        </w:rPr>
        <w:t xml:space="preserve"> cohorts across Africa.</w:t>
      </w:r>
    </w:p>
    <w:p w14:paraId="3FA94E1C" w14:textId="087F75CA" w:rsidR="0024473C" w:rsidRDefault="009D6209" w:rsidP="009D620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CC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114300" distB="114300" distL="114300" distR="114300" wp14:anchorId="5D264DDB" wp14:editId="2185A18D">
            <wp:extent cx="5943600" cy="4559300"/>
            <wp:effectExtent l="0" t="0" r="0" b="0"/>
            <wp:docPr id="1431953451" name="image6.png" descr="A screenshot of a computer scree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953451" name="image6.png" descr="A screenshot of a computer screen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9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D688D9" w14:textId="77777777" w:rsidR="0024473C" w:rsidRDefault="0024473C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BDCA55" w14:textId="3FB98220" w:rsidR="00B85E29" w:rsidRPr="00B26DCC" w:rsidRDefault="00B85E29" w:rsidP="00B85E29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eading=h.17dp8vu" w:colFirst="0" w:colLast="0"/>
      <w:bookmarkEnd w:id="0"/>
      <w:r w:rsidRPr="00B26DCC">
        <w:rPr>
          <w:rFonts w:ascii="Times New Roman" w:hAnsi="Times New Roman" w:cs="Times New Roman"/>
          <w:b/>
          <w:color w:val="000000"/>
          <w:sz w:val="24"/>
          <w:szCs w:val="24"/>
        </w:rPr>
        <w:t>Figure S1</w:t>
      </w:r>
    </w:p>
    <w:p w14:paraId="4107ED08" w14:textId="1E297F7D" w:rsidR="00B47EBB" w:rsidRDefault="00B85E29" w:rsidP="00B85E2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6DCC">
        <w:rPr>
          <w:rFonts w:ascii="Times New Roman" w:hAnsi="Times New Roman" w:cs="Times New Roman"/>
          <w:sz w:val="24"/>
          <w:szCs w:val="24"/>
        </w:rPr>
        <w:t>Taxon</w:t>
      </w:r>
      <w:proofErr w:type="spellEnd"/>
      <w:r w:rsidRPr="00B26DCC">
        <w:rPr>
          <w:rFonts w:ascii="Times New Roman" w:hAnsi="Times New Roman" w:cs="Times New Roman"/>
          <w:sz w:val="24"/>
          <w:szCs w:val="24"/>
        </w:rPr>
        <w:t xml:space="preserve"> assignment using ancestry informative marker (AIM) genotypes. Plot rows represent an individual sample and columns are the AIM variants that have been genotyped. Each AIM is </w:t>
      </w:r>
      <w:proofErr w:type="spellStart"/>
      <w:r w:rsidRPr="00B26DCC">
        <w:rPr>
          <w:rFonts w:ascii="Times New Roman" w:hAnsi="Times New Roman" w:cs="Times New Roman"/>
          <w:sz w:val="24"/>
          <w:szCs w:val="24"/>
        </w:rPr>
        <w:t>coloured</w:t>
      </w:r>
      <w:proofErr w:type="spellEnd"/>
      <w:r w:rsidRPr="00B26DCC">
        <w:rPr>
          <w:rFonts w:ascii="Times New Roman" w:hAnsi="Times New Roman" w:cs="Times New Roman"/>
          <w:sz w:val="24"/>
          <w:szCs w:val="24"/>
        </w:rPr>
        <w:t xml:space="preserve"> by whether its genotype is typical of </w:t>
      </w:r>
      <w:r w:rsidRPr="00B26DCC">
        <w:rPr>
          <w:rFonts w:ascii="Times New Roman" w:hAnsi="Times New Roman" w:cs="Times New Roman"/>
          <w:i/>
          <w:sz w:val="24"/>
          <w:szCs w:val="24"/>
        </w:rPr>
        <w:t>An. arabiensis</w:t>
      </w:r>
      <w:r w:rsidRPr="00B26DCC">
        <w:rPr>
          <w:rFonts w:ascii="Times New Roman" w:hAnsi="Times New Roman" w:cs="Times New Roman"/>
          <w:sz w:val="24"/>
          <w:szCs w:val="24"/>
        </w:rPr>
        <w:t xml:space="preserve"> (green), either </w:t>
      </w:r>
      <w:r w:rsidRPr="00B26DCC">
        <w:rPr>
          <w:rFonts w:ascii="Times New Roman" w:hAnsi="Times New Roman" w:cs="Times New Roman"/>
          <w:i/>
          <w:sz w:val="24"/>
          <w:szCs w:val="24"/>
        </w:rPr>
        <w:t>An. gambiae</w:t>
      </w:r>
      <w:r w:rsidRPr="00B26DCC">
        <w:rPr>
          <w:rFonts w:ascii="Times New Roman" w:hAnsi="Times New Roman" w:cs="Times New Roman"/>
          <w:sz w:val="24"/>
          <w:szCs w:val="24"/>
        </w:rPr>
        <w:t xml:space="preserve"> or </w:t>
      </w:r>
      <w:r w:rsidRPr="00B26DCC">
        <w:rPr>
          <w:rFonts w:ascii="Times New Roman" w:hAnsi="Times New Roman" w:cs="Times New Roman"/>
          <w:i/>
          <w:sz w:val="24"/>
          <w:szCs w:val="24"/>
        </w:rPr>
        <w:t>An. coluzzii</w:t>
      </w:r>
      <w:r w:rsidRPr="00B26DCC">
        <w:rPr>
          <w:rFonts w:ascii="Times New Roman" w:hAnsi="Times New Roman" w:cs="Times New Roman"/>
          <w:sz w:val="24"/>
          <w:szCs w:val="24"/>
        </w:rPr>
        <w:t xml:space="preserve"> (purple), </w:t>
      </w:r>
      <w:r w:rsidRPr="00B26DCC">
        <w:rPr>
          <w:rFonts w:ascii="Times New Roman" w:hAnsi="Times New Roman" w:cs="Times New Roman"/>
          <w:i/>
          <w:sz w:val="24"/>
          <w:szCs w:val="24"/>
        </w:rPr>
        <w:t>An. coluzzii</w:t>
      </w:r>
      <w:r w:rsidRPr="00B26DCC">
        <w:rPr>
          <w:rFonts w:ascii="Times New Roman" w:hAnsi="Times New Roman" w:cs="Times New Roman"/>
          <w:sz w:val="24"/>
          <w:szCs w:val="24"/>
        </w:rPr>
        <w:t xml:space="preserve"> (red), </w:t>
      </w:r>
      <w:r w:rsidRPr="00B26DCC">
        <w:rPr>
          <w:rFonts w:ascii="Times New Roman" w:hAnsi="Times New Roman" w:cs="Times New Roman"/>
          <w:i/>
          <w:sz w:val="24"/>
          <w:szCs w:val="24"/>
        </w:rPr>
        <w:t>An. gambiae</w:t>
      </w:r>
      <w:r w:rsidRPr="00B26DCC">
        <w:rPr>
          <w:rFonts w:ascii="Times New Roman" w:hAnsi="Times New Roman" w:cs="Times New Roman"/>
          <w:sz w:val="24"/>
          <w:szCs w:val="24"/>
        </w:rPr>
        <w:t xml:space="preserve"> (blue) or the variant is a heterozygote for the species comparison (yellow). </w:t>
      </w:r>
      <w:proofErr w:type="gramStart"/>
      <w:r w:rsidRPr="00B26DC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26DCC">
        <w:rPr>
          <w:rFonts w:ascii="Times New Roman" w:hAnsi="Times New Roman" w:cs="Times New Roman"/>
          <w:sz w:val="24"/>
          <w:szCs w:val="24"/>
        </w:rPr>
        <w:t xml:space="preserve">, Scatter plot of AIM genotype fractions, for all samples in this study. Each marker is a sample. The X axis plots the fraction of genotypes called as </w:t>
      </w:r>
      <w:proofErr w:type="spellStart"/>
      <w:r w:rsidRPr="00B26DCC">
        <w:rPr>
          <w:rFonts w:ascii="Times New Roman" w:hAnsi="Times New Roman" w:cs="Times New Roman"/>
          <w:sz w:val="24"/>
          <w:szCs w:val="24"/>
        </w:rPr>
        <w:t>arab</w:t>
      </w:r>
      <w:proofErr w:type="spellEnd"/>
      <w:r w:rsidRPr="00B26DC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26DCC">
        <w:rPr>
          <w:rFonts w:ascii="Times New Roman" w:hAnsi="Times New Roman" w:cs="Times New Roman"/>
          <w:sz w:val="24"/>
          <w:szCs w:val="24"/>
        </w:rPr>
        <w:t>arab</w:t>
      </w:r>
      <w:proofErr w:type="spellEnd"/>
      <w:r w:rsidRPr="00B26DCC">
        <w:rPr>
          <w:rFonts w:ascii="Times New Roman" w:hAnsi="Times New Roman" w:cs="Times New Roman"/>
          <w:sz w:val="24"/>
          <w:szCs w:val="24"/>
        </w:rPr>
        <w:t xml:space="preserve"> in panel a. The Y axis plots the fraction of genotypes called as </w:t>
      </w:r>
      <w:proofErr w:type="spellStart"/>
      <w:r w:rsidRPr="00B26DCC">
        <w:rPr>
          <w:rFonts w:ascii="Times New Roman" w:hAnsi="Times New Roman" w:cs="Times New Roman"/>
          <w:sz w:val="24"/>
          <w:szCs w:val="24"/>
        </w:rPr>
        <w:t>colu</w:t>
      </w:r>
      <w:proofErr w:type="spellEnd"/>
      <w:r w:rsidRPr="00B26DC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26DCC">
        <w:rPr>
          <w:rFonts w:ascii="Times New Roman" w:hAnsi="Times New Roman" w:cs="Times New Roman"/>
          <w:sz w:val="24"/>
          <w:szCs w:val="24"/>
        </w:rPr>
        <w:t>colu</w:t>
      </w:r>
      <w:proofErr w:type="spellEnd"/>
      <w:r w:rsidRPr="00B26DCC">
        <w:rPr>
          <w:rFonts w:ascii="Times New Roman" w:hAnsi="Times New Roman" w:cs="Times New Roman"/>
          <w:sz w:val="24"/>
          <w:szCs w:val="24"/>
        </w:rPr>
        <w:t xml:space="preserve"> in panel b, excluding chromosome arm 2L where there is a common known introgression. b, Sample genotypes at AIMs differentiating between </w:t>
      </w:r>
      <w:r w:rsidRPr="00B26DCC">
        <w:rPr>
          <w:rFonts w:ascii="Times New Roman" w:hAnsi="Times New Roman" w:cs="Times New Roman"/>
          <w:i/>
          <w:sz w:val="24"/>
          <w:szCs w:val="24"/>
        </w:rPr>
        <w:t>An. gambiae</w:t>
      </w:r>
      <w:r w:rsidRPr="00B26DCC">
        <w:rPr>
          <w:rFonts w:ascii="Times New Roman" w:hAnsi="Times New Roman" w:cs="Times New Roman"/>
          <w:sz w:val="24"/>
          <w:szCs w:val="24"/>
        </w:rPr>
        <w:t xml:space="preserve"> and </w:t>
      </w:r>
      <w:r w:rsidRPr="00B26DCC">
        <w:rPr>
          <w:rFonts w:ascii="Times New Roman" w:hAnsi="Times New Roman" w:cs="Times New Roman"/>
          <w:i/>
          <w:sz w:val="24"/>
          <w:szCs w:val="24"/>
        </w:rPr>
        <w:t>An. coluzzii</w:t>
      </w:r>
      <w:r w:rsidRPr="00B26DCC">
        <w:rPr>
          <w:rFonts w:ascii="Times New Roman" w:hAnsi="Times New Roman" w:cs="Times New Roman"/>
          <w:sz w:val="24"/>
          <w:szCs w:val="24"/>
        </w:rPr>
        <w:t xml:space="preserve">, shown for all samples in this study not assigned as not </w:t>
      </w:r>
      <w:r w:rsidRPr="00B26DCC">
        <w:rPr>
          <w:rFonts w:ascii="Times New Roman" w:hAnsi="Times New Roman" w:cs="Times New Roman"/>
          <w:i/>
          <w:sz w:val="24"/>
          <w:szCs w:val="24"/>
        </w:rPr>
        <w:t xml:space="preserve">An. arabiensis. </w:t>
      </w:r>
      <w:r w:rsidRPr="00B26DCC">
        <w:rPr>
          <w:rFonts w:ascii="Times New Roman" w:hAnsi="Times New Roman" w:cs="Times New Roman"/>
          <w:sz w:val="24"/>
          <w:szCs w:val="24"/>
        </w:rPr>
        <w:t>c,</w:t>
      </w:r>
      <w:r w:rsidRPr="00B26D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26DCC">
        <w:rPr>
          <w:rFonts w:ascii="Times New Roman" w:hAnsi="Times New Roman" w:cs="Times New Roman"/>
          <w:sz w:val="24"/>
          <w:szCs w:val="24"/>
        </w:rPr>
        <w:t xml:space="preserve">Sample genotypes at AIMs differentiating between </w:t>
      </w:r>
      <w:r w:rsidRPr="00B26DCC">
        <w:rPr>
          <w:rFonts w:ascii="Times New Roman" w:hAnsi="Times New Roman" w:cs="Times New Roman"/>
          <w:i/>
          <w:sz w:val="24"/>
          <w:szCs w:val="24"/>
        </w:rPr>
        <w:t>An. arabiensis</w:t>
      </w:r>
      <w:r w:rsidRPr="00B26DCC">
        <w:rPr>
          <w:rFonts w:ascii="Times New Roman" w:hAnsi="Times New Roman" w:cs="Times New Roman"/>
          <w:sz w:val="24"/>
          <w:szCs w:val="24"/>
        </w:rPr>
        <w:t xml:space="preserve"> and (</w:t>
      </w:r>
      <w:r w:rsidRPr="00B26DCC">
        <w:rPr>
          <w:rFonts w:ascii="Times New Roman" w:hAnsi="Times New Roman" w:cs="Times New Roman"/>
          <w:i/>
          <w:sz w:val="24"/>
          <w:szCs w:val="24"/>
        </w:rPr>
        <w:t>An. gambiae</w:t>
      </w:r>
      <w:r w:rsidRPr="00B26DCC">
        <w:rPr>
          <w:rFonts w:ascii="Times New Roman" w:hAnsi="Times New Roman" w:cs="Times New Roman"/>
          <w:sz w:val="24"/>
          <w:szCs w:val="24"/>
        </w:rPr>
        <w:t xml:space="preserve">, </w:t>
      </w:r>
      <w:r w:rsidRPr="00B26DCC">
        <w:rPr>
          <w:rFonts w:ascii="Times New Roman" w:hAnsi="Times New Roman" w:cs="Times New Roman"/>
          <w:i/>
          <w:sz w:val="24"/>
          <w:szCs w:val="24"/>
        </w:rPr>
        <w:t>An. coluzzii</w:t>
      </w:r>
      <w:r w:rsidRPr="00B26DCC">
        <w:rPr>
          <w:rFonts w:ascii="Times New Roman" w:hAnsi="Times New Roman" w:cs="Times New Roman"/>
          <w:sz w:val="24"/>
          <w:szCs w:val="24"/>
        </w:rPr>
        <w:t xml:space="preserve">) for samples from Turkana, Kenya. </w:t>
      </w:r>
    </w:p>
    <w:p w14:paraId="390CA9DD" w14:textId="77777777" w:rsidR="00B47EBB" w:rsidRDefault="00B47EB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81D10B0" w14:textId="77777777" w:rsidR="00B85E29" w:rsidRPr="00B26DCC" w:rsidRDefault="00B85E29" w:rsidP="00B85E2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CC">
        <w:rPr>
          <w:rFonts w:ascii="Times New Roman" w:hAnsi="Times New Roman" w:cs="Times New Roman"/>
          <w:sz w:val="24"/>
          <w:szCs w:val="24"/>
        </w:rPr>
        <w:t>Panel A.</w:t>
      </w:r>
    </w:p>
    <w:p w14:paraId="3E162666" w14:textId="77777777" w:rsidR="00B85E29" w:rsidRDefault="00B85E29" w:rsidP="00B85E2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CC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114300" distB="114300" distL="114300" distR="114300" wp14:anchorId="47F5EF16" wp14:editId="12C8D0F4">
            <wp:extent cx="4463358" cy="3793402"/>
            <wp:effectExtent l="0" t="0" r="0" b="0"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8395" cy="3823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CBF78F" w14:textId="77777777" w:rsidR="00B85E29" w:rsidRPr="00B26DCC" w:rsidRDefault="00B85E29" w:rsidP="00B85E2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CC">
        <w:rPr>
          <w:rFonts w:ascii="Times New Roman" w:hAnsi="Times New Roman" w:cs="Times New Roman"/>
          <w:sz w:val="24"/>
          <w:szCs w:val="24"/>
        </w:rPr>
        <w:t>Panel B.</w:t>
      </w:r>
    </w:p>
    <w:p w14:paraId="15E5275B" w14:textId="77777777" w:rsidR="00B85E29" w:rsidRPr="00B26DCC" w:rsidRDefault="00B85E29" w:rsidP="00B85E2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CC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114300" distB="114300" distL="114300" distR="114300" wp14:anchorId="380B3571" wp14:editId="210DEF71">
            <wp:extent cx="5943600" cy="800100"/>
            <wp:effectExtent l="0" t="0" r="0" b="0"/>
            <wp:docPr id="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239206" w14:textId="77777777" w:rsidR="00B85E29" w:rsidRPr="00B26DCC" w:rsidRDefault="00B85E29" w:rsidP="00B85E2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CC">
        <w:rPr>
          <w:rFonts w:ascii="Times New Roman" w:hAnsi="Times New Roman" w:cs="Times New Roman"/>
          <w:sz w:val="24"/>
          <w:szCs w:val="24"/>
        </w:rPr>
        <w:t>Panel C.</w:t>
      </w:r>
    </w:p>
    <w:p w14:paraId="56A599FD" w14:textId="77777777" w:rsidR="00B85E29" w:rsidRPr="00B26DCC" w:rsidRDefault="00B85E29" w:rsidP="00B85E2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CC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114300" distB="114300" distL="114300" distR="114300" wp14:anchorId="2EA78F27" wp14:editId="6D2BA17C">
            <wp:extent cx="5943600" cy="2184400"/>
            <wp:effectExtent l="0" t="0" r="0" b="0"/>
            <wp:docPr id="9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6D9F4E" w14:textId="4AC1E396" w:rsidR="00B85E29" w:rsidRPr="00B85E29" w:rsidRDefault="00B85E29" w:rsidP="00B85E29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" w:name="_heading=h.3rdcrjn" w:colFirst="0" w:colLast="0"/>
      <w:bookmarkStart w:id="2" w:name="_heading=h.26in1rg" w:colFirst="0" w:colLast="0"/>
      <w:bookmarkStart w:id="3" w:name="_heading=h.lnxbz9" w:colFirst="0" w:colLast="0"/>
      <w:bookmarkEnd w:id="1"/>
      <w:bookmarkEnd w:id="2"/>
      <w:bookmarkEnd w:id="3"/>
      <w:r w:rsidRPr="00B85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Figure S</w:t>
      </w:r>
      <w:r w:rsidR="005D5A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</w:p>
    <w:p w14:paraId="2B857C88" w14:textId="6668FC50" w:rsidR="00B85E29" w:rsidRPr="00B26DCC" w:rsidRDefault="00B85E29" w:rsidP="00B85E2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CC">
        <w:rPr>
          <w:rFonts w:ascii="Times New Roman" w:hAnsi="Times New Roman" w:cs="Times New Roman"/>
          <w:sz w:val="24"/>
          <w:szCs w:val="24"/>
        </w:rPr>
        <w:t xml:space="preserve">Principal components analysis of the 2La (2L:20,528,089-42,165,182) and 2Lb (2R:19,444,433-26,313,071) inversion regions to compare the karyotype of Kenyan </w:t>
      </w:r>
      <w:r w:rsidRPr="00B26DCC">
        <w:rPr>
          <w:rFonts w:ascii="Times New Roman" w:hAnsi="Times New Roman" w:cs="Times New Roman"/>
          <w:i/>
          <w:sz w:val="24"/>
          <w:szCs w:val="24"/>
        </w:rPr>
        <w:t>An. coluzzii</w:t>
      </w:r>
      <w:r w:rsidRPr="00B26DCC">
        <w:rPr>
          <w:rFonts w:ascii="Times New Roman" w:hAnsi="Times New Roman" w:cs="Times New Roman"/>
          <w:sz w:val="24"/>
          <w:szCs w:val="24"/>
        </w:rPr>
        <w:t xml:space="preserve"> to other </w:t>
      </w:r>
      <w:r w:rsidRPr="00B26DCC">
        <w:rPr>
          <w:rFonts w:ascii="Times New Roman" w:hAnsi="Times New Roman" w:cs="Times New Roman"/>
          <w:i/>
          <w:sz w:val="24"/>
          <w:szCs w:val="24"/>
        </w:rPr>
        <w:t>An. coluzzii</w:t>
      </w:r>
      <w:r w:rsidRPr="00B26DCC">
        <w:rPr>
          <w:rFonts w:ascii="Times New Roman" w:hAnsi="Times New Roman" w:cs="Times New Roman"/>
          <w:sz w:val="24"/>
          <w:szCs w:val="24"/>
        </w:rPr>
        <w:t xml:space="preserve"> cohorts across Africa. </w:t>
      </w:r>
      <w:r w:rsidR="009D2150">
        <w:rPr>
          <w:rFonts w:ascii="Times New Roman" w:hAnsi="Times New Roman" w:cs="Times New Roman"/>
          <w:sz w:val="24"/>
          <w:szCs w:val="24"/>
        </w:rPr>
        <w:t xml:space="preserve">Principal Component </w:t>
      </w:r>
      <w:r w:rsidR="00FB26A7">
        <w:rPr>
          <w:rFonts w:ascii="Times New Roman" w:hAnsi="Times New Roman" w:cs="Times New Roman"/>
          <w:sz w:val="24"/>
          <w:szCs w:val="24"/>
        </w:rPr>
        <w:t>1 (</w:t>
      </w:r>
      <w:r w:rsidRPr="00B26DCC">
        <w:rPr>
          <w:rFonts w:ascii="Times New Roman" w:hAnsi="Times New Roman" w:cs="Times New Roman"/>
          <w:sz w:val="24"/>
          <w:szCs w:val="24"/>
        </w:rPr>
        <w:t>PC1</w:t>
      </w:r>
      <w:r w:rsidR="00FB26A7">
        <w:rPr>
          <w:rFonts w:ascii="Times New Roman" w:hAnsi="Times New Roman" w:cs="Times New Roman"/>
          <w:sz w:val="24"/>
          <w:szCs w:val="24"/>
        </w:rPr>
        <w:t>)</w:t>
      </w:r>
      <w:r w:rsidRPr="00B26DCC">
        <w:rPr>
          <w:rFonts w:ascii="Times New Roman" w:hAnsi="Times New Roman" w:cs="Times New Roman"/>
          <w:sz w:val="24"/>
          <w:szCs w:val="24"/>
        </w:rPr>
        <w:t xml:space="preserve"> from a </w:t>
      </w:r>
      <w:r w:rsidR="00FB26A7">
        <w:rPr>
          <w:rFonts w:ascii="Times New Roman" w:hAnsi="Times New Roman" w:cs="Times New Roman"/>
          <w:sz w:val="24"/>
          <w:szCs w:val="24"/>
        </w:rPr>
        <w:t>Principal Component Analysis (</w:t>
      </w:r>
      <w:r w:rsidRPr="00B26DCC">
        <w:rPr>
          <w:rFonts w:ascii="Times New Roman" w:hAnsi="Times New Roman" w:cs="Times New Roman"/>
          <w:sz w:val="24"/>
          <w:szCs w:val="24"/>
        </w:rPr>
        <w:t>PCA</w:t>
      </w:r>
      <w:r w:rsidR="00FB26A7">
        <w:rPr>
          <w:rFonts w:ascii="Times New Roman" w:hAnsi="Times New Roman" w:cs="Times New Roman"/>
          <w:sz w:val="24"/>
          <w:szCs w:val="24"/>
        </w:rPr>
        <w:t>)</w:t>
      </w:r>
      <w:r w:rsidRPr="00B26DCC">
        <w:rPr>
          <w:rFonts w:ascii="Times New Roman" w:hAnsi="Times New Roman" w:cs="Times New Roman"/>
          <w:sz w:val="24"/>
          <w:szCs w:val="24"/>
        </w:rPr>
        <w:t xml:space="preserve"> within the 2La genomic region is plotted on the X axis, and the three groupings correspond to the three possible 2La karyotypes. PC1 from a PCA within the 2Rb genomic region is plotted on the Y axis, and the three groupings correspond to the three possible 2Rb karyotypes. Kenyan </w:t>
      </w:r>
      <w:r w:rsidRPr="00A71D4A">
        <w:rPr>
          <w:rFonts w:ascii="Times New Roman" w:hAnsi="Times New Roman" w:cs="Times New Roman"/>
          <w:i/>
          <w:iCs/>
          <w:sz w:val="24"/>
          <w:szCs w:val="24"/>
        </w:rPr>
        <w:t>An. coluzzii</w:t>
      </w:r>
      <w:r w:rsidRPr="00B26DCC">
        <w:rPr>
          <w:rFonts w:ascii="Times New Roman" w:hAnsi="Times New Roman" w:cs="Times New Roman"/>
          <w:sz w:val="24"/>
          <w:szCs w:val="24"/>
        </w:rPr>
        <w:t xml:space="preserve"> cluster with </w:t>
      </w:r>
      <w:r w:rsidRPr="00A71D4A">
        <w:rPr>
          <w:rFonts w:ascii="Times New Roman" w:hAnsi="Times New Roman" w:cs="Times New Roman"/>
          <w:i/>
          <w:iCs/>
          <w:sz w:val="24"/>
          <w:szCs w:val="24"/>
        </w:rPr>
        <w:t>An. coluzzii</w:t>
      </w:r>
      <w:r w:rsidRPr="00B26DCC">
        <w:rPr>
          <w:rFonts w:ascii="Times New Roman" w:hAnsi="Times New Roman" w:cs="Times New Roman"/>
          <w:sz w:val="24"/>
          <w:szCs w:val="24"/>
        </w:rPr>
        <w:t xml:space="preserve"> from Burkina Faso, Mali and Northern Cameroon, indicating shared karyotypes.</w:t>
      </w:r>
    </w:p>
    <w:p w14:paraId="3B07375C" w14:textId="77777777" w:rsidR="00B85E29" w:rsidRPr="00B26DCC" w:rsidRDefault="00B85E29" w:rsidP="00B85E2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CC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114300" distB="114300" distL="114300" distR="114300" wp14:anchorId="19F5D818" wp14:editId="076FCA58">
            <wp:extent cx="5943600" cy="3784600"/>
            <wp:effectExtent l="0" t="0" r="0" 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4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495B99" w14:textId="77777777" w:rsidR="00B85E29" w:rsidRDefault="00B85E29">
      <w:pPr>
        <w:spacing w:after="160" w:line="259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4" w:name="_heading=h.35nkun2" w:colFirst="0" w:colLast="0"/>
      <w:bookmarkEnd w:id="4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1EE3A8FA" w14:textId="0B44C2CB" w:rsidR="00B85E29" w:rsidRPr="00B85E29" w:rsidRDefault="00B85E29" w:rsidP="00B85E29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5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Figure S</w:t>
      </w:r>
      <w:r w:rsidR="005D5A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14:paraId="1ED64F85" w14:textId="77777777" w:rsidR="00B85E29" w:rsidRPr="00B26DCC" w:rsidRDefault="00B85E29" w:rsidP="00B85E2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CC">
        <w:rPr>
          <w:rFonts w:ascii="Times New Roman" w:hAnsi="Times New Roman" w:cs="Times New Roman"/>
          <w:sz w:val="24"/>
          <w:szCs w:val="24"/>
        </w:rPr>
        <w:t xml:space="preserve">Bar plots of nucleotide diversity, Watterson's theta and Tajima's D comparing Kenyan </w:t>
      </w:r>
      <w:r w:rsidRPr="00B26DCC">
        <w:rPr>
          <w:rFonts w:ascii="Times New Roman" w:hAnsi="Times New Roman" w:cs="Times New Roman"/>
          <w:i/>
          <w:sz w:val="24"/>
          <w:szCs w:val="24"/>
        </w:rPr>
        <w:t>An. coluzzii</w:t>
      </w:r>
      <w:r w:rsidRPr="00B26DCC">
        <w:rPr>
          <w:rFonts w:ascii="Times New Roman" w:hAnsi="Times New Roman" w:cs="Times New Roman"/>
          <w:sz w:val="24"/>
          <w:szCs w:val="24"/>
        </w:rPr>
        <w:t xml:space="preserve"> to other </w:t>
      </w:r>
      <w:r w:rsidRPr="00B26DCC">
        <w:rPr>
          <w:rFonts w:ascii="Times New Roman" w:hAnsi="Times New Roman" w:cs="Times New Roman"/>
          <w:i/>
          <w:sz w:val="24"/>
          <w:szCs w:val="24"/>
        </w:rPr>
        <w:t xml:space="preserve">An. coluzzii </w:t>
      </w:r>
      <w:r w:rsidRPr="00B26DCC">
        <w:rPr>
          <w:rFonts w:ascii="Times New Roman" w:hAnsi="Times New Roman" w:cs="Times New Roman"/>
          <w:sz w:val="24"/>
          <w:szCs w:val="24"/>
        </w:rPr>
        <w:t>cohorts.</w:t>
      </w:r>
    </w:p>
    <w:p w14:paraId="1EB56CD9" w14:textId="77777777" w:rsidR="00B85E29" w:rsidRPr="00B26DCC" w:rsidRDefault="00B85E29" w:rsidP="00B85E2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CC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114300" distB="114300" distL="114300" distR="114300" wp14:anchorId="66B2393B" wp14:editId="74E1359C">
            <wp:extent cx="4380931" cy="6782937"/>
            <wp:effectExtent l="0" t="0" r="635" b="0"/>
            <wp:docPr id="13" name="image9.png" descr="A screenshot of a grap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A screenshot of a graph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2932" cy="67860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2B85330" w14:textId="77777777" w:rsidR="00B85E29" w:rsidRDefault="00B85E29">
      <w:pPr>
        <w:spacing w:after="160" w:line="259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5" w:name="_heading=h.1ksv4uv" w:colFirst="0" w:colLast="0"/>
      <w:bookmarkEnd w:id="5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311D77E8" w14:textId="67F19C4B" w:rsidR="00B85E29" w:rsidRPr="00B85E29" w:rsidRDefault="00B85E29" w:rsidP="00B85E29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5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Figure S</w:t>
      </w:r>
      <w:r w:rsidR="005D5A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</w:p>
    <w:p w14:paraId="528DC62A" w14:textId="3B05CC14" w:rsidR="00B85E29" w:rsidRDefault="00B85E29" w:rsidP="00B85E2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27A">
        <w:rPr>
          <w:rFonts w:ascii="Times New Roman" w:hAnsi="Times New Roman" w:cs="Times New Roman"/>
          <w:sz w:val="24"/>
          <w:szCs w:val="24"/>
        </w:rPr>
        <w:t>Figure S</w:t>
      </w:r>
      <w:r w:rsidR="006B125B" w:rsidRPr="003C627A">
        <w:rPr>
          <w:rFonts w:ascii="Times New Roman" w:hAnsi="Times New Roman" w:cs="Times New Roman"/>
          <w:sz w:val="24"/>
          <w:szCs w:val="24"/>
        </w:rPr>
        <w:t>4</w:t>
      </w:r>
      <w:r w:rsidRPr="003C627A">
        <w:rPr>
          <w:rFonts w:ascii="Times New Roman" w:hAnsi="Times New Roman" w:cs="Times New Roman"/>
          <w:sz w:val="24"/>
          <w:szCs w:val="24"/>
        </w:rPr>
        <w:t xml:space="preserve">. Amino acid frequencies for the resistance to </w:t>
      </w:r>
      <w:proofErr w:type="spellStart"/>
      <w:r w:rsidRPr="003C627A">
        <w:rPr>
          <w:rFonts w:ascii="Times New Roman" w:hAnsi="Times New Roman" w:cs="Times New Roman"/>
          <w:sz w:val="24"/>
          <w:szCs w:val="24"/>
        </w:rPr>
        <w:t>dieldrin</w:t>
      </w:r>
      <w:proofErr w:type="spellEnd"/>
      <w:r w:rsidRPr="003C627A">
        <w:rPr>
          <w:rFonts w:ascii="Times New Roman" w:hAnsi="Times New Roman" w:cs="Times New Roman"/>
          <w:sz w:val="24"/>
          <w:szCs w:val="24"/>
        </w:rPr>
        <w:t xml:space="preserve"> gene </w:t>
      </w:r>
      <w:proofErr w:type="spellStart"/>
      <w:r w:rsidRPr="003C627A">
        <w:rPr>
          <w:rFonts w:ascii="Times New Roman" w:hAnsi="Times New Roman" w:cs="Times New Roman"/>
          <w:sz w:val="24"/>
          <w:szCs w:val="24"/>
        </w:rPr>
        <w:t>Rdl</w:t>
      </w:r>
      <w:proofErr w:type="spellEnd"/>
      <w:r w:rsidRPr="003C627A">
        <w:rPr>
          <w:rFonts w:ascii="Times New Roman" w:hAnsi="Times New Roman" w:cs="Times New Roman"/>
          <w:sz w:val="24"/>
          <w:szCs w:val="24"/>
        </w:rPr>
        <w:t xml:space="preserve"> in </w:t>
      </w:r>
      <w:r w:rsidRPr="003C627A">
        <w:rPr>
          <w:rFonts w:ascii="Times New Roman" w:hAnsi="Times New Roman" w:cs="Times New Roman"/>
          <w:i/>
          <w:sz w:val="24"/>
          <w:szCs w:val="24"/>
        </w:rPr>
        <w:t>An. coluzzii</w:t>
      </w:r>
      <w:r w:rsidRPr="003C627A">
        <w:rPr>
          <w:rFonts w:ascii="Times New Roman" w:hAnsi="Times New Roman" w:cs="Times New Roman"/>
          <w:sz w:val="24"/>
          <w:szCs w:val="24"/>
        </w:rPr>
        <w:t>.</w:t>
      </w:r>
      <w:r w:rsidR="00FB2C10" w:rsidRPr="003C627A">
        <w:rPr>
          <w:rFonts w:ascii="Times New Roman" w:hAnsi="Times New Roman" w:cs="Times New Roman"/>
          <w:sz w:val="24"/>
          <w:szCs w:val="24"/>
        </w:rPr>
        <w:t xml:space="preserve"> The A296G/T345M and A296S/T345S substitution pairs are associated with insecticide resistance to dieldrin</w:t>
      </w:r>
      <w:r w:rsidR="005052F5" w:rsidRPr="003C627A">
        <w:rPr>
          <w:rFonts w:ascii="Times New Roman" w:hAnsi="Times New Roman" w:cs="Times New Roman"/>
          <w:sz w:val="24"/>
          <w:szCs w:val="24"/>
        </w:rPr>
        <w:t>.</w:t>
      </w:r>
    </w:p>
    <w:p w14:paraId="2F4B3F2E" w14:textId="00A28FF7" w:rsidR="009908F1" w:rsidRPr="00B26DCC" w:rsidRDefault="009908F1" w:rsidP="00B85E2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F80CA8" w14:textId="77777777" w:rsidR="00B85E29" w:rsidRPr="00B26DCC" w:rsidRDefault="00B85E29" w:rsidP="00B85E2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CC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114300" distB="114300" distL="114300" distR="114300" wp14:anchorId="684AD134" wp14:editId="194895C7">
            <wp:extent cx="5943600" cy="2349500"/>
            <wp:effectExtent l="0" t="0" r="0" b="0"/>
            <wp:docPr id="14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9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7A0318" w14:textId="77777777" w:rsidR="00B85E29" w:rsidRDefault="00B85E29">
      <w:pPr>
        <w:spacing w:after="160" w:line="259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6" w:name="_heading=h.44sinio" w:colFirst="0" w:colLast="0"/>
      <w:bookmarkEnd w:id="6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7E0A42DF" w14:textId="6872E525" w:rsidR="00B85E29" w:rsidRPr="00B85E29" w:rsidRDefault="00B85E29" w:rsidP="00B85E29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5E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Figure S</w:t>
      </w:r>
      <w:r w:rsidR="005D5A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</w:p>
    <w:p w14:paraId="46E43540" w14:textId="1ACD9A08" w:rsidR="001D65FD" w:rsidRPr="00DE5010" w:rsidRDefault="00B85E29" w:rsidP="001D65FD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5010">
        <w:rPr>
          <w:rFonts w:ascii="Times New Roman" w:hAnsi="Times New Roman" w:cs="Times New Roman"/>
          <w:sz w:val="24"/>
          <w:szCs w:val="24"/>
        </w:rPr>
        <w:t>Figure S</w:t>
      </w:r>
      <w:r w:rsidR="006B125B" w:rsidRPr="00DE5010">
        <w:rPr>
          <w:rFonts w:ascii="Times New Roman" w:hAnsi="Times New Roman" w:cs="Times New Roman"/>
          <w:sz w:val="24"/>
          <w:szCs w:val="24"/>
        </w:rPr>
        <w:t>5</w:t>
      </w:r>
      <w:r w:rsidRPr="00DE5010">
        <w:rPr>
          <w:rFonts w:ascii="Times New Roman" w:hAnsi="Times New Roman" w:cs="Times New Roman"/>
          <w:sz w:val="24"/>
          <w:szCs w:val="24"/>
        </w:rPr>
        <w:t xml:space="preserve">. </w:t>
      </w:r>
      <w:bookmarkStart w:id="7" w:name="_GoBack"/>
      <w:r w:rsidRPr="00DE5010">
        <w:rPr>
          <w:rFonts w:ascii="Times New Roman" w:hAnsi="Times New Roman" w:cs="Times New Roman"/>
          <w:sz w:val="24"/>
          <w:szCs w:val="24"/>
        </w:rPr>
        <w:t xml:space="preserve">Amino acid frequencies for the Ace1 gene in </w:t>
      </w:r>
      <w:r w:rsidRPr="00DE5010">
        <w:rPr>
          <w:rFonts w:ascii="Times New Roman" w:hAnsi="Times New Roman" w:cs="Times New Roman"/>
          <w:i/>
          <w:sz w:val="24"/>
          <w:szCs w:val="24"/>
        </w:rPr>
        <w:t>An. coluzzii.</w:t>
      </w:r>
      <w:bookmarkEnd w:id="7"/>
      <w:r w:rsidR="001D65FD" w:rsidRPr="00DE501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D65FD" w:rsidRPr="00DE5010">
        <w:rPr>
          <w:rFonts w:ascii="Times New Roman" w:hAnsi="Times New Roman" w:cs="Times New Roman"/>
          <w:iCs/>
          <w:sz w:val="24"/>
          <w:szCs w:val="24"/>
        </w:rPr>
        <w:t>The G280S substitution has been implicated in insecticide resistance to pyrethroids and organophosphates.</w:t>
      </w:r>
    </w:p>
    <w:p w14:paraId="28470317" w14:textId="217F0261" w:rsidR="00812B22" w:rsidRDefault="00B85E29" w:rsidP="00B85E2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010">
        <w:rPr>
          <w:rFonts w:ascii="Times New Roman" w:hAnsi="Times New Roman" w:cs="Times New Roman"/>
          <w:i/>
          <w:noProof/>
          <w:sz w:val="24"/>
          <w:szCs w:val="24"/>
          <w:lang w:val="en-IN" w:eastAsia="en-IN"/>
        </w:rPr>
        <w:drawing>
          <wp:inline distT="114300" distB="114300" distL="114300" distR="114300" wp14:anchorId="10A6BDA0" wp14:editId="67C55DCB">
            <wp:extent cx="5943600" cy="3327400"/>
            <wp:effectExtent l="0" t="0" r="0" b="0"/>
            <wp:docPr id="15" name="image7.png" descr="A graph with numbers and percentage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A graph with numbers and percentages&#10;&#10;Description automatically generated with medium confidence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490970" w14:textId="0E4A88F7" w:rsidR="00294235" w:rsidRDefault="00294235">
      <w:pPr>
        <w:spacing w:after="160" w:line="259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294235" w:rsidSect="000C17A8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E29"/>
    <w:rsid w:val="0001180D"/>
    <w:rsid w:val="000C17A8"/>
    <w:rsid w:val="001D65FD"/>
    <w:rsid w:val="001F003D"/>
    <w:rsid w:val="0024473C"/>
    <w:rsid w:val="00294235"/>
    <w:rsid w:val="002D7E50"/>
    <w:rsid w:val="00320EA1"/>
    <w:rsid w:val="003352C0"/>
    <w:rsid w:val="003C627A"/>
    <w:rsid w:val="005052F5"/>
    <w:rsid w:val="00563EF6"/>
    <w:rsid w:val="005D5AE4"/>
    <w:rsid w:val="00656166"/>
    <w:rsid w:val="006B125B"/>
    <w:rsid w:val="007338E5"/>
    <w:rsid w:val="00812B22"/>
    <w:rsid w:val="00854707"/>
    <w:rsid w:val="008B5662"/>
    <w:rsid w:val="008D0034"/>
    <w:rsid w:val="008D1B5D"/>
    <w:rsid w:val="0095022C"/>
    <w:rsid w:val="009807EB"/>
    <w:rsid w:val="009908F1"/>
    <w:rsid w:val="009D2150"/>
    <w:rsid w:val="009D6209"/>
    <w:rsid w:val="00A22049"/>
    <w:rsid w:val="00A71D4A"/>
    <w:rsid w:val="00A96906"/>
    <w:rsid w:val="00B47EBB"/>
    <w:rsid w:val="00B85E29"/>
    <w:rsid w:val="00CA2DA0"/>
    <w:rsid w:val="00D9213C"/>
    <w:rsid w:val="00DE5010"/>
    <w:rsid w:val="00E47A7E"/>
    <w:rsid w:val="00E51146"/>
    <w:rsid w:val="00F2721D"/>
    <w:rsid w:val="00F719EE"/>
    <w:rsid w:val="00FB26A7"/>
    <w:rsid w:val="00FB2C10"/>
    <w:rsid w:val="00FE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82AA0"/>
  <w15:chartTrackingRefBased/>
  <w15:docId w15:val="{29FB8903-AAB8-4565-9169-F344191F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E29"/>
    <w:pPr>
      <w:spacing w:after="0" w:line="276" w:lineRule="auto"/>
    </w:pPr>
    <w:rPr>
      <w:rFonts w:ascii="Arial" w:eastAsia="Arial" w:hAnsi="Arial" w:cs="Arial"/>
      <w:kern w:val="0"/>
      <w:lang w:val="en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85E29"/>
  </w:style>
  <w:style w:type="paragraph" w:styleId="Revision">
    <w:name w:val="Revision"/>
    <w:hidden/>
    <w:uiPriority w:val="99"/>
    <w:semiHidden/>
    <w:rsid w:val="009807EB"/>
    <w:pPr>
      <w:spacing w:after="0" w:line="240" w:lineRule="auto"/>
    </w:pPr>
    <w:rPr>
      <w:rFonts w:ascii="Arial" w:eastAsia="Arial" w:hAnsi="Arial" w:cs="Arial"/>
      <w:kern w:val="0"/>
      <w:lang w:val="en"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20E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20E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20EA1"/>
    <w:rPr>
      <w:rFonts w:ascii="Arial" w:eastAsia="Arial" w:hAnsi="Arial" w:cs="Arial"/>
      <w:kern w:val="0"/>
      <w:sz w:val="20"/>
      <w:szCs w:val="20"/>
      <w:lang w:val="en"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0E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0EA1"/>
    <w:rPr>
      <w:rFonts w:ascii="Arial" w:eastAsia="Arial" w:hAnsi="Arial" w:cs="Arial"/>
      <w:b/>
      <w:bCs/>
      <w:kern w:val="0"/>
      <w:sz w:val="20"/>
      <w:szCs w:val="20"/>
      <w:lang w:val="en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Luna Kamau</dc:creator>
  <cp:keywords/>
  <dc:description/>
  <cp:lastModifiedBy>Rajalakshmi Thangaraj</cp:lastModifiedBy>
  <cp:revision>32</cp:revision>
  <dcterms:created xsi:type="dcterms:W3CDTF">2024-03-13T09:46:00Z</dcterms:created>
  <dcterms:modified xsi:type="dcterms:W3CDTF">2024-04-17T03:03:00Z</dcterms:modified>
</cp:coreProperties>
</file>