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7A83" w14:textId="013E8036" w:rsidR="00D66157" w:rsidRDefault="00D66157" w:rsidP="00D66157">
      <w:pPr>
        <w:jc w:val="both"/>
        <w:rPr>
          <w:rFonts w:asciiTheme="minorHAnsi" w:hAnsiTheme="minorHAnsi" w:cstheme="minorBidi"/>
          <w:b/>
          <w:bCs/>
          <w:noProof/>
          <w:sz w:val="28"/>
          <w:szCs w:val="28"/>
        </w:rPr>
      </w:pPr>
      <w:r>
        <w:rPr>
          <w:rFonts w:asciiTheme="minorHAnsi" w:hAnsiTheme="minorHAnsi" w:cstheme="minorBidi"/>
          <w:b/>
          <w:bCs/>
          <w:noProof/>
          <w:sz w:val="28"/>
          <w:szCs w:val="28"/>
        </w:rPr>
        <w:t>Identifying suitable methods for evaluating the sterilising effects of pyriproxyfen on adult malaria vectors: a comparison of the oviposition and ovary dissection methods.</w:t>
      </w:r>
    </w:p>
    <w:p w14:paraId="557307ED" w14:textId="77777777" w:rsidR="00D66157" w:rsidRDefault="00D66157" w:rsidP="00D66157">
      <w:pPr>
        <w:spacing w:line="276" w:lineRule="auto"/>
        <w:rPr>
          <w:rFonts w:eastAsia="Calibri" w:cstheme="minorHAnsi"/>
          <w:b/>
        </w:rPr>
      </w:pPr>
    </w:p>
    <w:p w14:paraId="3903EB56" w14:textId="77777777" w:rsidR="00D66157" w:rsidRDefault="00D66157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  <w:vertAlign w:val="superscript"/>
        </w:rPr>
      </w:pPr>
      <w:r w:rsidRPr="00E31861">
        <w:rPr>
          <w:rFonts w:asciiTheme="minorHAnsi" w:eastAsia="Calibri" w:hAnsiTheme="minorHAnsi" w:cstheme="minorHAnsi"/>
          <w:b/>
          <w:sz w:val="22"/>
          <w:szCs w:val="22"/>
        </w:rPr>
        <w:t>Authors:</w:t>
      </w:r>
      <w:r w:rsidRPr="00E31861">
        <w:rPr>
          <w:rFonts w:asciiTheme="minorHAnsi" w:eastAsia="Calibri" w:hAnsiTheme="minorHAnsi" w:cstheme="minorHAnsi"/>
          <w:sz w:val="22"/>
          <w:szCs w:val="22"/>
        </w:rPr>
        <w:t xml:space="preserve">    Alesha Myers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Josias Fagbohoun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Georgine Houetohossou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</w:t>
      </w:r>
      <w:r w:rsidRPr="00E31861">
        <w:rPr>
          <w:rFonts w:asciiTheme="minorHAnsi" w:eastAsia="Calibri" w:hAnsiTheme="minorHAnsi" w:cstheme="minorHAnsi"/>
          <w:sz w:val="22"/>
          <w:szCs w:val="22"/>
        </w:rPr>
        <w:t>, Boris Ndombidje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Renaud Govoetchan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</w:rPr>
        <w:t>, Damien Todjinou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Corine Ngufor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1, 2, 3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*</w:t>
      </w:r>
    </w:p>
    <w:p w14:paraId="46082590" w14:textId="77777777" w:rsidR="00FC69F0" w:rsidRDefault="00FC69F0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C1AC442" w14:textId="6385B1E2" w:rsidR="00C70EC6" w:rsidRPr="00C70EC6" w:rsidRDefault="00FC69F0" w:rsidP="00C70EC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C70EC6">
        <w:rPr>
          <w:rFonts w:asciiTheme="minorHAnsi" w:eastAsia="Calibri" w:hAnsiTheme="minorHAnsi" w:cstheme="minorHAnsi"/>
          <w:b/>
          <w:bCs/>
        </w:rPr>
        <w:t>Supplementary Figure S1</w:t>
      </w:r>
      <w:r w:rsidR="00C70EC6" w:rsidRPr="00C70EC6">
        <w:rPr>
          <w:rFonts w:asciiTheme="minorHAnsi" w:eastAsia="Calibri" w:hAnsiTheme="minorHAnsi" w:cstheme="minorHAnsi"/>
          <w:b/>
          <w:bCs/>
        </w:rPr>
        <w:t xml:space="preserve">: </w:t>
      </w:r>
      <w:r w:rsidR="00C70EC6">
        <w:rPr>
          <w:rFonts w:asciiTheme="minorHAnsi" w:hAnsiTheme="minorHAnsi" w:cstheme="minorHAnsi"/>
        </w:rPr>
        <w:t>O</w:t>
      </w:r>
      <w:r w:rsidR="00C70EC6" w:rsidRPr="00C70EC6">
        <w:rPr>
          <w:rFonts w:asciiTheme="minorHAnsi" w:hAnsiTheme="minorHAnsi" w:cstheme="minorHAnsi"/>
        </w:rPr>
        <w:t>viposition inhibition rates of mosquitoes that were blood-fed before exposure vs. mosquitoes that were blood-fed after exposure.</w:t>
      </w:r>
      <w:r w:rsidR="00C70EC6">
        <w:rPr>
          <w:rFonts w:asciiTheme="minorHAnsi" w:hAnsiTheme="minorHAnsi" w:cstheme="minorHAnsi"/>
        </w:rPr>
        <w:t xml:space="preserve"> </w:t>
      </w:r>
      <w:r w:rsidR="00C70EC6" w:rsidRPr="00C70EC6">
        <w:rPr>
          <w:rFonts w:asciiTheme="minorHAnsi" w:hAnsiTheme="minorHAnsi" w:cstheme="minorHAnsi"/>
          <w:i/>
          <w:iCs/>
          <w:sz w:val="22"/>
          <w:szCs w:val="22"/>
        </w:rPr>
        <w:t xml:space="preserve">Anopheles gambiae 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Kisumu mosquitoes were exposed </w:t>
      </w:r>
      <w:r w:rsidR="00C70EC6">
        <w:rPr>
          <w:rFonts w:asciiTheme="minorHAnsi" w:hAnsiTheme="minorHAnsi" w:cstheme="minorHAnsi"/>
          <w:sz w:val="22"/>
          <w:szCs w:val="22"/>
        </w:rPr>
        <w:t xml:space="preserve">for </w:t>
      </w:r>
      <w:r w:rsidR="00443639">
        <w:rPr>
          <w:rFonts w:asciiTheme="minorHAnsi" w:hAnsiTheme="minorHAnsi" w:cstheme="minorHAnsi"/>
          <w:sz w:val="22"/>
          <w:szCs w:val="22"/>
        </w:rPr>
        <w:t xml:space="preserve">3 </w:t>
      </w:r>
      <w:r w:rsidR="00C70EC6">
        <w:rPr>
          <w:rFonts w:asciiTheme="minorHAnsi" w:hAnsiTheme="minorHAnsi" w:cstheme="minorHAnsi"/>
          <w:sz w:val="22"/>
          <w:szCs w:val="22"/>
        </w:rPr>
        <w:t xml:space="preserve">minutes </w:t>
      </w:r>
      <w:r w:rsidR="00C70EC6" w:rsidRPr="00C70EC6">
        <w:rPr>
          <w:rFonts w:asciiTheme="minorHAnsi" w:hAnsiTheme="minorHAnsi" w:cstheme="minorHAnsi"/>
          <w:sz w:val="22"/>
          <w:szCs w:val="22"/>
        </w:rPr>
        <w:t>to unwashed and washed (</w:t>
      </w:r>
      <w:r w:rsidR="00443639">
        <w:rPr>
          <w:rFonts w:asciiTheme="minorHAnsi" w:hAnsiTheme="minorHAnsi" w:cstheme="minorHAnsi"/>
          <w:sz w:val="22"/>
          <w:szCs w:val="22"/>
        </w:rPr>
        <w:t>3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 times) samples of a pyriproxyfen long-lasting net in cone bioassays and adapted cylinder </w:t>
      </w:r>
      <w:r w:rsidR="00443639">
        <w:rPr>
          <w:rFonts w:asciiTheme="minorHAnsi" w:hAnsiTheme="minorHAnsi" w:cstheme="minorHAnsi"/>
          <w:sz w:val="22"/>
          <w:szCs w:val="22"/>
        </w:rPr>
        <w:t>net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 tests. Mosquitoes were</w:t>
      </w:r>
      <w:r w:rsidR="00C70EC6">
        <w:rPr>
          <w:rFonts w:asciiTheme="minorHAnsi" w:hAnsiTheme="minorHAnsi" w:cstheme="minorHAnsi"/>
          <w:sz w:val="22"/>
          <w:szCs w:val="22"/>
        </w:rPr>
        <w:t xml:space="preserve"> 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tested before or after </w:t>
      </w:r>
      <w:r w:rsidR="002C187F">
        <w:rPr>
          <w:rFonts w:asciiTheme="minorHAnsi" w:hAnsiTheme="minorHAnsi" w:cstheme="minorHAnsi"/>
          <w:sz w:val="22"/>
          <w:szCs w:val="22"/>
        </w:rPr>
        <w:t>blood-</w:t>
      </w:r>
      <w:r w:rsidR="00C70EC6" w:rsidRPr="00C70EC6">
        <w:rPr>
          <w:rFonts w:asciiTheme="minorHAnsi" w:hAnsiTheme="minorHAnsi" w:cstheme="minorHAnsi"/>
          <w:sz w:val="22"/>
          <w:szCs w:val="22"/>
        </w:rPr>
        <w:t>feeding and assessed for the sterilising effects of pyriproxyfen using the oviposition method. The figure presents the Each bar represents a sample size of 50 mosquitoes</w:t>
      </w:r>
      <w:r w:rsidR="00C70EC6">
        <w:rPr>
          <w:rFonts w:asciiTheme="minorHAnsi" w:hAnsiTheme="minorHAnsi" w:cstheme="minorHAnsi"/>
          <w:sz w:val="22"/>
          <w:szCs w:val="22"/>
        </w:rPr>
        <w:t xml:space="preserve">. </w:t>
      </w:r>
      <w:r w:rsidR="00C70EC6" w:rsidRPr="00C70E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FC9346" w14:textId="77777777" w:rsidR="009669D2" w:rsidRPr="00C70EC6" w:rsidRDefault="009669D2" w:rsidP="00C70EC6">
      <w:pPr>
        <w:jc w:val="both"/>
      </w:pPr>
    </w:p>
    <w:p w14:paraId="4BBF6790" w14:textId="26A1D6E3" w:rsidR="00FC69F0" w:rsidRDefault="00FC69F0">
      <w:r w:rsidRPr="00FC69F0">
        <w:rPr>
          <w:noProof/>
        </w:rPr>
        <w:drawing>
          <wp:inline distT="0" distB="0" distL="0" distR="0" wp14:anchorId="29BD8B72" wp14:editId="5AE52333">
            <wp:extent cx="6477000" cy="3860800"/>
            <wp:effectExtent l="0" t="0" r="0" b="0"/>
            <wp:docPr id="50843683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C6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3198E"/>
    <w:multiLevelType w:val="hybridMultilevel"/>
    <w:tmpl w:val="3D740770"/>
    <w:lvl w:ilvl="0" w:tplc="B9A0C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9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61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CF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2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60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B87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00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0E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704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57"/>
    <w:rsid w:val="00074B1E"/>
    <w:rsid w:val="00081259"/>
    <w:rsid w:val="000A38E4"/>
    <w:rsid w:val="000A3B2E"/>
    <w:rsid w:val="000B3D09"/>
    <w:rsid w:val="000C1358"/>
    <w:rsid w:val="000C7ED1"/>
    <w:rsid w:val="000E3CE1"/>
    <w:rsid w:val="000F6A67"/>
    <w:rsid w:val="001503B7"/>
    <w:rsid w:val="00167FCF"/>
    <w:rsid w:val="00230290"/>
    <w:rsid w:val="00237A43"/>
    <w:rsid w:val="00250133"/>
    <w:rsid w:val="002611C7"/>
    <w:rsid w:val="002A47A4"/>
    <w:rsid w:val="002C187F"/>
    <w:rsid w:val="002C7CC5"/>
    <w:rsid w:val="002C7EB4"/>
    <w:rsid w:val="002E3F53"/>
    <w:rsid w:val="0033241D"/>
    <w:rsid w:val="003343B1"/>
    <w:rsid w:val="00336B52"/>
    <w:rsid w:val="00361BF1"/>
    <w:rsid w:val="0036295D"/>
    <w:rsid w:val="00383A36"/>
    <w:rsid w:val="003A275F"/>
    <w:rsid w:val="003B4758"/>
    <w:rsid w:val="003E78D4"/>
    <w:rsid w:val="003F6B55"/>
    <w:rsid w:val="004207B9"/>
    <w:rsid w:val="004277BD"/>
    <w:rsid w:val="00430268"/>
    <w:rsid w:val="00437CDB"/>
    <w:rsid w:val="00443639"/>
    <w:rsid w:val="00445A0D"/>
    <w:rsid w:val="00473423"/>
    <w:rsid w:val="00486F81"/>
    <w:rsid w:val="004A7573"/>
    <w:rsid w:val="004C6671"/>
    <w:rsid w:val="004C7247"/>
    <w:rsid w:val="004F7243"/>
    <w:rsid w:val="00552302"/>
    <w:rsid w:val="0056011D"/>
    <w:rsid w:val="0058283C"/>
    <w:rsid w:val="005A1802"/>
    <w:rsid w:val="005E18EF"/>
    <w:rsid w:val="005E2F59"/>
    <w:rsid w:val="005F6E61"/>
    <w:rsid w:val="00605CFB"/>
    <w:rsid w:val="00633256"/>
    <w:rsid w:val="00646512"/>
    <w:rsid w:val="006571FB"/>
    <w:rsid w:val="006920AC"/>
    <w:rsid w:val="00692C1A"/>
    <w:rsid w:val="006A4226"/>
    <w:rsid w:val="006B4C87"/>
    <w:rsid w:val="00703C69"/>
    <w:rsid w:val="00727CBB"/>
    <w:rsid w:val="00746A28"/>
    <w:rsid w:val="00786B4B"/>
    <w:rsid w:val="0079177C"/>
    <w:rsid w:val="007951BA"/>
    <w:rsid w:val="0079533C"/>
    <w:rsid w:val="007A7BCA"/>
    <w:rsid w:val="007B08AC"/>
    <w:rsid w:val="008045DE"/>
    <w:rsid w:val="00806F77"/>
    <w:rsid w:val="00827968"/>
    <w:rsid w:val="008356EC"/>
    <w:rsid w:val="008838B7"/>
    <w:rsid w:val="008D723E"/>
    <w:rsid w:val="008D7B32"/>
    <w:rsid w:val="008F0F60"/>
    <w:rsid w:val="009306D0"/>
    <w:rsid w:val="00931577"/>
    <w:rsid w:val="009669D2"/>
    <w:rsid w:val="009878B9"/>
    <w:rsid w:val="00996622"/>
    <w:rsid w:val="009A3D8E"/>
    <w:rsid w:val="009D0DD3"/>
    <w:rsid w:val="00A30F26"/>
    <w:rsid w:val="00A575A7"/>
    <w:rsid w:val="00AA25EF"/>
    <w:rsid w:val="00AA4128"/>
    <w:rsid w:val="00AB7732"/>
    <w:rsid w:val="00AF4AB7"/>
    <w:rsid w:val="00B264BB"/>
    <w:rsid w:val="00B2778D"/>
    <w:rsid w:val="00B27CFA"/>
    <w:rsid w:val="00BA73AE"/>
    <w:rsid w:val="00BC1403"/>
    <w:rsid w:val="00BE0066"/>
    <w:rsid w:val="00BE40F9"/>
    <w:rsid w:val="00BF28B7"/>
    <w:rsid w:val="00BF78CF"/>
    <w:rsid w:val="00C56674"/>
    <w:rsid w:val="00C70EC6"/>
    <w:rsid w:val="00CD7F5A"/>
    <w:rsid w:val="00CE234B"/>
    <w:rsid w:val="00D62474"/>
    <w:rsid w:val="00D63AAD"/>
    <w:rsid w:val="00D66157"/>
    <w:rsid w:val="00D67E17"/>
    <w:rsid w:val="00D9327A"/>
    <w:rsid w:val="00DB3837"/>
    <w:rsid w:val="00DD6BF4"/>
    <w:rsid w:val="00E42096"/>
    <w:rsid w:val="00EB58A4"/>
    <w:rsid w:val="00EC33A8"/>
    <w:rsid w:val="00EC5285"/>
    <w:rsid w:val="00ED6411"/>
    <w:rsid w:val="00EE0669"/>
    <w:rsid w:val="00EF3933"/>
    <w:rsid w:val="00EF5B5F"/>
    <w:rsid w:val="00F04100"/>
    <w:rsid w:val="00F15786"/>
    <w:rsid w:val="00F37029"/>
    <w:rsid w:val="00FA5A3F"/>
    <w:rsid w:val="00FC4A3C"/>
    <w:rsid w:val="00FC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77CE5"/>
  <w15:chartTrackingRefBased/>
  <w15:docId w15:val="{D9EA27A1-5DC7-C04C-B319-77D3ABC0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5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615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D723E"/>
    <w:rPr>
      <w:kern w:val="0"/>
      <w:sz w:val="22"/>
      <w:szCs w:val="22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63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87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11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08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33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07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Sheet1!$F$53</c:f>
              <c:strCache>
                <c:ptCount val="1"/>
                <c:pt idx="0">
                  <c:v>blood-fed before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multiLvlStrRef>
              <c:f>Sheet1!$G$51:$J$52</c:f>
              <c:multiLvlStrCache>
                <c:ptCount val="4"/>
                <c:lvl>
                  <c:pt idx="0">
                    <c:v>unwashed</c:v>
                  </c:pt>
                  <c:pt idx="1">
                    <c:v>washed</c:v>
                  </c:pt>
                  <c:pt idx="2">
                    <c:v>unwashed</c:v>
                  </c:pt>
                  <c:pt idx="3">
                    <c:v>washed</c:v>
                  </c:pt>
                </c:lvl>
                <c:lvl>
                  <c:pt idx="0">
                    <c:v>Cone bioassays</c:v>
                  </c:pt>
                  <c:pt idx="2">
                    <c:v>Cylinder</c:v>
                  </c:pt>
                </c:lvl>
              </c:multiLvlStrCache>
            </c:multiLvlStrRef>
          </c:cat>
          <c:val>
            <c:numRef>
              <c:f>Sheet1!$G$53:$J$53</c:f>
              <c:numCache>
                <c:formatCode>General</c:formatCode>
                <c:ptCount val="4"/>
                <c:pt idx="0">
                  <c:v>100</c:v>
                </c:pt>
                <c:pt idx="1">
                  <c:v>86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21-794A-93C6-0E97BC1D51C0}"/>
            </c:ext>
          </c:extLst>
        </c:ser>
        <c:ser>
          <c:idx val="1"/>
          <c:order val="1"/>
          <c:tx>
            <c:strRef>
              <c:f>Sheet1!$F$54</c:f>
              <c:strCache>
                <c:ptCount val="1"/>
                <c:pt idx="0">
                  <c:v>blood-fed after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multiLvlStrRef>
              <c:f>Sheet1!$G$51:$J$52</c:f>
              <c:multiLvlStrCache>
                <c:ptCount val="4"/>
                <c:lvl>
                  <c:pt idx="0">
                    <c:v>unwashed</c:v>
                  </c:pt>
                  <c:pt idx="1">
                    <c:v>washed</c:v>
                  </c:pt>
                  <c:pt idx="2">
                    <c:v>unwashed</c:v>
                  </c:pt>
                  <c:pt idx="3">
                    <c:v>washed</c:v>
                  </c:pt>
                </c:lvl>
                <c:lvl>
                  <c:pt idx="0">
                    <c:v>Cone bioassays</c:v>
                  </c:pt>
                  <c:pt idx="2">
                    <c:v>Cylinder</c:v>
                  </c:pt>
                </c:lvl>
              </c:multiLvlStrCache>
            </c:multiLvlStrRef>
          </c:cat>
          <c:val>
            <c:numRef>
              <c:f>Sheet1!$G$54:$J$54</c:f>
              <c:numCache>
                <c:formatCode>General</c:formatCode>
                <c:ptCount val="4"/>
                <c:pt idx="0">
                  <c:v>100</c:v>
                </c:pt>
                <c:pt idx="1">
                  <c:v>74</c:v>
                </c:pt>
                <c:pt idx="2">
                  <c:v>100</c:v>
                </c:pt>
                <c:pt idx="3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21-794A-93C6-0E97BC1D5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067392808"/>
        <c:axId val="1067403784"/>
      </c:barChart>
      <c:catAx>
        <c:axId val="1067392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7403784"/>
        <c:crosses val="autoZero"/>
        <c:auto val="1"/>
        <c:lblAlgn val="ctr"/>
        <c:lblOffset val="100"/>
        <c:noMultiLvlLbl val="0"/>
      </c:catAx>
      <c:valAx>
        <c:axId val="106740378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 Oviposition Inhibition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73928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 Ngufor</dc:creator>
  <cp:keywords/>
  <dc:description/>
  <cp:lastModifiedBy>Corine  Ngufor</cp:lastModifiedBy>
  <cp:revision>2</cp:revision>
  <dcterms:created xsi:type="dcterms:W3CDTF">2024-04-11T14:42:00Z</dcterms:created>
  <dcterms:modified xsi:type="dcterms:W3CDTF">2024-04-11T14:42:00Z</dcterms:modified>
</cp:coreProperties>
</file>