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F23" w:rsidRPr="008E341A" w:rsidRDefault="00B16F23" w:rsidP="00B16F23">
      <w:pPr>
        <w:rPr>
          <w:rFonts w:ascii="Times New Roman" w:hAnsi="Times New Roman" w:cs="Times New Roman"/>
          <w:sz w:val="24"/>
          <w:szCs w:val="24"/>
        </w:rPr>
      </w:pPr>
      <w:r w:rsidRPr="008E341A">
        <w:rPr>
          <w:rFonts w:ascii="Times New Roman" w:hAnsi="Times New Roman" w:cs="Times New Roman"/>
          <w:sz w:val="24"/>
          <w:szCs w:val="24"/>
        </w:rPr>
        <w:t xml:space="preserve">Appendix 2: Study nets in good, damaged and </w:t>
      </w:r>
      <w:r>
        <w:rPr>
          <w:rFonts w:ascii="Times New Roman" w:hAnsi="Times New Roman" w:cs="Times New Roman"/>
          <w:sz w:val="24"/>
          <w:szCs w:val="24"/>
        </w:rPr>
        <w:t>too-</w:t>
      </w:r>
      <w:r w:rsidRPr="008E341A">
        <w:rPr>
          <w:rFonts w:ascii="Times New Roman" w:hAnsi="Times New Roman" w:cs="Times New Roman"/>
          <w:sz w:val="24"/>
          <w:szCs w:val="24"/>
        </w:rPr>
        <w:t>torn condition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8E341A">
        <w:rPr>
          <w:rFonts w:ascii="Times New Roman" w:hAnsi="Times New Roman" w:cs="Times New Roman"/>
          <w:sz w:val="24"/>
          <w:szCs w:val="24"/>
        </w:rPr>
        <w:t>data from cross-sectional and cohort nets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16F23" w:rsidRPr="008E341A" w:rsidRDefault="00B16F23" w:rsidP="00B16F23">
      <w:pPr>
        <w:rPr>
          <w:rFonts w:ascii="Times New Roman" w:hAnsi="Times New Roman" w:cs="Times New Roman"/>
          <w:sz w:val="24"/>
          <w:szCs w:val="24"/>
        </w:rPr>
      </w:pPr>
    </w:p>
    <w:p w:rsidR="00B16F23" w:rsidRDefault="00B16F23" w:rsidP="00B16F2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IN"/>
        </w:rPr>
        <w:drawing>
          <wp:inline distT="0" distB="0" distL="0" distR="0" wp14:anchorId="1B606F92" wp14:editId="5DA50363">
            <wp:extent cx="7099011" cy="5309119"/>
            <wp:effectExtent l="0" t="0" r="6985" b="6350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F99FC49-E8E4-4C11-A54D-050A34AB247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B16F23" w:rsidRPr="008E341A" w:rsidRDefault="00B16F23" w:rsidP="00B16F23">
      <w:pPr>
        <w:rPr>
          <w:rFonts w:ascii="Times New Roman" w:hAnsi="Times New Roman" w:cs="Times New Roman"/>
          <w:sz w:val="24"/>
          <w:szCs w:val="24"/>
        </w:rPr>
      </w:pPr>
    </w:p>
    <w:p w:rsidR="00754B16" w:rsidRDefault="00754B16">
      <w:bookmarkStart w:id="0" w:name="_GoBack"/>
      <w:bookmarkEnd w:id="0"/>
    </w:p>
    <w:sectPr w:rsidR="00754B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F23"/>
    <w:rsid w:val="0000325E"/>
    <w:rsid w:val="0001531A"/>
    <w:rsid w:val="000155B8"/>
    <w:rsid w:val="000225CB"/>
    <w:rsid w:val="00025DF9"/>
    <w:rsid w:val="00030FD1"/>
    <w:rsid w:val="00034BA0"/>
    <w:rsid w:val="00041920"/>
    <w:rsid w:val="00042F44"/>
    <w:rsid w:val="00053CA8"/>
    <w:rsid w:val="00061A93"/>
    <w:rsid w:val="00081438"/>
    <w:rsid w:val="00083170"/>
    <w:rsid w:val="00091380"/>
    <w:rsid w:val="00091392"/>
    <w:rsid w:val="00092F8F"/>
    <w:rsid w:val="000946E4"/>
    <w:rsid w:val="00096554"/>
    <w:rsid w:val="000A1F34"/>
    <w:rsid w:val="000A466E"/>
    <w:rsid w:val="000A4BAB"/>
    <w:rsid w:val="000A4F16"/>
    <w:rsid w:val="000B0A24"/>
    <w:rsid w:val="000B67B4"/>
    <w:rsid w:val="000C50FD"/>
    <w:rsid w:val="000E045F"/>
    <w:rsid w:val="000E046B"/>
    <w:rsid w:val="000E3CD0"/>
    <w:rsid w:val="000E7D0B"/>
    <w:rsid w:val="001033B6"/>
    <w:rsid w:val="00131A80"/>
    <w:rsid w:val="00131ECD"/>
    <w:rsid w:val="0013515A"/>
    <w:rsid w:val="001437FF"/>
    <w:rsid w:val="0015087A"/>
    <w:rsid w:val="00152D9C"/>
    <w:rsid w:val="00155FC3"/>
    <w:rsid w:val="001665E9"/>
    <w:rsid w:val="00167596"/>
    <w:rsid w:val="00170804"/>
    <w:rsid w:val="00172AC1"/>
    <w:rsid w:val="001742B3"/>
    <w:rsid w:val="0018470E"/>
    <w:rsid w:val="0018630F"/>
    <w:rsid w:val="00186859"/>
    <w:rsid w:val="001A027B"/>
    <w:rsid w:val="001A61D2"/>
    <w:rsid w:val="001C49A7"/>
    <w:rsid w:val="001D0B61"/>
    <w:rsid w:val="001D56FA"/>
    <w:rsid w:val="001E411B"/>
    <w:rsid w:val="00221435"/>
    <w:rsid w:val="002400A2"/>
    <w:rsid w:val="002428BF"/>
    <w:rsid w:val="00243075"/>
    <w:rsid w:val="002522ED"/>
    <w:rsid w:val="00252FF6"/>
    <w:rsid w:val="00255054"/>
    <w:rsid w:val="002608D9"/>
    <w:rsid w:val="002622F8"/>
    <w:rsid w:val="002668FC"/>
    <w:rsid w:val="002745F2"/>
    <w:rsid w:val="00287023"/>
    <w:rsid w:val="00296C06"/>
    <w:rsid w:val="0029756D"/>
    <w:rsid w:val="002A35AA"/>
    <w:rsid w:val="002B3BA4"/>
    <w:rsid w:val="002E0C91"/>
    <w:rsid w:val="002F51B2"/>
    <w:rsid w:val="003050B6"/>
    <w:rsid w:val="003068C3"/>
    <w:rsid w:val="003076B7"/>
    <w:rsid w:val="0033323F"/>
    <w:rsid w:val="0033420A"/>
    <w:rsid w:val="0035077B"/>
    <w:rsid w:val="00351B37"/>
    <w:rsid w:val="003525B2"/>
    <w:rsid w:val="003534A2"/>
    <w:rsid w:val="00354F5E"/>
    <w:rsid w:val="0035526E"/>
    <w:rsid w:val="00357BCB"/>
    <w:rsid w:val="00363D62"/>
    <w:rsid w:val="00364DF1"/>
    <w:rsid w:val="003753A1"/>
    <w:rsid w:val="0037579D"/>
    <w:rsid w:val="00376ADA"/>
    <w:rsid w:val="00391546"/>
    <w:rsid w:val="003A05BC"/>
    <w:rsid w:val="003A1B3D"/>
    <w:rsid w:val="003B33EB"/>
    <w:rsid w:val="003C0D56"/>
    <w:rsid w:val="003C1F11"/>
    <w:rsid w:val="003D5FDC"/>
    <w:rsid w:val="003E4891"/>
    <w:rsid w:val="003F709D"/>
    <w:rsid w:val="003F7669"/>
    <w:rsid w:val="004057D0"/>
    <w:rsid w:val="00405E0C"/>
    <w:rsid w:val="00406341"/>
    <w:rsid w:val="004269AA"/>
    <w:rsid w:val="00433129"/>
    <w:rsid w:val="004375E9"/>
    <w:rsid w:val="0045514D"/>
    <w:rsid w:val="00460708"/>
    <w:rsid w:val="00462A89"/>
    <w:rsid w:val="004678FA"/>
    <w:rsid w:val="004707C0"/>
    <w:rsid w:val="0047369C"/>
    <w:rsid w:val="00481DFA"/>
    <w:rsid w:val="00494328"/>
    <w:rsid w:val="004958F2"/>
    <w:rsid w:val="004A48FF"/>
    <w:rsid w:val="004B1941"/>
    <w:rsid w:val="004C173B"/>
    <w:rsid w:val="004C5ED5"/>
    <w:rsid w:val="004D0966"/>
    <w:rsid w:val="004D35B0"/>
    <w:rsid w:val="004D4C5C"/>
    <w:rsid w:val="004D60BE"/>
    <w:rsid w:val="004E06EA"/>
    <w:rsid w:val="004F0BB6"/>
    <w:rsid w:val="004F63E6"/>
    <w:rsid w:val="004F69F1"/>
    <w:rsid w:val="004F7AF5"/>
    <w:rsid w:val="00516BC3"/>
    <w:rsid w:val="005317EF"/>
    <w:rsid w:val="005510F0"/>
    <w:rsid w:val="005574DA"/>
    <w:rsid w:val="0058208D"/>
    <w:rsid w:val="005838F8"/>
    <w:rsid w:val="00584968"/>
    <w:rsid w:val="00593152"/>
    <w:rsid w:val="00597CBE"/>
    <w:rsid w:val="005B790A"/>
    <w:rsid w:val="005C676D"/>
    <w:rsid w:val="005D4C1A"/>
    <w:rsid w:val="005D6B42"/>
    <w:rsid w:val="005E03E1"/>
    <w:rsid w:val="005E6F64"/>
    <w:rsid w:val="005F4C22"/>
    <w:rsid w:val="00604CB1"/>
    <w:rsid w:val="0061100A"/>
    <w:rsid w:val="0061539B"/>
    <w:rsid w:val="00621A1D"/>
    <w:rsid w:val="00627437"/>
    <w:rsid w:val="00630F26"/>
    <w:rsid w:val="0063669B"/>
    <w:rsid w:val="0064137F"/>
    <w:rsid w:val="0064380A"/>
    <w:rsid w:val="006555CC"/>
    <w:rsid w:val="00655CBE"/>
    <w:rsid w:val="00663468"/>
    <w:rsid w:val="00665B57"/>
    <w:rsid w:val="00671666"/>
    <w:rsid w:val="00675156"/>
    <w:rsid w:val="006A7D13"/>
    <w:rsid w:val="006B1413"/>
    <w:rsid w:val="006B52ED"/>
    <w:rsid w:val="006B578A"/>
    <w:rsid w:val="006C2873"/>
    <w:rsid w:val="006C3D91"/>
    <w:rsid w:val="006C7FDD"/>
    <w:rsid w:val="006D05E3"/>
    <w:rsid w:val="006E5C5A"/>
    <w:rsid w:val="006E714B"/>
    <w:rsid w:val="006F3C4A"/>
    <w:rsid w:val="006F6778"/>
    <w:rsid w:val="006F69D6"/>
    <w:rsid w:val="0071237B"/>
    <w:rsid w:val="00714193"/>
    <w:rsid w:val="0071531F"/>
    <w:rsid w:val="007210CB"/>
    <w:rsid w:val="007317A4"/>
    <w:rsid w:val="007327E0"/>
    <w:rsid w:val="0073383C"/>
    <w:rsid w:val="00744845"/>
    <w:rsid w:val="007543C9"/>
    <w:rsid w:val="007549EA"/>
    <w:rsid w:val="00754B16"/>
    <w:rsid w:val="00764A45"/>
    <w:rsid w:val="0077287A"/>
    <w:rsid w:val="007809ED"/>
    <w:rsid w:val="00781D46"/>
    <w:rsid w:val="00784810"/>
    <w:rsid w:val="00785E11"/>
    <w:rsid w:val="007950D7"/>
    <w:rsid w:val="007B26ED"/>
    <w:rsid w:val="007B35ED"/>
    <w:rsid w:val="007B596D"/>
    <w:rsid w:val="007B687A"/>
    <w:rsid w:val="007C6917"/>
    <w:rsid w:val="007D39CB"/>
    <w:rsid w:val="007D40AE"/>
    <w:rsid w:val="007D7E98"/>
    <w:rsid w:val="007E12F7"/>
    <w:rsid w:val="007E2E9E"/>
    <w:rsid w:val="007E3AAB"/>
    <w:rsid w:val="007E6DD0"/>
    <w:rsid w:val="007F267E"/>
    <w:rsid w:val="007F7EB6"/>
    <w:rsid w:val="007F7F90"/>
    <w:rsid w:val="00801360"/>
    <w:rsid w:val="0080153E"/>
    <w:rsid w:val="00807C37"/>
    <w:rsid w:val="00815D92"/>
    <w:rsid w:val="00816E07"/>
    <w:rsid w:val="0082342E"/>
    <w:rsid w:val="00831128"/>
    <w:rsid w:val="00832611"/>
    <w:rsid w:val="00857E2B"/>
    <w:rsid w:val="008614F6"/>
    <w:rsid w:val="00865F67"/>
    <w:rsid w:val="0087120E"/>
    <w:rsid w:val="00880767"/>
    <w:rsid w:val="0088365D"/>
    <w:rsid w:val="00890260"/>
    <w:rsid w:val="00896828"/>
    <w:rsid w:val="008A0FB6"/>
    <w:rsid w:val="008A22B0"/>
    <w:rsid w:val="008B22C0"/>
    <w:rsid w:val="008C1BCE"/>
    <w:rsid w:val="008C4C90"/>
    <w:rsid w:val="008D309F"/>
    <w:rsid w:val="008D349D"/>
    <w:rsid w:val="008E08C8"/>
    <w:rsid w:val="008E4AB5"/>
    <w:rsid w:val="008E71E1"/>
    <w:rsid w:val="008F0519"/>
    <w:rsid w:val="008F0CD0"/>
    <w:rsid w:val="009050B8"/>
    <w:rsid w:val="00907FFE"/>
    <w:rsid w:val="00912C40"/>
    <w:rsid w:val="00914A55"/>
    <w:rsid w:val="00920157"/>
    <w:rsid w:val="0094054D"/>
    <w:rsid w:val="00940D53"/>
    <w:rsid w:val="0094122C"/>
    <w:rsid w:val="00943362"/>
    <w:rsid w:val="00943CB7"/>
    <w:rsid w:val="00945B0C"/>
    <w:rsid w:val="00951AFF"/>
    <w:rsid w:val="00951CC0"/>
    <w:rsid w:val="009544DE"/>
    <w:rsid w:val="00954B41"/>
    <w:rsid w:val="00957F4E"/>
    <w:rsid w:val="00960C43"/>
    <w:rsid w:val="00964A8C"/>
    <w:rsid w:val="00970EBA"/>
    <w:rsid w:val="00971411"/>
    <w:rsid w:val="009718D7"/>
    <w:rsid w:val="0097293E"/>
    <w:rsid w:val="00974668"/>
    <w:rsid w:val="009811B7"/>
    <w:rsid w:val="00985825"/>
    <w:rsid w:val="00995C42"/>
    <w:rsid w:val="009A3280"/>
    <w:rsid w:val="009B5482"/>
    <w:rsid w:val="009B7F82"/>
    <w:rsid w:val="009C1965"/>
    <w:rsid w:val="009C596B"/>
    <w:rsid w:val="009D6FC6"/>
    <w:rsid w:val="009E238A"/>
    <w:rsid w:val="009E5611"/>
    <w:rsid w:val="009F246E"/>
    <w:rsid w:val="009F29F6"/>
    <w:rsid w:val="00A03A8E"/>
    <w:rsid w:val="00A118CC"/>
    <w:rsid w:val="00A22B96"/>
    <w:rsid w:val="00A22DAA"/>
    <w:rsid w:val="00A462BE"/>
    <w:rsid w:val="00A51B0B"/>
    <w:rsid w:val="00A5791D"/>
    <w:rsid w:val="00A612F1"/>
    <w:rsid w:val="00A62056"/>
    <w:rsid w:val="00A72D77"/>
    <w:rsid w:val="00A80C30"/>
    <w:rsid w:val="00A82EE6"/>
    <w:rsid w:val="00A95A5F"/>
    <w:rsid w:val="00AB04D2"/>
    <w:rsid w:val="00AB3A00"/>
    <w:rsid w:val="00AB4CD4"/>
    <w:rsid w:val="00AB7C44"/>
    <w:rsid w:val="00AC3FB6"/>
    <w:rsid w:val="00AD4037"/>
    <w:rsid w:val="00AE39C0"/>
    <w:rsid w:val="00AF1453"/>
    <w:rsid w:val="00AF28AC"/>
    <w:rsid w:val="00AF457A"/>
    <w:rsid w:val="00B05094"/>
    <w:rsid w:val="00B16F23"/>
    <w:rsid w:val="00B315F0"/>
    <w:rsid w:val="00B33EB7"/>
    <w:rsid w:val="00B35F8E"/>
    <w:rsid w:val="00B447EB"/>
    <w:rsid w:val="00B463B7"/>
    <w:rsid w:val="00B476DB"/>
    <w:rsid w:val="00B51B66"/>
    <w:rsid w:val="00B530E9"/>
    <w:rsid w:val="00B60A73"/>
    <w:rsid w:val="00B71C7B"/>
    <w:rsid w:val="00B73289"/>
    <w:rsid w:val="00B80EAB"/>
    <w:rsid w:val="00B819FC"/>
    <w:rsid w:val="00B834B5"/>
    <w:rsid w:val="00B847B9"/>
    <w:rsid w:val="00B865BF"/>
    <w:rsid w:val="00B91200"/>
    <w:rsid w:val="00B949B2"/>
    <w:rsid w:val="00B97757"/>
    <w:rsid w:val="00BA013E"/>
    <w:rsid w:val="00BA58D0"/>
    <w:rsid w:val="00BA767E"/>
    <w:rsid w:val="00BB0BE7"/>
    <w:rsid w:val="00BC4905"/>
    <w:rsid w:val="00BD0A54"/>
    <w:rsid w:val="00BD6D26"/>
    <w:rsid w:val="00C04E1B"/>
    <w:rsid w:val="00C05B9E"/>
    <w:rsid w:val="00C05CD5"/>
    <w:rsid w:val="00C069C2"/>
    <w:rsid w:val="00C20262"/>
    <w:rsid w:val="00C23175"/>
    <w:rsid w:val="00C25A30"/>
    <w:rsid w:val="00C26FA8"/>
    <w:rsid w:val="00C271E6"/>
    <w:rsid w:val="00C36257"/>
    <w:rsid w:val="00C462B5"/>
    <w:rsid w:val="00C46CD5"/>
    <w:rsid w:val="00C64822"/>
    <w:rsid w:val="00C71FEB"/>
    <w:rsid w:val="00C75561"/>
    <w:rsid w:val="00C7651D"/>
    <w:rsid w:val="00C76728"/>
    <w:rsid w:val="00C82ACA"/>
    <w:rsid w:val="00CA0919"/>
    <w:rsid w:val="00CA1E88"/>
    <w:rsid w:val="00CA794E"/>
    <w:rsid w:val="00CB2B0A"/>
    <w:rsid w:val="00CB42CD"/>
    <w:rsid w:val="00CC2311"/>
    <w:rsid w:val="00CC64FE"/>
    <w:rsid w:val="00D015DB"/>
    <w:rsid w:val="00D01B5F"/>
    <w:rsid w:val="00D06802"/>
    <w:rsid w:val="00D13C4C"/>
    <w:rsid w:val="00D16DB8"/>
    <w:rsid w:val="00D172E0"/>
    <w:rsid w:val="00D203C3"/>
    <w:rsid w:val="00D23207"/>
    <w:rsid w:val="00D265F1"/>
    <w:rsid w:val="00D26AE5"/>
    <w:rsid w:val="00D27458"/>
    <w:rsid w:val="00D3047C"/>
    <w:rsid w:val="00D33A21"/>
    <w:rsid w:val="00D3779B"/>
    <w:rsid w:val="00D55EBD"/>
    <w:rsid w:val="00D626E3"/>
    <w:rsid w:val="00D65152"/>
    <w:rsid w:val="00D70903"/>
    <w:rsid w:val="00D748A9"/>
    <w:rsid w:val="00D76BCB"/>
    <w:rsid w:val="00D86F04"/>
    <w:rsid w:val="00D87B72"/>
    <w:rsid w:val="00D9036E"/>
    <w:rsid w:val="00DB4EBA"/>
    <w:rsid w:val="00DC41D4"/>
    <w:rsid w:val="00DC7584"/>
    <w:rsid w:val="00DE6B60"/>
    <w:rsid w:val="00DF1927"/>
    <w:rsid w:val="00DF561E"/>
    <w:rsid w:val="00DF612A"/>
    <w:rsid w:val="00E02997"/>
    <w:rsid w:val="00E03122"/>
    <w:rsid w:val="00E06F8F"/>
    <w:rsid w:val="00E13908"/>
    <w:rsid w:val="00E35A03"/>
    <w:rsid w:val="00E35BDB"/>
    <w:rsid w:val="00E436A5"/>
    <w:rsid w:val="00E43D1D"/>
    <w:rsid w:val="00E45CEE"/>
    <w:rsid w:val="00E51C32"/>
    <w:rsid w:val="00E56180"/>
    <w:rsid w:val="00E562AF"/>
    <w:rsid w:val="00E74B5A"/>
    <w:rsid w:val="00E758F6"/>
    <w:rsid w:val="00E80999"/>
    <w:rsid w:val="00E83A3C"/>
    <w:rsid w:val="00E95A39"/>
    <w:rsid w:val="00EA571E"/>
    <w:rsid w:val="00EB09C4"/>
    <w:rsid w:val="00EB0B18"/>
    <w:rsid w:val="00EB1390"/>
    <w:rsid w:val="00EB2EB7"/>
    <w:rsid w:val="00EB455C"/>
    <w:rsid w:val="00EE03F5"/>
    <w:rsid w:val="00EF32C4"/>
    <w:rsid w:val="00EF7E0A"/>
    <w:rsid w:val="00F006D9"/>
    <w:rsid w:val="00F1062E"/>
    <w:rsid w:val="00F13C33"/>
    <w:rsid w:val="00F1751F"/>
    <w:rsid w:val="00F204DB"/>
    <w:rsid w:val="00F21A24"/>
    <w:rsid w:val="00F328E4"/>
    <w:rsid w:val="00F350D8"/>
    <w:rsid w:val="00F369C3"/>
    <w:rsid w:val="00F42D1B"/>
    <w:rsid w:val="00F445C3"/>
    <w:rsid w:val="00F5274B"/>
    <w:rsid w:val="00F544DA"/>
    <w:rsid w:val="00F561FE"/>
    <w:rsid w:val="00F6185D"/>
    <w:rsid w:val="00F66A1B"/>
    <w:rsid w:val="00F7264F"/>
    <w:rsid w:val="00F73335"/>
    <w:rsid w:val="00F844C2"/>
    <w:rsid w:val="00F9338F"/>
    <w:rsid w:val="00FA2DF5"/>
    <w:rsid w:val="00FA4B31"/>
    <w:rsid w:val="00FB42CB"/>
    <w:rsid w:val="00FB703C"/>
    <w:rsid w:val="00FC0A4A"/>
    <w:rsid w:val="00FC6C9B"/>
    <w:rsid w:val="00FD3350"/>
    <w:rsid w:val="00FE2FE3"/>
    <w:rsid w:val="00FF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0CFC8D-7644-45B0-991A-AFCD68247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liud\Documents\PAMVERC%20Project\Publications\misungwi_phd_Objective4_malaria_vs_durability\Final%20version_29032023\August%20version\Paper2_tables_28072023_np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400" b="1" i="0" baseline="0">
                <a:effectLst/>
              </a:rPr>
              <a:t>Proportion of study nets in good, damaged and too-torn condition</a:t>
            </a:r>
            <a:endParaRPr lang="en-GB" sz="1400" b="1">
              <a:effectLst/>
            </a:endParaRPr>
          </a:p>
        </c:rich>
      </c:tx>
      <c:layout>
        <c:manualLayout>
          <c:xMode val="edge"/>
          <c:yMode val="edge"/>
          <c:x val="0.21971289257901433"/>
          <c:y val="2.09814663713719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'Appendix 2 '!$D$60</c:f>
              <c:strCache>
                <c:ptCount val="1"/>
                <c:pt idx="0">
                  <c:v>(Good)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multiLvlStrRef>
              <c:f>'Appendix 2 '!$A$61:$C$84</c:f>
              <c:multiLvlStrCache>
                <c:ptCount val="24"/>
                <c:lvl>
                  <c:pt idx="0">
                    <c:v>Cross-sectional </c:v>
                  </c:pt>
                  <c:pt idx="1">
                    <c:v>Cohort</c:v>
                  </c:pt>
                  <c:pt idx="2">
                    <c:v>Cross-sectional </c:v>
                  </c:pt>
                  <c:pt idx="3">
                    <c:v>Cohort</c:v>
                  </c:pt>
                  <c:pt idx="4">
                    <c:v>Cross-sectional </c:v>
                  </c:pt>
                  <c:pt idx="5">
                    <c:v>Cross-sectional </c:v>
                  </c:pt>
                  <c:pt idx="6">
                    <c:v>Cross-sectional </c:v>
                  </c:pt>
                  <c:pt idx="7">
                    <c:v>Cohort</c:v>
                  </c:pt>
                  <c:pt idx="8">
                    <c:v>Cross-sectional </c:v>
                  </c:pt>
                  <c:pt idx="9">
                    <c:v>Cohort</c:v>
                  </c:pt>
                  <c:pt idx="10">
                    <c:v>Cross-sectional </c:v>
                  </c:pt>
                  <c:pt idx="11">
                    <c:v>Cross-sectional </c:v>
                  </c:pt>
                  <c:pt idx="12">
                    <c:v>Cross-sectional </c:v>
                  </c:pt>
                  <c:pt idx="13">
                    <c:v>Cohort</c:v>
                  </c:pt>
                  <c:pt idx="14">
                    <c:v>Cross-sectional </c:v>
                  </c:pt>
                  <c:pt idx="15">
                    <c:v>Cohort</c:v>
                  </c:pt>
                  <c:pt idx="16">
                    <c:v>Cross-sectional </c:v>
                  </c:pt>
                  <c:pt idx="17">
                    <c:v>Cross-sectional </c:v>
                  </c:pt>
                  <c:pt idx="18">
                    <c:v>Cross-sectional </c:v>
                  </c:pt>
                  <c:pt idx="19">
                    <c:v>Cohort</c:v>
                  </c:pt>
                  <c:pt idx="20">
                    <c:v>Cross-sectional </c:v>
                  </c:pt>
                  <c:pt idx="21">
                    <c:v>Cohort</c:v>
                  </c:pt>
                  <c:pt idx="22">
                    <c:v>Cross-sectional </c:v>
                  </c:pt>
                  <c:pt idx="23">
                    <c:v>Cross-sectional </c:v>
                  </c:pt>
                </c:lvl>
                <c:lvl>
                  <c:pt idx="0">
                    <c:v>12m</c:v>
                  </c:pt>
                  <c:pt idx="2">
                    <c:v>24m</c:v>
                  </c:pt>
                  <c:pt idx="4">
                    <c:v>30m</c:v>
                  </c:pt>
                  <c:pt idx="5">
                    <c:v>36m</c:v>
                  </c:pt>
                  <c:pt idx="6">
                    <c:v>12m</c:v>
                  </c:pt>
                  <c:pt idx="8">
                    <c:v>24m</c:v>
                  </c:pt>
                  <c:pt idx="10">
                    <c:v>30m</c:v>
                  </c:pt>
                  <c:pt idx="11">
                    <c:v>36m</c:v>
                  </c:pt>
                  <c:pt idx="12">
                    <c:v>12m</c:v>
                  </c:pt>
                  <c:pt idx="14">
                    <c:v>24m</c:v>
                  </c:pt>
                  <c:pt idx="16">
                    <c:v>30m</c:v>
                  </c:pt>
                  <c:pt idx="17">
                    <c:v>36m</c:v>
                  </c:pt>
                  <c:pt idx="18">
                    <c:v>12m</c:v>
                  </c:pt>
                  <c:pt idx="20">
                    <c:v>24m</c:v>
                  </c:pt>
                  <c:pt idx="22">
                    <c:v>30m</c:v>
                  </c:pt>
                  <c:pt idx="23">
                    <c:v>36m</c:v>
                  </c:pt>
                </c:lvl>
                <c:lvl>
                  <c:pt idx="0">
                    <c:v>Pyrethroid (PY) LLIN</c:v>
                  </c:pt>
                  <c:pt idx="6">
                    <c:v>Chlorfenapyr-PY LLIN</c:v>
                  </c:pt>
                  <c:pt idx="12">
                    <c:v>Pyriproxyfen-PY LLIN</c:v>
                  </c:pt>
                  <c:pt idx="18">
                    <c:v>PBO-PY LLIN</c:v>
                  </c:pt>
                </c:lvl>
              </c:multiLvlStrCache>
            </c:multiLvlStrRef>
          </c:cat>
          <c:val>
            <c:numRef>
              <c:f>'Appendix 2 '!$D$61:$D$84</c:f>
              <c:numCache>
                <c:formatCode>General</c:formatCode>
                <c:ptCount val="24"/>
                <c:pt idx="0">
                  <c:v>68.42</c:v>
                </c:pt>
                <c:pt idx="1">
                  <c:v>66.61</c:v>
                </c:pt>
                <c:pt idx="2">
                  <c:v>44.26</c:v>
                </c:pt>
                <c:pt idx="3">
                  <c:v>46.88</c:v>
                </c:pt>
                <c:pt idx="4">
                  <c:v>41.44</c:v>
                </c:pt>
                <c:pt idx="5">
                  <c:v>30.98</c:v>
                </c:pt>
                <c:pt idx="6">
                  <c:v>69.209999999999994</c:v>
                </c:pt>
                <c:pt idx="7">
                  <c:v>66.239999999999995</c:v>
                </c:pt>
                <c:pt idx="8">
                  <c:v>36.36</c:v>
                </c:pt>
                <c:pt idx="9">
                  <c:v>45.83</c:v>
                </c:pt>
                <c:pt idx="10">
                  <c:v>33.17</c:v>
                </c:pt>
                <c:pt idx="11">
                  <c:v>33.82</c:v>
                </c:pt>
                <c:pt idx="12">
                  <c:v>69.290000000000006</c:v>
                </c:pt>
                <c:pt idx="13">
                  <c:v>71.900000000000006</c:v>
                </c:pt>
                <c:pt idx="14">
                  <c:v>35.97</c:v>
                </c:pt>
                <c:pt idx="15">
                  <c:v>44.41</c:v>
                </c:pt>
                <c:pt idx="16">
                  <c:v>32.520000000000003</c:v>
                </c:pt>
                <c:pt idx="17">
                  <c:v>33</c:v>
                </c:pt>
                <c:pt idx="18">
                  <c:v>49.79</c:v>
                </c:pt>
                <c:pt idx="19">
                  <c:v>47.17</c:v>
                </c:pt>
                <c:pt idx="20">
                  <c:v>34.409999999999997</c:v>
                </c:pt>
                <c:pt idx="21">
                  <c:v>30.71</c:v>
                </c:pt>
                <c:pt idx="22">
                  <c:v>25.86</c:v>
                </c:pt>
                <c:pt idx="23">
                  <c:v>26.67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39E-4201-86E0-495B52A047C8}"/>
            </c:ext>
          </c:extLst>
        </c:ser>
        <c:ser>
          <c:idx val="1"/>
          <c:order val="1"/>
          <c:tx>
            <c:strRef>
              <c:f>'Appendix 2 '!$E$60</c:f>
              <c:strCache>
                <c:ptCount val="1"/>
                <c:pt idx="0">
                  <c:v>(Damaged) </c:v>
                </c:pt>
              </c:strCache>
            </c:strRef>
          </c:tx>
          <c:spPr>
            <a:solidFill>
              <a:schemeClr val="bg2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multiLvlStrRef>
              <c:f>'Appendix 2 '!$A$61:$C$84</c:f>
              <c:multiLvlStrCache>
                <c:ptCount val="24"/>
                <c:lvl>
                  <c:pt idx="0">
                    <c:v>Cross-sectional </c:v>
                  </c:pt>
                  <c:pt idx="1">
                    <c:v>Cohort</c:v>
                  </c:pt>
                  <c:pt idx="2">
                    <c:v>Cross-sectional </c:v>
                  </c:pt>
                  <c:pt idx="3">
                    <c:v>Cohort</c:v>
                  </c:pt>
                  <c:pt idx="4">
                    <c:v>Cross-sectional </c:v>
                  </c:pt>
                  <c:pt idx="5">
                    <c:v>Cross-sectional </c:v>
                  </c:pt>
                  <c:pt idx="6">
                    <c:v>Cross-sectional </c:v>
                  </c:pt>
                  <c:pt idx="7">
                    <c:v>Cohort</c:v>
                  </c:pt>
                  <c:pt idx="8">
                    <c:v>Cross-sectional </c:v>
                  </c:pt>
                  <c:pt idx="9">
                    <c:v>Cohort</c:v>
                  </c:pt>
                  <c:pt idx="10">
                    <c:v>Cross-sectional </c:v>
                  </c:pt>
                  <c:pt idx="11">
                    <c:v>Cross-sectional </c:v>
                  </c:pt>
                  <c:pt idx="12">
                    <c:v>Cross-sectional </c:v>
                  </c:pt>
                  <c:pt idx="13">
                    <c:v>Cohort</c:v>
                  </c:pt>
                  <c:pt idx="14">
                    <c:v>Cross-sectional </c:v>
                  </c:pt>
                  <c:pt idx="15">
                    <c:v>Cohort</c:v>
                  </c:pt>
                  <c:pt idx="16">
                    <c:v>Cross-sectional </c:v>
                  </c:pt>
                  <c:pt idx="17">
                    <c:v>Cross-sectional </c:v>
                  </c:pt>
                  <c:pt idx="18">
                    <c:v>Cross-sectional </c:v>
                  </c:pt>
                  <c:pt idx="19">
                    <c:v>Cohort</c:v>
                  </c:pt>
                  <c:pt idx="20">
                    <c:v>Cross-sectional </c:v>
                  </c:pt>
                  <c:pt idx="21">
                    <c:v>Cohort</c:v>
                  </c:pt>
                  <c:pt idx="22">
                    <c:v>Cross-sectional </c:v>
                  </c:pt>
                  <c:pt idx="23">
                    <c:v>Cross-sectional </c:v>
                  </c:pt>
                </c:lvl>
                <c:lvl>
                  <c:pt idx="0">
                    <c:v>12m</c:v>
                  </c:pt>
                  <c:pt idx="2">
                    <c:v>24m</c:v>
                  </c:pt>
                  <c:pt idx="4">
                    <c:v>30m</c:v>
                  </c:pt>
                  <c:pt idx="5">
                    <c:v>36m</c:v>
                  </c:pt>
                  <c:pt idx="6">
                    <c:v>12m</c:v>
                  </c:pt>
                  <c:pt idx="8">
                    <c:v>24m</c:v>
                  </c:pt>
                  <c:pt idx="10">
                    <c:v>30m</c:v>
                  </c:pt>
                  <c:pt idx="11">
                    <c:v>36m</c:v>
                  </c:pt>
                  <c:pt idx="12">
                    <c:v>12m</c:v>
                  </c:pt>
                  <c:pt idx="14">
                    <c:v>24m</c:v>
                  </c:pt>
                  <c:pt idx="16">
                    <c:v>30m</c:v>
                  </c:pt>
                  <c:pt idx="17">
                    <c:v>36m</c:v>
                  </c:pt>
                  <c:pt idx="18">
                    <c:v>12m</c:v>
                  </c:pt>
                  <c:pt idx="20">
                    <c:v>24m</c:v>
                  </c:pt>
                  <c:pt idx="22">
                    <c:v>30m</c:v>
                  </c:pt>
                  <c:pt idx="23">
                    <c:v>36m</c:v>
                  </c:pt>
                </c:lvl>
                <c:lvl>
                  <c:pt idx="0">
                    <c:v>Pyrethroid (PY) LLIN</c:v>
                  </c:pt>
                  <c:pt idx="6">
                    <c:v>Chlorfenapyr-PY LLIN</c:v>
                  </c:pt>
                  <c:pt idx="12">
                    <c:v>Pyriproxyfen-PY LLIN</c:v>
                  </c:pt>
                  <c:pt idx="18">
                    <c:v>PBO-PY LLIN</c:v>
                  </c:pt>
                </c:lvl>
              </c:multiLvlStrCache>
            </c:multiLvlStrRef>
          </c:cat>
          <c:val>
            <c:numRef>
              <c:f>'Appendix 2 '!$E$61:$E$84</c:f>
              <c:numCache>
                <c:formatCode>General</c:formatCode>
                <c:ptCount val="24"/>
                <c:pt idx="0">
                  <c:v>18.600000000000001</c:v>
                </c:pt>
                <c:pt idx="1">
                  <c:v>18.8</c:v>
                </c:pt>
                <c:pt idx="2">
                  <c:v>26.89</c:v>
                </c:pt>
                <c:pt idx="3">
                  <c:v>26.56</c:v>
                </c:pt>
                <c:pt idx="4">
                  <c:v>22.97</c:v>
                </c:pt>
                <c:pt idx="5">
                  <c:v>30.37</c:v>
                </c:pt>
                <c:pt idx="6">
                  <c:v>18.77</c:v>
                </c:pt>
                <c:pt idx="7">
                  <c:v>18.87</c:v>
                </c:pt>
                <c:pt idx="8">
                  <c:v>30.42</c:v>
                </c:pt>
                <c:pt idx="9">
                  <c:v>28.4</c:v>
                </c:pt>
                <c:pt idx="10">
                  <c:v>22.11</c:v>
                </c:pt>
                <c:pt idx="11">
                  <c:v>23.99</c:v>
                </c:pt>
                <c:pt idx="12">
                  <c:v>13.69</c:v>
                </c:pt>
                <c:pt idx="13">
                  <c:v>15.54</c:v>
                </c:pt>
                <c:pt idx="14">
                  <c:v>24.46</c:v>
                </c:pt>
                <c:pt idx="15">
                  <c:v>23.9</c:v>
                </c:pt>
                <c:pt idx="16">
                  <c:v>21.47</c:v>
                </c:pt>
                <c:pt idx="17">
                  <c:v>24.5</c:v>
                </c:pt>
                <c:pt idx="18">
                  <c:v>21.4</c:v>
                </c:pt>
                <c:pt idx="19">
                  <c:v>16.600000000000001</c:v>
                </c:pt>
                <c:pt idx="20">
                  <c:v>23.12</c:v>
                </c:pt>
                <c:pt idx="21">
                  <c:v>16.670000000000002</c:v>
                </c:pt>
                <c:pt idx="22">
                  <c:v>15.52</c:v>
                </c:pt>
                <c:pt idx="23">
                  <c:v>17.78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39E-4201-86E0-495B52A047C8}"/>
            </c:ext>
          </c:extLst>
        </c:ser>
        <c:ser>
          <c:idx val="2"/>
          <c:order val="2"/>
          <c:tx>
            <c:strRef>
              <c:f>'Appendix 2 '!$F$60</c:f>
              <c:strCache>
                <c:ptCount val="1"/>
                <c:pt idx="0">
                  <c:v>(Too-torn)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multiLvlStrRef>
              <c:f>'Appendix 2 '!$A$61:$C$84</c:f>
              <c:multiLvlStrCache>
                <c:ptCount val="24"/>
                <c:lvl>
                  <c:pt idx="0">
                    <c:v>Cross-sectional </c:v>
                  </c:pt>
                  <c:pt idx="1">
                    <c:v>Cohort</c:v>
                  </c:pt>
                  <c:pt idx="2">
                    <c:v>Cross-sectional </c:v>
                  </c:pt>
                  <c:pt idx="3">
                    <c:v>Cohort</c:v>
                  </c:pt>
                  <c:pt idx="4">
                    <c:v>Cross-sectional </c:v>
                  </c:pt>
                  <c:pt idx="5">
                    <c:v>Cross-sectional </c:v>
                  </c:pt>
                  <c:pt idx="6">
                    <c:v>Cross-sectional </c:v>
                  </c:pt>
                  <c:pt idx="7">
                    <c:v>Cohort</c:v>
                  </c:pt>
                  <c:pt idx="8">
                    <c:v>Cross-sectional </c:v>
                  </c:pt>
                  <c:pt idx="9">
                    <c:v>Cohort</c:v>
                  </c:pt>
                  <c:pt idx="10">
                    <c:v>Cross-sectional </c:v>
                  </c:pt>
                  <c:pt idx="11">
                    <c:v>Cross-sectional </c:v>
                  </c:pt>
                  <c:pt idx="12">
                    <c:v>Cross-sectional </c:v>
                  </c:pt>
                  <c:pt idx="13">
                    <c:v>Cohort</c:v>
                  </c:pt>
                  <c:pt idx="14">
                    <c:v>Cross-sectional </c:v>
                  </c:pt>
                  <c:pt idx="15">
                    <c:v>Cohort</c:v>
                  </c:pt>
                  <c:pt idx="16">
                    <c:v>Cross-sectional </c:v>
                  </c:pt>
                  <c:pt idx="17">
                    <c:v>Cross-sectional </c:v>
                  </c:pt>
                  <c:pt idx="18">
                    <c:v>Cross-sectional </c:v>
                  </c:pt>
                  <c:pt idx="19">
                    <c:v>Cohort</c:v>
                  </c:pt>
                  <c:pt idx="20">
                    <c:v>Cross-sectional </c:v>
                  </c:pt>
                  <c:pt idx="21">
                    <c:v>Cohort</c:v>
                  </c:pt>
                  <c:pt idx="22">
                    <c:v>Cross-sectional </c:v>
                  </c:pt>
                  <c:pt idx="23">
                    <c:v>Cross-sectional </c:v>
                  </c:pt>
                </c:lvl>
                <c:lvl>
                  <c:pt idx="0">
                    <c:v>12m</c:v>
                  </c:pt>
                  <c:pt idx="2">
                    <c:v>24m</c:v>
                  </c:pt>
                  <c:pt idx="4">
                    <c:v>30m</c:v>
                  </c:pt>
                  <c:pt idx="5">
                    <c:v>36m</c:v>
                  </c:pt>
                  <c:pt idx="6">
                    <c:v>12m</c:v>
                  </c:pt>
                  <c:pt idx="8">
                    <c:v>24m</c:v>
                  </c:pt>
                  <c:pt idx="10">
                    <c:v>30m</c:v>
                  </c:pt>
                  <c:pt idx="11">
                    <c:v>36m</c:v>
                  </c:pt>
                  <c:pt idx="12">
                    <c:v>12m</c:v>
                  </c:pt>
                  <c:pt idx="14">
                    <c:v>24m</c:v>
                  </c:pt>
                  <c:pt idx="16">
                    <c:v>30m</c:v>
                  </c:pt>
                  <c:pt idx="17">
                    <c:v>36m</c:v>
                  </c:pt>
                  <c:pt idx="18">
                    <c:v>12m</c:v>
                  </c:pt>
                  <c:pt idx="20">
                    <c:v>24m</c:v>
                  </c:pt>
                  <c:pt idx="22">
                    <c:v>30m</c:v>
                  </c:pt>
                  <c:pt idx="23">
                    <c:v>36m</c:v>
                  </c:pt>
                </c:lvl>
                <c:lvl>
                  <c:pt idx="0">
                    <c:v>Pyrethroid (PY) LLIN</c:v>
                  </c:pt>
                  <c:pt idx="6">
                    <c:v>Chlorfenapyr-PY LLIN</c:v>
                  </c:pt>
                  <c:pt idx="12">
                    <c:v>Pyriproxyfen-PY LLIN</c:v>
                  </c:pt>
                  <c:pt idx="18">
                    <c:v>PBO-PY LLIN</c:v>
                  </c:pt>
                </c:lvl>
              </c:multiLvlStrCache>
            </c:multiLvlStrRef>
          </c:cat>
          <c:val>
            <c:numRef>
              <c:f>'Appendix 2 '!$F$61:$F$84</c:f>
              <c:numCache>
                <c:formatCode>General</c:formatCode>
                <c:ptCount val="24"/>
                <c:pt idx="0">
                  <c:v>12.98</c:v>
                </c:pt>
                <c:pt idx="1">
                  <c:v>14.6</c:v>
                </c:pt>
                <c:pt idx="2">
                  <c:v>28.85</c:v>
                </c:pt>
                <c:pt idx="3">
                  <c:v>26.56</c:v>
                </c:pt>
                <c:pt idx="4">
                  <c:v>35.590000000000003</c:v>
                </c:pt>
                <c:pt idx="5">
                  <c:v>38.65</c:v>
                </c:pt>
                <c:pt idx="6">
                  <c:v>12.02</c:v>
                </c:pt>
                <c:pt idx="7">
                  <c:v>14.88</c:v>
                </c:pt>
                <c:pt idx="8">
                  <c:v>33.22</c:v>
                </c:pt>
                <c:pt idx="9">
                  <c:v>25.77</c:v>
                </c:pt>
                <c:pt idx="10">
                  <c:v>44.72</c:v>
                </c:pt>
                <c:pt idx="11">
                  <c:v>42.2</c:v>
                </c:pt>
                <c:pt idx="12">
                  <c:v>17.010000000000002</c:v>
                </c:pt>
                <c:pt idx="13">
                  <c:v>12.56</c:v>
                </c:pt>
                <c:pt idx="14">
                  <c:v>39.57</c:v>
                </c:pt>
                <c:pt idx="15">
                  <c:v>31.69</c:v>
                </c:pt>
                <c:pt idx="16">
                  <c:v>46.01</c:v>
                </c:pt>
                <c:pt idx="17">
                  <c:v>42.5</c:v>
                </c:pt>
                <c:pt idx="18">
                  <c:v>28.81</c:v>
                </c:pt>
                <c:pt idx="19">
                  <c:v>36.229999999999997</c:v>
                </c:pt>
                <c:pt idx="20">
                  <c:v>42.47</c:v>
                </c:pt>
                <c:pt idx="21">
                  <c:v>52.62</c:v>
                </c:pt>
                <c:pt idx="22">
                  <c:v>58.62</c:v>
                </c:pt>
                <c:pt idx="23">
                  <c:v>55.56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39E-4201-86E0-495B52A047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3200512"/>
        <c:axId val="113195072"/>
      </c:barChart>
      <c:catAx>
        <c:axId val="113200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3195072"/>
        <c:crosses val="autoZero"/>
        <c:auto val="1"/>
        <c:lblAlgn val="ctr"/>
        <c:lblOffset val="100"/>
        <c:noMultiLvlLbl val="0"/>
      </c:catAx>
      <c:valAx>
        <c:axId val="113195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3200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5278083380143124"/>
          <c:y val="0.94385612918562356"/>
          <c:w val="0.40157214413204684"/>
          <c:h val="4.21562265667951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0.66504</cdr:x>
      <cdr:y>0.94655</cdr:y>
    </cdr:from>
    <cdr:to>
      <cdr:x>0.95579</cdr:x>
      <cdr:y>1</cdr:y>
    </cdr:to>
    <cdr:sp macro="" textlink="">
      <cdr:nvSpPr>
        <cdr:cNvPr id="2" name="Rectangle 1"/>
        <cdr:cNvSpPr/>
      </cdr:nvSpPr>
      <cdr:spPr>
        <a:xfrm xmlns:a="http://schemas.openxmlformats.org/drawingml/2006/main">
          <a:off x="5002125" y="5156489"/>
          <a:ext cx="2186941" cy="29117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6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6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/>
            <a:t>*m=months post-intervention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</Words>
  <Characters>96</Characters>
  <Application>Microsoft Office Word</Application>
  <DocSecurity>0</DocSecurity>
  <Lines>1</Lines>
  <Paragraphs>1</Paragraphs>
  <ScaleCrop>false</ScaleCrop>
  <Company>HP Inc.</Company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 Juliet  Jothinathan</dc:creator>
  <cp:keywords/>
  <dc:description/>
  <cp:lastModifiedBy>Abi Juliet  Jothinathan</cp:lastModifiedBy>
  <cp:revision>1</cp:revision>
  <dcterms:created xsi:type="dcterms:W3CDTF">2024-06-25T07:19:00Z</dcterms:created>
  <dcterms:modified xsi:type="dcterms:W3CDTF">2024-06-25T07:21:00Z</dcterms:modified>
</cp:coreProperties>
</file>