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B62" w:rsidRDefault="00F40B62" w:rsidP="00F40B62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F40B62" w:rsidRPr="008E341A" w:rsidRDefault="00F40B62" w:rsidP="00F40B62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t>Appendix 4:</w:t>
      </w:r>
      <w:r>
        <w:rPr>
          <w:rFonts w:ascii="Times New Roman" w:hAnsi="Times New Roman" w:cs="Times New Roman"/>
          <w:sz w:val="24"/>
          <w:szCs w:val="24"/>
        </w:rPr>
        <w:t xml:space="preserve"> Mean holes per study net per survey by zones (data from cross-sectional survey)</w:t>
      </w:r>
    </w:p>
    <w:p w:rsidR="00F40B62" w:rsidRPr="008E341A" w:rsidRDefault="00F40B62" w:rsidP="00F40B62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27231EF4" wp14:editId="09673A61">
            <wp:extent cx="8195945" cy="4782820"/>
            <wp:effectExtent l="0" t="0" r="14605" b="1778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57DDF8D-2635-450F-AFB1-2D4BA52910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40B62" w:rsidRPr="008E341A" w:rsidRDefault="00F40B62" w:rsidP="00F40B62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54B16" w:rsidRDefault="00754B16">
      <w:bookmarkStart w:id="0" w:name="_GoBack"/>
      <w:bookmarkEnd w:id="0"/>
    </w:p>
    <w:sectPr w:rsidR="00754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B62"/>
    <w:rsid w:val="0000325E"/>
    <w:rsid w:val="0001531A"/>
    <w:rsid w:val="000155B8"/>
    <w:rsid w:val="000225CB"/>
    <w:rsid w:val="00025DF9"/>
    <w:rsid w:val="00030FD1"/>
    <w:rsid w:val="00034BA0"/>
    <w:rsid w:val="00041920"/>
    <w:rsid w:val="00042F44"/>
    <w:rsid w:val="00053CA8"/>
    <w:rsid w:val="00061A93"/>
    <w:rsid w:val="00081438"/>
    <w:rsid w:val="00083170"/>
    <w:rsid w:val="00091380"/>
    <w:rsid w:val="00091392"/>
    <w:rsid w:val="00092F8F"/>
    <w:rsid w:val="000946E4"/>
    <w:rsid w:val="00096554"/>
    <w:rsid w:val="000A1F34"/>
    <w:rsid w:val="000A466E"/>
    <w:rsid w:val="000A4BAB"/>
    <w:rsid w:val="000A4F16"/>
    <w:rsid w:val="000B0A24"/>
    <w:rsid w:val="000B67B4"/>
    <w:rsid w:val="000C50FD"/>
    <w:rsid w:val="000E045F"/>
    <w:rsid w:val="000E046B"/>
    <w:rsid w:val="000E3CD0"/>
    <w:rsid w:val="000E7D0B"/>
    <w:rsid w:val="001033B6"/>
    <w:rsid w:val="00131A80"/>
    <w:rsid w:val="00131ECD"/>
    <w:rsid w:val="0013515A"/>
    <w:rsid w:val="001437FF"/>
    <w:rsid w:val="0015087A"/>
    <w:rsid w:val="00152D9C"/>
    <w:rsid w:val="00155FC3"/>
    <w:rsid w:val="001665E9"/>
    <w:rsid w:val="00167596"/>
    <w:rsid w:val="00170804"/>
    <w:rsid w:val="00172AC1"/>
    <w:rsid w:val="001742B3"/>
    <w:rsid w:val="0018470E"/>
    <w:rsid w:val="0018630F"/>
    <w:rsid w:val="00186859"/>
    <w:rsid w:val="001A027B"/>
    <w:rsid w:val="001A61D2"/>
    <w:rsid w:val="001C49A7"/>
    <w:rsid w:val="001D0B61"/>
    <w:rsid w:val="001D56FA"/>
    <w:rsid w:val="001E411B"/>
    <w:rsid w:val="00221435"/>
    <w:rsid w:val="002400A2"/>
    <w:rsid w:val="002428BF"/>
    <w:rsid w:val="00243075"/>
    <w:rsid w:val="002522ED"/>
    <w:rsid w:val="00252FF6"/>
    <w:rsid w:val="00255054"/>
    <w:rsid w:val="002608D9"/>
    <w:rsid w:val="002622F8"/>
    <w:rsid w:val="002668FC"/>
    <w:rsid w:val="002745F2"/>
    <w:rsid w:val="00287023"/>
    <w:rsid w:val="00296C06"/>
    <w:rsid w:val="0029756D"/>
    <w:rsid w:val="002A35AA"/>
    <w:rsid w:val="002B3BA4"/>
    <w:rsid w:val="002E0C91"/>
    <w:rsid w:val="002F51B2"/>
    <w:rsid w:val="003050B6"/>
    <w:rsid w:val="003068C3"/>
    <w:rsid w:val="003076B7"/>
    <w:rsid w:val="0033323F"/>
    <w:rsid w:val="0033420A"/>
    <w:rsid w:val="0035077B"/>
    <w:rsid w:val="00351B37"/>
    <w:rsid w:val="003525B2"/>
    <w:rsid w:val="003534A2"/>
    <w:rsid w:val="00354F5E"/>
    <w:rsid w:val="0035526E"/>
    <w:rsid w:val="00357BCB"/>
    <w:rsid w:val="00363D62"/>
    <w:rsid w:val="00364DF1"/>
    <w:rsid w:val="003753A1"/>
    <w:rsid w:val="0037579D"/>
    <w:rsid w:val="00376ADA"/>
    <w:rsid w:val="00391546"/>
    <w:rsid w:val="003A05BC"/>
    <w:rsid w:val="003A1B3D"/>
    <w:rsid w:val="003B33EB"/>
    <w:rsid w:val="003C0D56"/>
    <w:rsid w:val="003C1F11"/>
    <w:rsid w:val="003D5FDC"/>
    <w:rsid w:val="003E4891"/>
    <w:rsid w:val="003F709D"/>
    <w:rsid w:val="003F7669"/>
    <w:rsid w:val="004057D0"/>
    <w:rsid w:val="00405E0C"/>
    <w:rsid w:val="00406341"/>
    <w:rsid w:val="004269AA"/>
    <w:rsid w:val="00433129"/>
    <w:rsid w:val="004375E9"/>
    <w:rsid w:val="0045514D"/>
    <w:rsid w:val="00460708"/>
    <w:rsid w:val="00462A89"/>
    <w:rsid w:val="004678FA"/>
    <w:rsid w:val="004707C0"/>
    <w:rsid w:val="0047369C"/>
    <w:rsid w:val="00481DFA"/>
    <w:rsid w:val="00494328"/>
    <w:rsid w:val="004958F2"/>
    <w:rsid w:val="004A48FF"/>
    <w:rsid w:val="004B1941"/>
    <w:rsid w:val="004C173B"/>
    <w:rsid w:val="004C5ED5"/>
    <w:rsid w:val="004D0966"/>
    <w:rsid w:val="004D35B0"/>
    <w:rsid w:val="004D4C5C"/>
    <w:rsid w:val="004D60BE"/>
    <w:rsid w:val="004E06EA"/>
    <w:rsid w:val="004F0BB6"/>
    <w:rsid w:val="004F63E6"/>
    <w:rsid w:val="004F69F1"/>
    <w:rsid w:val="004F7AF5"/>
    <w:rsid w:val="00516BC3"/>
    <w:rsid w:val="005317EF"/>
    <w:rsid w:val="005510F0"/>
    <w:rsid w:val="005574DA"/>
    <w:rsid w:val="0058208D"/>
    <w:rsid w:val="005838F8"/>
    <w:rsid w:val="00584968"/>
    <w:rsid w:val="00593152"/>
    <w:rsid w:val="00597CBE"/>
    <w:rsid w:val="005B790A"/>
    <w:rsid w:val="005C676D"/>
    <w:rsid w:val="005D4C1A"/>
    <w:rsid w:val="005D6B42"/>
    <w:rsid w:val="005E03E1"/>
    <w:rsid w:val="005E6F64"/>
    <w:rsid w:val="005F4C22"/>
    <w:rsid w:val="00604CB1"/>
    <w:rsid w:val="0061100A"/>
    <w:rsid w:val="0061539B"/>
    <w:rsid w:val="00621A1D"/>
    <w:rsid w:val="00627437"/>
    <w:rsid w:val="00630F26"/>
    <w:rsid w:val="0063669B"/>
    <w:rsid w:val="0064137F"/>
    <w:rsid w:val="0064380A"/>
    <w:rsid w:val="006555CC"/>
    <w:rsid w:val="00655CBE"/>
    <w:rsid w:val="00663468"/>
    <w:rsid w:val="00665B57"/>
    <w:rsid w:val="00671666"/>
    <w:rsid w:val="00675156"/>
    <w:rsid w:val="006A7D13"/>
    <w:rsid w:val="006B1413"/>
    <w:rsid w:val="006B52ED"/>
    <w:rsid w:val="006B578A"/>
    <w:rsid w:val="006C2873"/>
    <w:rsid w:val="006C3D91"/>
    <w:rsid w:val="006C7FDD"/>
    <w:rsid w:val="006D05E3"/>
    <w:rsid w:val="006E5C5A"/>
    <w:rsid w:val="006E714B"/>
    <w:rsid w:val="006F3C4A"/>
    <w:rsid w:val="006F6778"/>
    <w:rsid w:val="006F69D6"/>
    <w:rsid w:val="0071237B"/>
    <w:rsid w:val="00714193"/>
    <w:rsid w:val="0071531F"/>
    <w:rsid w:val="007210CB"/>
    <w:rsid w:val="007317A4"/>
    <w:rsid w:val="007327E0"/>
    <w:rsid w:val="0073383C"/>
    <w:rsid w:val="00744845"/>
    <w:rsid w:val="007543C9"/>
    <w:rsid w:val="007549EA"/>
    <w:rsid w:val="00754B16"/>
    <w:rsid w:val="00764A45"/>
    <w:rsid w:val="0077287A"/>
    <w:rsid w:val="007809ED"/>
    <w:rsid w:val="00781D46"/>
    <w:rsid w:val="00784810"/>
    <w:rsid w:val="00785E11"/>
    <w:rsid w:val="007950D7"/>
    <w:rsid w:val="007B26ED"/>
    <w:rsid w:val="007B35ED"/>
    <w:rsid w:val="007B596D"/>
    <w:rsid w:val="007B687A"/>
    <w:rsid w:val="007C6917"/>
    <w:rsid w:val="007D39CB"/>
    <w:rsid w:val="007D40AE"/>
    <w:rsid w:val="007D7E98"/>
    <w:rsid w:val="007E12F7"/>
    <w:rsid w:val="007E2E9E"/>
    <w:rsid w:val="007E3AAB"/>
    <w:rsid w:val="007E6DD0"/>
    <w:rsid w:val="007F267E"/>
    <w:rsid w:val="007F7EB6"/>
    <w:rsid w:val="007F7F90"/>
    <w:rsid w:val="00801360"/>
    <w:rsid w:val="0080153E"/>
    <w:rsid w:val="00807C37"/>
    <w:rsid w:val="00815D92"/>
    <w:rsid w:val="00816E07"/>
    <w:rsid w:val="0082342E"/>
    <w:rsid w:val="00831128"/>
    <w:rsid w:val="00832611"/>
    <w:rsid w:val="00857E2B"/>
    <w:rsid w:val="008614F6"/>
    <w:rsid w:val="00865F67"/>
    <w:rsid w:val="0087120E"/>
    <w:rsid w:val="00880767"/>
    <w:rsid w:val="0088365D"/>
    <w:rsid w:val="00890260"/>
    <w:rsid w:val="00896828"/>
    <w:rsid w:val="008A0FB6"/>
    <w:rsid w:val="008A22B0"/>
    <w:rsid w:val="008B22C0"/>
    <w:rsid w:val="008C1BCE"/>
    <w:rsid w:val="008C4C90"/>
    <w:rsid w:val="008D309F"/>
    <w:rsid w:val="008D349D"/>
    <w:rsid w:val="008E08C8"/>
    <w:rsid w:val="008E4AB5"/>
    <w:rsid w:val="008E71E1"/>
    <w:rsid w:val="008F0519"/>
    <w:rsid w:val="008F0CD0"/>
    <w:rsid w:val="009050B8"/>
    <w:rsid w:val="00907FFE"/>
    <w:rsid w:val="00912C40"/>
    <w:rsid w:val="00914A55"/>
    <w:rsid w:val="00920157"/>
    <w:rsid w:val="0094054D"/>
    <w:rsid w:val="00940D53"/>
    <w:rsid w:val="0094122C"/>
    <w:rsid w:val="00943362"/>
    <w:rsid w:val="00943CB7"/>
    <w:rsid w:val="00945B0C"/>
    <w:rsid w:val="00951AFF"/>
    <w:rsid w:val="00951CC0"/>
    <w:rsid w:val="009544DE"/>
    <w:rsid w:val="00954B41"/>
    <w:rsid w:val="00957F4E"/>
    <w:rsid w:val="00960C43"/>
    <w:rsid w:val="00964A8C"/>
    <w:rsid w:val="00970EBA"/>
    <w:rsid w:val="00971411"/>
    <w:rsid w:val="009718D7"/>
    <w:rsid w:val="0097293E"/>
    <w:rsid w:val="00974668"/>
    <w:rsid w:val="009811B7"/>
    <w:rsid w:val="00985825"/>
    <w:rsid w:val="00995C42"/>
    <w:rsid w:val="009A3280"/>
    <w:rsid w:val="009B5482"/>
    <w:rsid w:val="009B7F82"/>
    <w:rsid w:val="009C1965"/>
    <w:rsid w:val="009C596B"/>
    <w:rsid w:val="009D6FC6"/>
    <w:rsid w:val="009E238A"/>
    <w:rsid w:val="009E5611"/>
    <w:rsid w:val="009F246E"/>
    <w:rsid w:val="009F29F6"/>
    <w:rsid w:val="00A03A8E"/>
    <w:rsid w:val="00A118CC"/>
    <w:rsid w:val="00A22B96"/>
    <w:rsid w:val="00A22DAA"/>
    <w:rsid w:val="00A462BE"/>
    <w:rsid w:val="00A51B0B"/>
    <w:rsid w:val="00A5791D"/>
    <w:rsid w:val="00A612F1"/>
    <w:rsid w:val="00A62056"/>
    <w:rsid w:val="00A72D77"/>
    <w:rsid w:val="00A80C30"/>
    <w:rsid w:val="00A82EE6"/>
    <w:rsid w:val="00A95A5F"/>
    <w:rsid w:val="00AB04D2"/>
    <w:rsid w:val="00AB3A00"/>
    <w:rsid w:val="00AB4CD4"/>
    <w:rsid w:val="00AB7C44"/>
    <w:rsid w:val="00AC3FB6"/>
    <w:rsid w:val="00AD4037"/>
    <w:rsid w:val="00AE39C0"/>
    <w:rsid w:val="00AF1453"/>
    <w:rsid w:val="00AF28AC"/>
    <w:rsid w:val="00AF457A"/>
    <w:rsid w:val="00B05094"/>
    <w:rsid w:val="00B315F0"/>
    <w:rsid w:val="00B33EB7"/>
    <w:rsid w:val="00B35F8E"/>
    <w:rsid w:val="00B447EB"/>
    <w:rsid w:val="00B463B7"/>
    <w:rsid w:val="00B476DB"/>
    <w:rsid w:val="00B51B66"/>
    <w:rsid w:val="00B530E9"/>
    <w:rsid w:val="00B60A73"/>
    <w:rsid w:val="00B71C7B"/>
    <w:rsid w:val="00B73289"/>
    <w:rsid w:val="00B80EAB"/>
    <w:rsid w:val="00B819FC"/>
    <w:rsid w:val="00B834B5"/>
    <w:rsid w:val="00B847B9"/>
    <w:rsid w:val="00B865BF"/>
    <w:rsid w:val="00B91200"/>
    <w:rsid w:val="00B949B2"/>
    <w:rsid w:val="00B97757"/>
    <w:rsid w:val="00BA013E"/>
    <w:rsid w:val="00BA58D0"/>
    <w:rsid w:val="00BA767E"/>
    <w:rsid w:val="00BB0BE7"/>
    <w:rsid w:val="00BC4905"/>
    <w:rsid w:val="00BD0A54"/>
    <w:rsid w:val="00BD6D26"/>
    <w:rsid w:val="00C04E1B"/>
    <w:rsid w:val="00C05B9E"/>
    <w:rsid w:val="00C05CD5"/>
    <w:rsid w:val="00C069C2"/>
    <w:rsid w:val="00C20262"/>
    <w:rsid w:val="00C23175"/>
    <w:rsid w:val="00C25A30"/>
    <w:rsid w:val="00C26FA8"/>
    <w:rsid w:val="00C271E6"/>
    <w:rsid w:val="00C36257"/>
    <w:rsid w:val="00C462B5"/>
    <w:rsid w:val="00C46CD5"/>
    <w:rsid w:val="00C64822"/>
    <w:rsid w:val="00C71FEB"/>
    <w:rsid w:val="00C75561"/>
    <w:rsid w:val="00C7651D"/>
    <w:rsid w:val="00C76728"/>
    <w:rsid w:val="00C82ACA"/>
    <w:rsid w:val="00CA0919"/>
    <w:rsid w:val="00CA1E88"/>
    <w:rsid w:val="00CA794E"/>
    <w:rsid w:val="00CB2B0A"/>
    <w:rsid w:val="00CB42CD"/>
    <w:rsid w:val="00CC2311"/>
    <w:rsid w:val="00CC64FE"/>
    <w:rsid w:val="00D015DB"/>
    <w:rsid w:val="00D01B5F"/>
    <w:rsid w:val="00D06802"/>
    <w:rsid w:val="00D13C4C"/>
    <w:rsid w:val="00D16DB8"/>
    <w:rsid w:val="00D172E0"/>
    <w:rsid w:val="00D203C3"/>
    <w:rsid w:val="00D23207"/>
    <w:rsid w:val="00D265F1"/>
    <w:rsid w:val="00D26AE5"/>
    <w:rsid w:val="00D27458"/>
    <w:rsid w:val="00D3047C"/>
    <w:rsid w:val="00D33A21"/>
    <w:rsid w:val="00D3779B"/>
    <w:rsid w:val="00D55EBD"/>
    <w:rsid w:val="00D626E3"/>
    <w:rsid w:val="00D65152"/>
    <w:rsid w:val="00D70903"/>
    <w:rsid w:val="00D748A9"/>
    <w:rsid w:val="00D76BCB"/>
    <w:rsid w:val="00D86F04"/>
    <w:rsid w:val="00D87B72"/>
    <w:rsid w:val="00D9036E"/>
    <w:rsid w:val="00DB4EBA"/>
    <w:rsid w:val="00DC41D4"/>
    <w:rsid w:val="00DC7584"/>
    <w:rsid w:val="00DE6B60"/>
    <w:rsid w:val="00DF1927"/>
    <w:rsid w:val="00DF561E"/>
    <w:rsid w:val="00DF612A"/>
    <w:rsid w:val="00E02997"/>
    <w:rsid w:val="00E03122"/>
    <w:rsid w:val="00E06F8F"/>
    <w:rsid w:val="00E13908"/>
    <w:rsid w:val="00E35A03"/>
    <w:rsid w:val="00E35BDB"/>
    <w:rsid w:val="00E436A5"/>
    <w:rsid w:val="00E43D1D"/>
    <w:rsid w:val="00E45CEE"/>
    <w:rsid w:val="00E51C32"/>
    <w:rsid w:val="00E56180"/>
    <w:rsid w:val="00E562AF"/>
    <w:rsid w:val="00E74B5A"/>
    <w:rsid w:val="00E758F6"/>
    <w:rsid w:val="00E80999"/>
    <w:rsid w:val="00E83A3C"/>
    <w:rsid w:val="00E95A39"/>
    <w:rsid w:val="00EA571E"/>
    <w:rsid w:val="00EB09C4"/>
    <w:rsid w:val="00EB0B18"/>
    <w:rsid w:val="00EB1390"/>
    <w:rsid w:val="00EB2EB7"/>
    <w:rsid w:val="00EB455C"/>
    <w:rsid w:val="00EE03F5"/>
    <w:rsid w:val="00EF32C4"/>
    <w:rsid w:val="00EF7E0A"/>
    <w:rsid w:val="00F006D9"/>
    <w:rsid w:val="00F1062E"/>
    <w:rsid w:val="00F13C33"/>
    <w:rsid w:val="00F1751F"/>
    <w:rsid w:val="00F204DB"/>
    <w:rsid w:val="00F21A24"/>
    <w:rsid w:val="00F328E4"/>
    <w:rsid w:val="00F350D8"/>
    <w:rsid w:val="00F369C3"/>
    <w:rsid w:val="00F40B62"/>
    <w:rsid w:val="00F42D1B"/>
    <w:rsid w:val="00F445C3"/>
    <w:rsid w:val="00F5274B"/>
    <w:rsid w:val="00F544DA"/>
    <w:rsid w:val="00F561FE"/>
    <w:rsid w:val="00F6185D"/>
    <w:rsid w:val="00F66A1B"/>
    <w:rsid w:val="00F7264F"/>
    <w:rsid w:val="00F73335"/>
    <w:rsid w:val="00F844C2"/>
    <w:rsid w:val="00F9338F"/>
    <w:rsid w:val="00FA2DF5"/>
    <w:rsid w:val="00FA4B31"/>
    <w:rsid w:val="00FB42CB"/>
    <w:rsid w:val="00FB703C"/>
    <w:rsid w:val="00FC0A4A"/>
    <w:rsid w:val="00FC6C9B"/>
    <w:rsid w:val="00FD3350"/>
    <w:rsid w:val="00FE2FE3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F43B7F-E5CE-49A8-AEDB-8D6BD287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49815687863604"/>
          <c:y val="6.2031223619690233E-2"/>
          <c:w val="0.79962468655411645"/>
          <c:h val="0.76531469514063433"/>
        </c:manualLayout>
      </c:layout>
      <c:barChart>
        <c:barDir val="col"/>
        <c:grouping val="percentStacked"/>
        <c:varyColors val="0"/>
        <c:ser>
          <c:idx val="3"/>
          <c:order val="0"/>
          <c:tx>
            <c:strRef>
              <c:f>'Appendix 4'!$F$9</c:f>
              <c:strCache>
                <c:ptCount val="1"/>
                <c:pt idx="0">
                  <c:v>Bottom zone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  <a:effectLst/>
            <a:sp3d>
              <a:contourClr>
                <a:schemeClr val="tx1">
                  <a:lumMod val="95000"/>
                  <a:lumOff val="5000"/>
                </a:schemeClr>
              </a:contourClr>
            </a:sp3d>
          </c:spPr>
          <c:invertIfNegative val="0"/>
          <c:cat>
            <c:multiLvlStrRef>
              <c:f>'Appendix 4'!$A$10:$B$25</c:f>
              <c:multiLvlStrCache>
                <c:ptCount val="16"/>
                <c:lvl>
                  <c:pt idx="0">
                    <c:v>12m</c:v>
                  </c:pt>
                  <c:pt idx="1">
                    <c:v>24m</c:v>
                  </c:pt>
                  <c:pt idx="2">
                    <c:v>30m</c:v>
                  </c:pt>
                  <c:pt idx="3">
                    <c:v>36m</c:v>
                  </c:pt>
                  <c:pt idx="4">
                    <c:v>12m</c:v>
                  </c:pt>
                  <c:pt idx="5">
                    <c:v>24m</c:v>
                  </c:pt>
                  <c:pt idx="6">
                    <c:v>30m</c:v>
                  </c:pt>
                  <c:pt idx="7">
                    <c:v>36m</c:v>
                  </c:pt>
                  <c:pt idx="8">
                    <c:v>12m</c:v>
                  </c:pt>
                  <c:pt idx="9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3">
                    <c:v>24m</c:v>
                  </c:pt>
                  <c:pt idx="14">
                    <c:v>30m</c:v>
                  </c:pt>
                  <c:pt idx="15">
                    <c:v>36m</c:v>
                  </c:pt>
                </c:lvl>
                <c:lvl>
                  <c:pt idx="0">
                    <c:v>Pyrethroid (PY) LLIN</c:v>
                  </c:pt>
                  <c:pt idx="4">
                    <c:v>Chlorfenapyr-PY LLIN</c:v>
                  </c:pt>
                  <c:pt idx="8">
                    <c:v>PBO-PY LLIN</c:v>
                  </c:pt>
                  <c:pt idx="12">
                    <c:v>Pyriproxyfen-PY LLIN</c:v>
                  </c:pt>
                </c:lvl>
              </c:multiLvlStrCache>
            </c:multiLvlStrRef>
          </c:cat>
          <c:val>
            <c:numRef>
              <c:f>'Appendix 4'!$F$10:$F$25</c:f>
              <c:numCache>
                <c:formatCode>General</c:formatCode>
                <c:ptCount val="16"/>
                <c:pt idx="0">
                  <c:v>5.01</c:v>
                </c:pt>
                <c:pt idx="1">
                  <c:v>8.26</c:v>
                </c:pt>
                <c:pt idx="2">
                  <c:v>9.5500000000000007</c:v>
                </c:pt>
                <c:pt idx="3">
                  <c:v>11.16</c:v>
                </c:pt>
                <c:pt idx="4">
                  <c:v>4.9800000000000004</c:v>
                </c:pt>
                <c:pt idx="5">
                  <c:v>10</c:v>
                </c:pt>
                <c:pt idx="6">
                  <c:v>11.72</c:v>
                </c:pt>
                <c:pt idx="7">
                  <c:v>10.130000000000001</c:v>
                </c:pt>
                <c:pt idx="8">
                  <c:v>6.36</c:v>
                </c:pt>
                <c:pt idx="9">
                  <c:v>5.74</c:v>
                </c:pt>
                <c:pt idx="10">
                  <c:v>9.0299999999999994</c:v>
                </c:pt>
                <c:pt idx="11">
                  <c:v>7.41</c:v>
                </c:pt>
                <c:pt idx="12">
                  <c:v>4.51</c:v>
                </c:pt>
                <c:pt idx="13">
                  <c:v>6.48</c:v>
                </c:pt>
                <c:pt idx="14">
                  <c:v>7.22</c:v>
                </c:pt>
                <c:pt idx="15">
                  <c:v>6.99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4FB-4264-B8C3-F5020D1B1CB4}"/>
            </c:ext>
          </c:extLst>
        </c:ser>
        <c:ser>
          <c:idx val="2"/>
          <c:order val="1"/>
          <c:tx>
            <c:strRef>
              <c:f>'Appendix 4'!$E$9</c:f>
              <c:strCache>
                <c:ptCount val="1"/>
                <c:pt idx="0">
                  <c:v>Mid lower zone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6350">
              <a:solidFill>
                <a:schemeClr val="tx1">
                  <a:lumMod val="65000"/>
                  <a:lumOff val="35000"/>
                </a:schemeClr>
              </a:solidFill>
              <a:prstDash val="dashDot"/>
            </a:ln>
            <a:effectLst/>
            <a:sp3d contourW="6350">
              <a:contourClr>
                <a:schemeClr val="tx1">
                  <a:lumMod val="65000"/>
                  <a:lumOff val="35000"/>
                </a:schemeClr>
              </a:contourClr>
            </a:sp3d>
          </c:spPr>
          <c:invertIfNegative val="0"/>
          <c:cat>
            <c:multiLvlStrRef>
              <c:f>'Appendix 4'!$A$10:$B$25</c:f>
              <c:multiLvlStrCache>
                <c:ptCount val="16"/>
                <c:lvl>
                  <c:pt idx="0">
                    <c:v>12m</c:v>
                  </c:pt>
                  <c:pt idx="1">
                    <c:v>24m</c:v>
                  </c:pt>
                  <c:pt idx="2">
                    <c:v>30m</c:v>
                  </c:pt>
                  <c:pt idx="3">
                    <c:v>36m</c:v>
                  </c:pt>
                  <c:pt idx="4">
                    <c:v>12m</c:v>
                  </c:pt>
                  <c:pt idx="5">
                    <c:v>24m</c:v>
                  </c:pt>
                  <c:pt idx="6">
                    <c:v>30m</c:v>
                  </c:pt>
                  <c:pt idx="7">
                    <c:v>36m</c:v>
                  </c:pt>
                  <c:pt idx="8">
                    <c:v>12m</c:v>
                  </c:pt>
                  <c:pt idx="9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3">
                    <c:v>24m</c:v>
                  </c:pt>
                  <c:pt idx="14">
                    <c:v>30m</c:v>
                  </c:pt>
                  <c:pt idx="15">
                    <c:v>36m</c:v>
                  </c:pt>
                </c:lvl>
                <c:lvl>
                  <c:pt idx="0">
                    <c:v>Pyrethroid (PY) LLIN</c:v>
                  </c:pt>
                  <c:pt idx="4">
                    <c:v>Chlorfenapyr-PY LLIN</c:v>
                  </c:pt>
                  <c:pt idx="8">
                    <c:v>PBO-PY LLIN</c:v>
                  </c:pt>
                  <c:pt idx="12">
                    <c:v>Pyriproxyfen-PY LLIN</c:v>
                  </c:pt>
                </c:lvl>
              </c:multiLvlStrCache>
            </c:multiLvlStrRef>
          </c:cat>
          <c:val>
            <c:numRef>
              <c:f>'Appendix 4'!$E$10:$E$25</c:f>
              <c:numCache>
                <c:formatCode>General</c:formatCode>
                <c:ptCount val="16"/>
                <c:pt idx="0">
                  <c:v>4.54</c:v>
                </c:pt>
                <c:pt idx="1">
                  <c:v>3.24</c:v>
                </c:pt>
                <c:pt idx="2">
                  <c:v>3.8</c:v>
                </c:pt>
                <c:pt idx="3">
                  <c:v>4.55</c:v>
                </c:pt>
                <c:pt idx="4">
                  <c:v>4.46</c:v>
                </c:pt>
                <c:pt idx="5">
                  <c:v>4.63</c:v>
                </c:pt>
                <c:pt idx="6">
                  <c:v>4.83</c:v>
                </c:pt>
                <c:pt idx="7">
                  <c:v>4.54</c:v>
                </c:pt>
                <c:pt idx="8">
                  <c:v>4.3499999999999996</c:v>
                </c:pt>
                <c:pt idx="9">
                  <c:v>4.3600000000000003</c:v>
                </c:pt>
                <c:pt idx="10">
                  <c:v>5.97</c:v>
                </c:pt>
                <c:pt idx="11">
                  <c:v>4.1100000000000003</c:v>
                </c:pt>
                <c:pt idx="12">
                  <c:v>2.82</c:v>
                </c:pt>
                <c:pt idx="13">
                  <c:v>3.68</c:v>
                </c:pt>
                <c:pt idx="14">
                  <c:v>3.98</c:v>
                </c:pt>
                <c:pt idx="15">
                  <c:v>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4FB-4264-B8C3-F5020D1B1CB4}"/>
            </c:ext>
          </c:extLst>
        </c:ser>
        <c:ser>
          <c:idx val="1"/>
          <c:order val="2"/>
          <c:tx>
            <c:strRef>
              <c:f>'Appendix 4'!$D$9</c:f>
              <c:strCache>
                <c:ptCount val="1"/>
                <c:pt idx="0">
                  <c:v>Upper zone</c:v>
                </c:pt>
              </c:strCache>
            </c:strRef>
          </c:tx>
          <c:spPr>
            <a:solidFill>
              <a:srgbClr val="7F6000"/>
            </a:solidFill>
            <a:ln>
              <a:noFill/>
            </a:ln>
            <a:effectLst/>
          </c:spPr>
          <c:invertIfNegative val="1"/>
          <c:cat>
            <c:multiLvlStrRef>
              <c:f>'Appendix 4'!$A$10:$B$25</c:f>
              <c:multiLvlStrCache>
                <c:ptCount val="16"/>
                <c:lvl>
                  <c:pt idx="0">
                    <c:v>12m</c:v>
                  </c:pt>
                  <c:pt idx="1">
                    <c:v>24m</c:v>
                  </c:pt>
                  <c:pt idx="2">
                    <c:v>30m</c:v>
                  </c:pt>
                  <c:pt idx="3">
                    <c:v>36m</c:v>
                  </c:pt>
                  <c:pt idx="4">
                    <c:v>12m</c:v>
                  </c:pt>
                  <c:pt idx="5">
                    <c:v>24m</c:v>
                  </c:pt>
                  <c:pt idx="6">
                    <c:v>30m</c:v>
                  </c:pt>
                  <c:pt idx="7">
                    <c:v>36m</c:v>
                  </c:pt>
                  <c:pt idx="8">
                    <c:v>12m</c:v>
                  </c:pt>
                  <c:pt idx="9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3">
                    <c:v>24m</c:v>
                  </c:pt>
                  <c:pt idx="14">
                    <c:v>30m</c:v>
                  </c:pt>
                  <c:pt idx="15">
                    <c:v>36m</c:v>
                  </c:pt>
                </c:lvl>
                <c:lvl>
                  <c:pt idx="0">
                    <c:v>Pyrethroid (PY) LLIN</c:v>
                  </c:pt>
                  <c:pt idx="4">
                    <c:v>Chlorfenapyr-PY LLIN</c:v>
                  </c:pt>
                  <c:pt idx="8">
                    <c:v>PBO-PY LLIN</c:v>
                  </c:pt>
                  <c:pt idx="12">
                    <c:v>Pyriproxyfen-PY LLIN</c:v>
                  </c:pt>
                </c:lvl>
              </c:multiLvlStrCache>
            </c:multiLvlStrRef>
          </c:cat>
          <c:val>
            <c:numRef>
              <c:f>'Appendix 4'!$D$10:$D$25</c:f>
              <c:numCache>
                <c:formatCode>General</c:formatCode>
                <c:ptCount val="16"/>
                <c:pt idx="0">
                  <c:v>2.8</c:v>
                </c:pt>
                <c:pt idx="1">
                  <c:v>4.0599999999999996</c:v>
                </c:pt>
                <c:pt idx="2">
                  <c:v>4.3099999999999996</c:v>
                </c:pt>
                <c:pt idx="3">
                  <c:v>4.46</c:v>
                </c:pt>
                <c:pt idx="4">
                  <c:v>2.9</c:v>
                </c:pt>
                <c:pt idx="5">
                  <c:v>4.47</c:v>
                </c:pt>
                <c:pt idx="6">
                  <c:v>5.15</c:v>
                </c:pt>
                <c:pt idx="7">
                  <c:v>4.42</c:v>
                </c:pt>
                <c:pt idx="8">
                  <c:v>2.59</c:v>
                </c:pt>
                <c:pt idx="9">
                  <c:v>4.47</c:v>
                </c:pt>
                <c:pt idx="10">
                  <c:v>4.01</c:v>
                </c:pt>
                <c:pt idx="11">
                  <c:v>4.99</c:v>
                </c:pt>
                <c:pt idx="12">
                  <c:v>2.2200000000000002</c:v>
                </c:pt>
                <c:pt idx="13">
                  <c:v>4.6100000000000003</c:v>
                </c:pt>
                <c:pt idx="14">
                  <c:v>3.95</c:v>
                </c:pt>
                <c:pt idx="15">
                  <c:v>2.73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4FB-4264-B8C3-F5020D1B1CB4}"/>
            </c:ex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ser>
          <c:idx val="0"/>
          <c:order val="3"/>
          <c:tx>
            <c:strRef>
              <c:f>'Appendix 4'!$C$9</c:f>
              <c:strCache>
                <c:ptCount val="1"/>
                <c:pt idx="0">
                  <c:v>Roof</c:v>
                </c:pt>
              </c:strCache>
            </c:strRef>
          </c:tx>
          <c:spPr>
            <a:solidFill>
              <a:srgbClr val="843C0C"/>
            </a:solidFill>
            <a:ln w="12700" cmpd="dbl">
              <a:solidFill>
                <a:schemeClr val="tx1">
                  <a:lumMod val="95000"/>
                  <a:lumOff val="5000"/>
                </a:schemeClr>
              </a:solidFill>
              <a:prstDash val="sysDash"/>
            </a:ln>
            <a:effectLst/>
            <a:sp3d contourW="12700">
              <a:contourClr>
                <a:schemeClr val="tx1">
                  <a:lumMod val="95000"/>
                  <a:lumOff val="5000"/>
                </a:schemeClr>
              </a:contourClr>
            </a:sp3d>
          </c:spPr>
          <c:invertIfNegative val="1"/>
          <c:cat>
            <c:multiLvlStrRef>
              <c:f>'Appendix 4'!$A$10:$B$25</c:f>
              <c:multiLvlStrCache>
                <c:ptCount val="16"/>
                <c:lvl>
                  <c:pt idx="0">
                    <c:v>12m</c:v>
                  </c:pt>
                  <c:pt idx="1">
                    <c:v>24m</c:v>
                  </c:pt>
                  <c:pt idx="2">
                    <c:v>30m</c:v>
                  </c:pt>
                  <c:pt idx="3">
                    <c:v>36m</c:v>
                  </c:pt>
                  <c:pt idx="4">
                    <c:v>12m</c:v>
                  </c:pt>
                  <c:pt idx="5">
                    <c:v>24m</c:v>
                  </c:pt>
                  <c:pt idx="6">
                    <c:v>30m</c:v>
                  </c:pt>
                  <c:pt idx="7">
                    <c:v>36m</c:v>
                  </c:pt>
                  <c:pt idx="8">
                    <c:v>12m</c:v>
                  </c:pt>
                  <c:pt idx="9">
                    <c:v>24m</c:v>
                  </c:pt>
                  <c:pt idx="10">
                    <c:v>30m</c:v>
                  </c:pt>
                  <c:pt idx="11">
                    <c:v>36m</c:v>
                  </c:pt>
                  <c:pt idx="12">
                    <c:v>12m</c:v>
                  </c:pt>
                  <c:pt idx="13">
                    <c:v>24m</c:v>
                  </c:pt>
                  <c:pt idx="14">
                    <c:v>30m</c:v>
                  </c:pt>
                  <c:pt idx="15">
                    <c:v>36m</c:v>
                  </c:pt>
                </c:lvl>
                <c:lvl>
                  <c:pt idx="0">
                    <c:v>Pyrethroid (PY) LLIN</c:v>
                  </c:pt>
                  <c:pt idx="4">
                    <c:v>Chlorfenapyr-PY LLIN</c:v>
                  </c:pt>
                  <c:pt idx="8">
                    <c:v>PBO-PY LLIN</c:v>
                  </c:pt>
                  <c:pt idx="12">
                    <c:v>Pyriproxyfen-PY LLIN</c:v>
                  </c:pt>
                </c:lvl>
              </c:multiLvlStrCache>
            </c:multiLvlStrRef>
          </c:cat>
          <c:val>
            <c:numRef>
              <c:f>'Appendix 4'!$C$10:$C$25</c:f>
              <c:numCache>
                <c:formatCode>General</c:formatCode>
                <c:ptCount val="16"/>
                <c:pt idx="0">
                  <c:v>1.33</c:v>
                </c:pt>
                <c:pt idx="1">
                  <c:v>1.55</c:v>
                </c:pt>
                <c:pt idx="2">
                  <c:v>1.47</c:v>
                </c:pt>
                <c:pt idx="3">
                  <c:v>2.1800000000000002</c:v>
                </c:pt>
                <c:pt idx="4">
                  <c:v>1.21</c:v>
                </c:pt>
                <c:pt idx="5">
                  <c:v>1.75</c:v>
                </c:pt>
                <c:pt idx="6">
                  <c:v>2.23</c:v>
                </c:pt>
                <c:pt idx="7">
                  <c:v>1.8</c:v>
                </c:pt>
                <c:pt idx="8">
                  <c:v>0.91</c:v>
                </c:pt>
                <c:pt idx="9">
                  <c:v>2.13</c:v>
                </c:pt>
                <c:pt idx="10">
                  <c:v>0.83</c:v>
                </c:pt>
                <c:pt idx="11">
                  <c:v>2.61</c:v>
                </c:pt>
                <c:pt idx="12">
                  <c:v>1.04</c:v>
                </c:pt>
                <c:pt idx="13">
                  <c:v>2.2200000000000002</c:v>
                </c:pt>
                <c:pt idx="14">
                  <c:v>1.23</c:v>
                </c:pt>
                <c:pt idx="15">
                  <c:v>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4FB-4264-B8C3-F5020D1B1CB4}"/>
            </c:ex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0" cmpd="dbl">
                    <a:solidFill>
                      <a:schemeClr val="tx1">
                        <a:lumMod val="95000"/>
                        <a:lumOff val="5000"/>
                      </a:schemeClr>
                    </a:solidFill>
                    <a:prstDash val="sysDash"/>
                  </a:ln>
                  <a:effectLst/>
                  <a:sp3d contourW="12700">
                    <a:contourClr>
                      <a:schemeClr val="tx1">
                        <a:lumMod val="95000"/>
                        <a:lumOff val="5000"/>
                      </a:schemeClr>
                    </a:contourClr>
                  </a:sp3d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13197792"/>
        <c:axId val="113198880"/>
      </c:barChart>
      <c:catAx>
        <c:axId val="113197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198880"/>
        <c:crosses val="autoZero"/>
        <c:auto val="1"/>
        <c:lblAlgn val="ctr"/>
        <c:lblOffset val="100"/>
        <c:noMultiLvlLbl val="0"/>
      </c:catAx>
      <c:valAx>
        <c:axId val="113198880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197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560116618644952E-2"/>
          <c:y val="0.9459417247565246"/>
          <c:w val="0.57560365459951079"/>
          <c:h val="5.35323269258568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0.65236</cdr:x>
      <cdr:y>0.94291</cdr:y>
    </cdr:from>
    <cdr:to>
      <cdr:x>0.95669</cdr:x>
      <cdr:y>1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5346700" y="4509770"/>
          <a:ext cx="2494280" cy="27305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b="1"/>
            <a:t>*m=months post-intervention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0</DocSecurity>
  <Lines>1</Lines>
  <Paragraphs>1</Paragraphs>
  <ScaleCrop>false</ScaleCrop>
  <Company>HP Inc.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Juliet  Jothinathan</dc:creator>
  <cp:keywords/>
  <dc:description/>
  <cp:lastModifiedBy>Abi Juliet  Jothinathan</cp:lastModifiedBy>
  <cp:revision>1</cp:revision>
  <dcterms:created xsi:type="dcterms:W3CDTF">2024-06-25T07:18:00Z</dcterms:created>
  <dcterms:modified xsi:type="dcterms:W3CDTF">2024-06-25T07:22:00Z</dcterms:modified>
</cp:coreProperties>
</file>