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074B" w:rsidRPr="008E341A" w:rsidRDefault="00DD074B" w:rsidP="00DD074B">
      <w:pPr>
        <w:tabs>
          <w:tab w:val="left" w:pos="5560"/>
        </w:tabs>
        <w:rPr>
          <w:rFonts w:ascii="Times New Roman" w:hAnsi="Times New Roman" w:cs="Times New Roman"/>
          <w:sz w:val="24"/>
          <w:szCs w:val="24"/>
        </w:rPr>
      </w:pPr>
      <w:r w:rsidRPr="008E341A">
        <w:rPr>
          <w:rFonts w:ascii="Times New Roman" w:hAnsi="Times New Roman" w:cs="Times New Roman"/>
          <w:sz w:val="24"/>
          <w:szCs w:val="24"/>
        </w:rPr>
        <w:t xml:space="preserve">Appendix 5: Mean height of the study net at 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8E341A">
        <w:rPr>
          <w:rFonts w:ascii="Times New Roman" w:hAnsi="Times New Roman" w:cs="Times New Roman"/>
          <w:sz w:val="24"/>
          <w:szCs w:val="24"/>
        </w:rPr>
        <w:t xml:space="preserve">0, 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8E341A">
        <w:rPr>
          <w:rFonts w:ascii="Times New Roman" w:hAnsi="Times New Roman" w:cs="Times New Roman"/>
          <w:sz w:val="24"/>
          <w:szCs w:val="24"/>
        </w:rPr>
        <w:t xml:space="preserve">30 and 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8E341A">
        <w:rPr>
          <w:rFonts w:ascii="Times New Roman" w:hAnsi="Times New Roman" w:cs="Times New Roman"/>
          <w:sz w:val="24"/>
          <w:szCs w:val="24"/>
        </w:rPr>
        <w:t>36</w:t>
      </w:r>
    </w:p>
    <w:p w:rsidR="00DD074B" w:rsidRPr="008E341A" w:rsidRDefault="00DD074B" w:rsidP="00DD074B">
      <w:pPr>
        <w:tabs>
          <w:tab w:val="left" w:pos="5560"/>
        </w:tabs>
        <w:rPr>
          <w:rFonts w:ascii="Times New Roman" w:hAnsi="Times New Roman" w:cs="Times New Roman"/>
          <w:sz w:val="24"/>
          <w:szCs w:val="24"/>
        </w:rPr>
      </w:pPr>
      <w:r w:rsidRPr="008E341A">
        <w:rPr>
          <w:rFonts w:ascii="Times New Roman" w:hAnsi="Times New Roman" w:cs="Times New Roman"/>
          <w:noProof/>
          <w:sz w:val="24"/>
          <w:szCs w:val="24"/>
          <w:lang w:eastAsia="en-IN"/>
        </w:rPr>
        <w:drawing>
          <wp:inline distT="0" distB="0" distL="0" distR="0" wp14:anchorId="59E2DD9F" wp14:editId="6F5CF40D">
            <wp:extent cx="4320540" cy="4678680"/>
            <wp:effectExtent l="0" t="0" r="3810" b="7620"/>
            <wp:docPr id="3" name="Chart 3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551E620E-248F-4A12-B446-B314B9F76B6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DD074B" w:rsidRPr="008E341A" w:rsidRDefault="00DD074B" w:rsidP="00DD074B">
      <w:pPr>
        <w:tabs>
          <w:tab w:val="left" w:pos="5560"/>
        </w:tabs>
        <w:rPr>
          <w:rFonts w:ascii="Times New Roman" w:hAnsi="Times New Roman" w:cs="Times New Roman"/>
          <w:sz w:val="24"/>
          <w:szCs w:val="24"/>
        </w:rPr>
      </w:pPr>
    </w:p>
    <w:p w:rsidR="00754B16" w:rsidRDefault="00754B16">
      <w:bookmarkStart w:id="0" w:name="_GoBack"/>
      <w:bookmarkEnd w:id="0"/>
    </w:p>
    <w:sectPr w:rsidR="00754B1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074B"/>
    <w:rsid w:val="0000325E"/>
    <w:rsid w:val="0001531A"/>
    <w:rsid w:val="000155B8"/>
    <w:rsid w:val="000225CB"/>
    <w:rsid w:val="00025DF9"/>
    <w:rsid w:val="00030FD1"/>
    <w:rsid w:val="00034BA0"/>
    <w:rsid w:val="00041920"/>
    <w:rsid w:val="00042F44"/>
    <w:rsid w:val="00053CA8"/>
    <w:rsid w:val="00061A93"/>
    <w:rsid w:val="00081438"/>
    <w:rsid w:val="00083170"/>
    <w:rsid w:val="00091380"/>
    <w:rsid w:val="00091392"/>
    <w:rsid w:val="00092F8F"/>
    <w:rsid w:val="000946E4"/>
    <w:rsid w:val="00096554"/>
    <w:rsid w:val="000A1F34"/>
    <w:rsid w:val="000A466E"/>
    <w:rsid w:val="000A4BAB"/>
    <w:rsid w:val="000A4F16"/>
    <w:rsid w:val="000B0A24"/>
    <w:rsid w:val="000B67B4"/>
    <w:rsid w:val="000C50FD"/>
    <w:rsid w:val="000E045F"/>
    <w:rsid w:val="000E046B"/>
    <w:rsid w:val="000E3CD0"/>
    <w:rsid w:val="000E7D0B"/>
    <w:rsid w:val="001033B6"/>
    <w:rsid w:val="00131A80"/>
    <w:rsid w:val="00131ECD"/>
    <w:rsid w:val="0013515A"/>
    <w:rsid w:val="001437FF"/>
    <w:rsid w:val="0015087A"/>
    <w:rsid w:val="00152D9C"/>
    <w:rsid w:val="00155FC3"/>
    <w:rsid w:val="001665E9"/>
    <w:rsid w:val="00167596"/>
    <w:rsid w:val="00170804"/>
    <w:rsid w:val="00172AC1"/>
    <w:rsid w:val="001742B3"/>
    <w:rsid w:val="0018470E"/>
    <w:rsid w:val="0018630F"/>
    <w:rsid w:val="00186859"/>
    <w:rsid w:val="001A027B"/>
    <w:rsid w:val="001A61D2"/>
    <w:rsid w:val="001C49A7"/>
    <w:rsid w:val="001D0B61"/>
    <w:rsid w:val="001D56FA"/>
    <w:rsid w:val="001E411B"/>
    <w:rsid w:val="00221435"/>
    <w:rsid w:val="002400A2"/>
    <w:rsid w:val="002428BF"/>
    <w:rsid w:val="00243075"/>
    <w:rsid w:val="002522ED"/>
    <w:rsid w:val="00252FF6"/>
    <w:rsid w:val="00255054"/>
    <w:rsid w:val="002608D9"/>
    <w:rsid w:val="002622F8"/>
    <w:rsid w:val="002668FC"/>
    <w:rsid w:val="002745F2"/>
    <w:rsid w:val="00287023"/>
    <w:rsid w:val="00296C06"/>
    <w:rsid w:val="0029756D"/>
    <w:rsid w:val="002A35AA"/>
    <w:rsid w:val="002B3BA4"/>
    <w:rsid w:val="002E0C91"/>
    <w:rsid w:val="002F51B2"/>
    <w:rsid w:val="003050B6"/>
    <w:rsid w:val="003068C3"/>
    <w:rsid w:val="003076B7"/>
    <w:rsid w:val="0033323F"/>
    <w:rsid w:val="0033420A"/>
    <w:rsid w:val="0035077B"/>
    <w:rsid w:val="00351B37"/>
    <w:rsid w:val="003525B2"/>
    <w:rsid w:val="003534A2"/>
    <w:rsid w:val="00354F5E"/>
    <w:rsid w:val="0035526E"/>
    <w:rsid w:val="00357BCB"/>
    <w:rsid w:val="00363D62"/>
    <w:rsid w:val="00364DF1"/>
    <w:rsid w:val="003753A1"/>
    <w:rsid w:val="0037579D"/>
    <w:rsid w:val="00376ADA"/>
    <w:rsid w:val="00391546"/>
    <w:rsid w:val="003A05BC"/>
    <w:rsid w:val="003A1B3D"/>
    <w:rsid w:val="003B33EB"/>
    <w:rsid w:val="003C0D56"/>
    <w:rsid w:val="003C1F11"/>
    <w:rsid w:val="003D5FDC"/>
    <w:rsid w:val="003E4891"/>
    <w:rsid w:val="003F709D"/>
    <w:rsid w:val="003F7669"/>
    <w:rsid w:val="004057D0"/>
    <w:rsid w:val="00405E0C"/>
    <w:rsid w:val="00406341"/>
    <w:rsid w:val="004269AA"/>
    <w:rsid w:val="00433129"/>
    <w:rsid w:val="004375E9"/>
    <w:rsid w:val="0045514D"/>
    <w:rsid w:val="00460708"/>
    <w:rsid w:val="00462A89"/>
    <w:rsid w:val="004678FA"/>
    <w:rsid w:val="004707C0"/>
    <w:rsid w:val="0047369C"/>
    <w:rsid w:val="00481DFA"/>
    <w:rsid w:val="00494328"/>
    <w:rsid w:val="004958F2"/>
    <w:rsid w:val="004A48FF"/>
    <w:rsid w:val="004B1941"/>
    <w:rsid w:val="004C173B"/>
    <w:rsid w:val="004C5ED5"/>
    <w:rsid w:val="004D0966"/>
    <w:rsid w:val="004D35B0"/>
    <w:rsid w:val="004D4C5C"/>
    <w:rsid w:val="004D60BE"/>
    <w:rsid w:val="004E06EA"/>
    <w:rsid w:val="004F0BB6"/>
    <w:rsid w:val="004F63E6"/>
    <w:rsid w:val="004F69F1"/>
    <w:rsid w:val="004F7AF5"/>
    <w:rsid w:val="00516BC3"/>
    <w:rsid w:val="005317EF"/>
    <w:rsid w:val="005510F0"/>
    <w:rsid w:val="005574DA"/>
    <w:rsid w:val="0058208D"/>
    <w:rsid w:val="005838F8"/>
    <w:rsid w:val="00584968"/>
    <w:rsid w:val="00593152"/>
    <w:rsid w:val="00597CBE"/>
    <w:rsid w:val="005B790A"/>
    <w:rsid w:val="005C676D"/>
    <w:rsid w:val="005D4C1A"/>
    <w:rsid w:val="005D6B42"/>
    <w:rsid w:val="005E03E1"/>
    <w:rsid w:val="005E6F64"/>
    <w:rsid w:val="005F4C22"/>
    <w:rsid w:val="00604CB1"/>
    <w:rsid w:val="0061100A"/>
    <w:rsid w:val="0061539B"/>
    <w:rsid w:val="00621A1D"/>
    <w:rsid w:val="00627437"/>
    <w:rsid w:val="00630F26"/>
    <w:rsid w:val="0063669B"/>
    <w:rsid w:val="0064137F"/>
    <w:rsid w:val="0064380A"/>
    <w:rsid w:val="006555CC"/>
    <w:rsid w:val="00655CBE"/>
    <w:rsid w:val="00663468"/>
    <w:rsid w:val="00665B57"/>
    <w:rsid w:val="00671666"/>
    <w:rsid w:val="00675156"/>
    <w:rsid w:val="006A7D13"/>
    <w:rsid w:val="006B1413"/>
    <w:rsid w:val="006B52ED"/>
    <w:rsid w:val="006B578A"/>
    <w:rsid w:val="006C2873"/>
    <w:rsid w:val="006C3D91"/>
    <w:rsid w:val="006C7FDD"/>
    <w:rsid w:val="006D05E3"/>
    <w:rsid w:val="006E5C5A"/>
    <w:rsid w:val="006E714B"/>
    <w:rsid w:val="006F3C4A"/>
    <w:rsid w:val="006F6778"/>
    <w:rsid w:val="006F69D6"/>
    <w:rsid w:val="0071237B"/>
    <w:rsid w:val="00714193"/>
    <w:rsid w:val="0071531F"/>
    <w:rsid w:val="007210CB"/>
    <w:rsid w:val="007317A4"/>
    <w:rsid w:val="007327E0"/>
    <w:rsid w:val="0073383C"/>
    <w:rsid w:val="00744845"/>
    <w:rsid w:val="007543C9"/>
    <w:rsid w:val="007549EA"/>
    <w:rsid w:val="00754B16"/>
    <w:rsid w:val="00764A45"/>
    <w:rsid w:val="0077287A"/>
    <w:rsid w:val="007809ED"/>
    <w:rsid w:val="00781D46"/>
    <w:rsid w:val="00784810"/>
    <w:rsid w:val="00785E11"/>
    <w:rsid w:val="007950D7"/>
    <w:rsid w:val="007B26ED"/>
    <w:rsid w:val="007B35ED"/>
    <w:rsid w:val="007B596D"/>
    <w:rsid w:val="007B687A"/>
    <w:rsid w:val="007C6917"/>
    <w:rsid w:val="007D39CB"/>
    <w:rsid w:val="007D40AE"/>
    <w:rsid w:val="007D7E98"/>
    <w:rsid w:val="007E12F7"/>
    <w:rsid w:val="007E2E9E"/>
    <w:rsid w:val="007E3AAB"/>
    <w:rsid w:val="007E6DD0"/>
    <w:rsid w:val="007F267E"/>
    <w:rsid w:val="007F7EB6"/>
    <w:rsid w:val="007F7F90"/>
    <w:rsid w:val="00801360"/>
    <w:rsid w:val="0080153E"/>
    <w:rsid w:val="00807C37"/>
    <w:rsid w:val="00815D92"/>
    <w:rsid w:val="00816E07"/>
    <w:rsid w:val="0082342E"/>
    <w:rsid w:val="00831128"/>
    <w:rsid w:val="00832611"/>
    <w:rsid w:val="00857E2B"/>
    <w:rsid w:val="008614F6"/>
    <w:rsid w:val="00865F67"/>
    <w:rsid w:val="0087120E"/>
    <w:rsid w:val="00880767"/>
    <w:rsid w:val="0088365D"/>
    <w:rsid w:val="00890260"/>
    <w:rsid w:val="00896828"/>
    <w:rsid w:val="008A0FB6"/>
    <w:rsid w:val="008A22B0"/>
    <w:rsid w:val="008B22C0"/>
    <w:rsid w:val="008C1BCE"/>
    <w:rsid w:val="008C4C90"/>
    <w:rsid w:val="008D309F"/>
    <w:rsid w:val="008D349D"/>
    <w:rsid w:val="008E08C8"/>
    <w:rsid w:val="008E4AB5"/>
    <w:rsid w:val="008E71E1"/>
    <w:rsid w:val="008F0519"/>
    <w:rsid w:val="008F0CD0"/>
    <w:rsid w:val="009050B8"/>
    <w:rsid w:val="00907FFE"/>
    <w:rsid w:val="00912C40"/>
    <w:rsid w:val="00914A55"/>
    <w:rsid w:val="00920157"/>
    <w:rsid w:val="0094054D"/>
    <w:rsid w:val="00940D53"/>
    <w:rsid w:val="0094122C"/>
    <w:rsid w:val="00943362"/>
    <w:rsid w:val="00943CB7"/>
    <w:rsid w:val="00945B0C"/>
    <w:rsid w:val="00951AFF"/>
    <w:rsid w:val="00951CC0"/>
    <w:rsid w:val="009544DE"/>
    <w:rsid w:val="00954B41"/>
    <w:rsid w:val="00957F4E"/>
    <w:rsid w:val="00960C43"/>
    <w:rsid w:val="00964A8C"/>
    <w:rsid w:val="00970EBA"/>
    <w:rsid w:val="00971411"/>
    <w:rsid w:val="009718D7"/>
    <w:rsid w:val="0097293E"/>
    <w:rsid w:val="00974668"/>
    <w:rsid w:val="009811B7"/>
    <w:rsid w:val="00985825"/>
    <w:rsid w:val="00995C42"/>
    <w:rsid w:val="009A3280"/>
    <w:rsid w:val="009B5482"/>
    <w:rsid w:val="009B7F82"/>
    <w:rsid w:val="009C1965"/>
    <w:rsid w:val="009C596B"/>
    <w:rsid w:val="009D6FC6"/>
    <w:rsid w:val="009E238A"/>
    <w:rsid w:val="009E5611"/>
    <w:rsid w:val="009F246E"/>
    <w:rsid w:val="009F29F6"/>
    <w:rsid w:val="00A03A8E"/>
    <w:rsid w:val="00A118CC"/>
    <w:rsid w:val="00A22B96"/>
    <w:rsid w:val="00A22DAA"/>
    <w:rsid w:val="00A462BE"/>
    <w:rsid w:val="00A51B0B"/>
    <w:rsid w:val="00A5791D"/>
    <w:rsid w:val="00A612F1"/>
    <w:rsid w:val="00A62056"/>
    <w:rsid w:val="00A72D77"/>
    <w:rsid w:val="00A80C30"/>
    <w:rsid w:val="00A82EE6"/>
    <w:rsid w:val="00A95A5F"/>
    <w:rsid w:val="00AB04D2"/>
    <w:rsid w:val="00AB3A00"/>
    <w:rsid w:val="00AB4CD4"/>
    <w:rsid w:val="00AB7C44"/>
    <w:rsid w:val="00AC3FB6"/>
    <w:rsid w:val="00AD4037"/>
    <w:rsid w:val="00AE39C0"/>
    <w:rsid w:val="00AF1453"/>
    <w:rsid w:val="00AF28AC"/>
    <w:rsid w:val="00AF457A"/>
    <w:rsid w:val="00B05094"/>
    <w:rsid w:val="00B315F0"/>
    <w:rsid w:val="00B33EB7"/>
    <w:rsid w:val="00B35F8E"/>
    <w:rsid w:val="00B447EB"/>
    <w:rsid w:val="00B463B7"/>
    <w:rsid w:val="00B476DB"/>
    <w:rsid w:val="00B51B66"/>
    <w:rsid w:val="00B530E9"/>
    <w:rsid w:val="00B60A73"/>
    <w:rsid w:val="00B71C7B"/>
    <w:rsid w:val="00B73289"/>
    <w:rsid w:val="00B80EAB"/>
    <w:rsid w:val="00B819FC"/>
    <w:rsid w:val="00B834B5"/>
    <w:rsid w:val="00B847B9"/>
    <w:rsid w:val="00B865BF"/>
    <w:rsid w:val="00B91200"/>
    <w:rsid w:val="00B949B2"/>
    <w:rsid w:val="00B97757"/>
    <w:rsid w:val="00BA013E"/>
    <w:rsid w:val="00BA58D0"/>
    <w:rsid w:val="00BA767E"/>
    <w:rsid w:val="00BB0BE7"/>
    <w:rsid w:val="00BC4905"/>
    <w:rsid w:val="00BD0A54"/>
    <w:rsid w:val="00BD6D26"/>
    <w:rsid w:val="00C04E1B"/>
    <w:rsid w:val="00C05B9E"/>
    <w:rsid w:val="00C05CD5"/>
    <w:rsid w:val="00C069C2"/>
    <w:rsid w:val="00C20262"/>
    <w:rsid w:val="00C23175"/>
    <w:rsid w:val="00C25A30"/>
    <w:rsid w:val="00C26FA8"/>
    <w:rsid w:val="00C271E6"/>
    <w:rsid w:val="00C36257"/>
    <w:rsid w:val="00C462B5"/>
    <w:rsid w:val="00C46CD5"/>
    <w:rsid w:val="00C64822"/>
    <w:rsid w:val="00C71FEB"/>
    <w:rsid w:val="00C75561"/>
    <w:rsid w:val="00C7651D"/>
    <w:rsid w:val="00C76728"/>
    <w:rsid w:val="00C82ACA"/>
    <w:rsid w:val="00CA0919"/>
    <w:rsid w:val="00CA1E88"/>
    <w:rsid w:val="00CA794E"/>
    <w:rsid w:val="00CB2B0A"/>
    <w:rsid w:val="00CB42CD"/>
    <w:rsid w:val="00CC2311"/>
    <w:rsid w:val="00CC64FE"/>
    <w:rsid w:val="00D015DB"/>
    <w:rsid w:val="00D01B5F"/>
    <w:rsid w:val="00D06802"/>
    <w:rsid w:val="00D13C4C"/>
    <w:rsid w:val="00D16DB8"/>
    <w:rsid w:val="00D172E0"/>
    <w:rsid w:val="00D203C3"/>
    <w:rsid w:val="00D23207"/>
    <w:rsid w:val="00D265F1"/>
    <w:rsid w:val="00D26AE5"/>
    <w:rsid w:val="00D27458"/>
    <w:rsid w:val="00D3047C"/>
    <w:rsid w:val="00D33A21"/>
    <w:rsid w:val="00D3779B"/>
    <w:rsid w:val="00D55EBD"/>
    <w:rsid w:val="00D626E3"/>
    <w:rsid w:val="00D65152"/>
    <w:rsid w:val="00D70903"/>
    <w:rsid w:val="00D748A9"/>
    <w:rsid w:val="00D76BCB"/>
    <w:rsid w:val="00D86F04"/>
    <w:rsid w:val="00D87B72"/>
    <w:rsid w:val="00D9036E"/>
    <w:rsid w:val="00DB4EBA"/>
    <w:rsid w:val="00DC41D4"/>
    <w:rsid w:val="00DC7584"/>
    <w:rsid w:val="00DD074B"/>
    <w:rsid w:val="00DE6B60"/>
    <w:rsid w:val="00DF1927"/>
    <w:rsid w:val="00DF561E"/>
    <w:rsid w:val="00DF612A"/>
    <w:rsid w:val="00E02997"/>
    <w:rsid w:val="00E03122"/>
    <w:rsid w:val="00E06F8F"/>
    <w:rsid w:val="00E13908"/>
    <w:rsid w:val="00E35A03"/>
    <w:rsid w:val="00E35BDB"/>
    <w:rsid w:val="00E436A5"/>
    <w:rsid w:val="00E43D1D"/>
    <w:rsid w:val="00E45CEE"/>
    <w:rsid w:val="00E51C32"/>
    <w:rsid w:val="00E56180"/>
    <w:rsid w:val="00E562AF"/>
    <w:rsid w:val="00E74B5A"/>
    <w:rsid w:val="00E758F6"/>
    <w:rsid w:val="00E80999"/>
    <w:rsid w:val="00E83A3C"/>
    <w:rsid w:val="00E95A39"/>
    <w:rsid w:val="00EA571E"/>
    <w:rsid w:val="00EB09C4"/>
    <w:rsid w:val="00EB0B18"/>
    <w:rsid w:val="00EB1390"/>
    <w:rsid w:val="00EB2EB7"/>
    <w:rsid w:val="00EB455C"/>
    <w:rsid w:val="00EE03F5"/>
    <w:rsid w:val="00EF32C4"/>
    <w:rsid w:val="00EF7E0A"/>
    <w:rsid w:val="00F006D9"/>
    <w:rsid w:val="00F1062E"/>
    <w:rsid w:val="00F13C33"/>
    <w:rsid w:val="00F1751F"/>
    <w:rsid w:val="00F204DB"/>
    <w:rsid w:val="00F21A24"/>
    <w:rsid w:val="00F328E4"/>
    <w:rsid w:val="00F350D8"/>
    <w:rsid w:val="00F369C3"/>
    <w:rsid w:val="00F42D1B"/>
    <w:rsid w:val="00F445C3"/>
    <w:rsid w:val="00F5274B"/>
    <w:rsid w:val="00F544DA"/>
    <w:rsid w:val="00F561FE"/>
    <w:rsid w:val="00F6185D"/>
    <w:rsid w:val="00F66A1B"/>
    <w:rsid w:val="00F7264F"/>
    <w:rsid w:val="00F73335"/>
    <w:rsid w:val="00F844C2"/>
    <w:rsid w:val="00F9338F"/>
    <w:rsid w:val="00FA2DF5"/>
    <w:rsid w:val="00FA4B31"/>
    <w:rsid w:val="00FB42CB"/>
    <w:rsid w:val="00FB703C"/>
    <w:rsid w:val="00FC0A4A"/>
    <w:rsid w:val="00FC6C9B"/>
    <w:rsid w:val="00FD3350"/>
    <w:rsid w:val="00FE2FE3"/>
    <w:rsid w:val="00FF6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6363276-5E46-46D5-992F-22BD5DFB9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cap="none" spc="0" normalizeH="0" baseline="0">
                <a:solidFill>
                  <a:sysClr val="windowText" lastClr="000000"/>
                </a:solidFill>
                <a:latin typeface="+mj-lt"/>
                <a:ea typeface="+mj-ea"/>
                <a:cs typeface="+mj-cs"/>
              </a:defRPr>
            </a:pPr>
            <a:r>
              <a:rPr lang="en-US" sz="1200" b="1">
                <a:solidFill>
                  <a:sysClr val="windowText" lastClr="000000"/>
                </a:solidFill>
              </a:rPr>
              <a:t>Mean height of the study nets by age</a:t>
            </a:r>
          </a:p>
        </c:rich>
      </c:tx>
      <c:layout>
        <c:manualLayout>
          <c:xMode val="edge"/>
          <c:yMode val="edge"/>
          <c:x val="0.24850011157512192"/>
          <c:y val="3.916492242267184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cap="none" spc="0" normalizeH="0" baseline="0">
              <a:solidFill>
                <a:sysClr val="windowText" lastClr="000000"/>
              </a:solidFill>
              <a:latin typeface="+mj-lt"/>
              <a:ea typeface="+mj-ea"/>
              <a:cs typeface="+mj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1434941077709416"/>
          <c:y val="0.10365029831647972"/>
          <c:w val="0.79122567927996856"/>
          <c:h val="0.7592353566563673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'Appendix 5'!$B$19</c:f>
              <c:strCache>
                <c:ptCount val="1"/>
                <c:pt idx="0">
                  <c:v>0months</c:v>
                </c:pt>
              </c:strCache>
            </c:strRef>
          </c:tx>
          <c:spPr>
            <a:solidFill>
              <a:schemeClr val="accent2">
                <a:lumMod val="50000"/>
              </a:schemeClr>
            </a:solidFill>
            <a:ln>
              <a:noFill/>
            </a:ln>
            <a:effectLst/>
          </c:spPr>
          <c:invertIfNegative val="0"/>
          <c:cat>
            <c:strRef>
              <c:f>'Appendix 5'!$A$20:$A$23</c:f>
              <c:strCache>
                <c:ptCount val="4"/>
                <c:pt idx="0">
                  <c:v>Pyrethroid (PY) LLIN</c:v>
                </c:pt>
                <c:pt idx="1">
                  <c:v>Chlorfenapyr-PY LLIN</c:v>
                </c:pt>
                <c:pt idx="2">
                  <c:v>PBO-PY LLIN</c:v>
                </c:pt>
                <c:pt idx="3">
                  <c:v>Pyriproxyfen-PY LLIN</c:v>
                </c:pt>
              </c:strCache>
            </c:strRef>
          </c:cat>
          <c:val>
            <c:numRef>
              <c:f>'Appendix 5'!$B$20:$B$23</c:f>
              <c:numCache>
                <c:formatCode>General</c:formatCode>
                <c:ptCount val="4"/>
                <c:pt idx="0">
                  <c:v>180</c:v>
                </c:pt>
                <c:pt idx="1">
                  <c:v>180</c:v>
                </c:pt>
                <c:pt idx="2">
                  <c:v>180</c:v>
                </c:pt>
                <c:pt idx="3">
                  <c:v>180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088-4C8B-A4D2-622001976543}"/>
            </c:ext>
          </c:extLst>
        </c:ser>
        <c:ser>
          <c:idx val="1"/>
          <c:order val="1"/>
          <c:tx>
            <c:strRef>
              <c:f>'Appendix 5'!$C$19</c:f>
              <c:strCache>
                <c:ptCount val="1"/>
                <c:pt idx="0">
                  <c:v>30months</c:v>
                </c:pt>
              </c:strCache>
            </c:strRef>
          </c:tx>
          <c:spPr>
            <a:solidFill>
              <a:schemeClr val="accent1">
                <a:lumMod val="50000"/>
              </a:schemeClr>
            </a:solidFill>
            <a:ln>
              <a:noFill/>
            </a:ln>
            <a:effectLst/>
          </c:spPr>
          <c:invertIfNegative val="0"/>
          <c:errBars>
            <c:errBarType val="both"/>
            <c:errValType val="stdErr"/>
            <c:noEndCap val="0"/>
            <c:spPr>
              <a:noFill/>
              <a:ln w="9525" cap="flat" cmpd="sng" algn="ctr">
                <a:solidFill>
                  <a:schemeClr val="dk1">
                    <a:lumMod val="50000"/>
                    <a:lumOff val="50000"/>
                  </a:schemeClr>
                </a:solidFill>
                <a:round/>
              </a:ln>
              <a:effectLst/>
            </c:spPr>
          </c:errBars>
          <c:cat>
            <c:strRef>
              <c:f>'Appendix 5'!$A$20:$A$23</c:f>
              <c:strCache>
                <c:ptCount val="4"/>
                <c:pt idx="0">
                  <c:v>Pyrethroid (PY) LLIN</c:v>
                </c:pt>
                <c:pt idx="1">
                  <c:v>Chlorfenapyr-PY LLIN</c:v>
                </c:pt>
                <c:pt idx="2">
                  <c:v>PBO-PY LLIN</c:v>
                </c:pt>
                <c:pt idx="3">
                  <c:v>Pyriproxyfen-PY LLIN</c:v>
                </c:pt>
              </c:strCache>
            </c:strRef>
          </c:cat>
          <c:val>
            <c:numRef>
              <c:f>'Appendix 5'!$C$20:$C$23</c:f>
              <c:numCache>
                <c:formatCode>General</c:formatCode>
                <c:ptCount val="4"/>
                <c:pt idx="0">
                  <c:v>171</c:v>
                </c:pt>
                <c:pt idx="1">
                  <c:v>169</c:v>
                </c:pt>
                <c:pt idx="2">
                  <c:v>162</c:v>
                </c:pt>
                <c:pt idx="3">
                  <c:v>155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6088-4C8B-A4D2-622001976543}"/>
            </c:ext>
          </c:extLst>
        </c:ser>
        <c:ser>
          <c:idx val="2"/>
          <c:order val="2"/>
          <c:tx>
            <c:strRef>
              <c:f>'Appendix 5'!$D$19</c:f>
              <c:strCache>
                <c:ptCount val="1"/>
                <c:pt idx="0">
                  <c:v>36months</c:v>
                </c:pt>
              </c:strCache>
            </c:strRef>
          </c:tx>
          <c:spPr>
            <a:solidFill>
              <a:srgbClr val="6B735D"/>
            </a:solidFill>
            <a:ln>
              <a:noFill/>
            </a:ln>
            <a:effectLst/>
          </c:spPr>
          <c:invertIfNegative val="0"/>
          <c:errBars>
            <c:errBarType val="both"/>
            <c:errValType val="stdErr"/>
            <c:noEndCap val="0"/>
            <c:spPr>
              <a:noFill/>
              <a:ln w="9525" cap="flat" cmpd="sng" algn="ctr">
                <a:solidFill>
                  <a:schemeClr val="dk1">
                    <a:lumMod val="50000"/>
                    <a:lumOff val="50000"/>
                  </a:schemeClr>
                </a:solidFill>
                <a:round/>
              </a:ln>
              <a:effectLst/>
            </c:spPr>
          </c:errBars>
          <c:cat>
            <c:strRef>
              <c:f>'Appendix 5'!$A$20:$A$23</c:f>
              <c:strCache>
                <c:ptCount val="4"/>
                <c:pt idx="0">
                  <c:v>Pyrethroid (PY) LLIN</c:v>
                </c:pt>
                <c:pt idx="1">
                  <c:v>Chlorfenapyr-PY LLIN</c:v>
                </c:pt>
                <c:pt idx="2">
                  <c:v>PBO-PY LLIN</c:v>
                </c:pt>
                <c:pt idx="3">
                  <c:v>Pyriproxyfen-PY LLIN</c:v>
                </c:pt>
              </c:strCache>
            </c:strRef>
          </c:cat>
          <c:val>
            <c:numRef>
              <c:f>'Appendix 5'!$D$20:$D$23</c:f>
              <c:numCache>
                <c:formatCode>General</c:formatCode>
                <c:ptCount val="4"/>
                <c:pt idx="0">
                  <c:v>170</c:v>
                </c:pt>
                <c:pt idx="1">
                  <c:v>174</c:v>
                </c:pt>
                <c:pt idx="2">
                  <c:v>158</c:v>
                </c:pt>
                <c:pt idx="3">
                  <c:v>157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6088-4C8B-A4D2-62200197654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67"/>
        <c:overlap val="-43"/>
        <c:axId val="2063941936"/>
        <c:axId val="2063946288"/>
      </c:barChart>
      <c:catAx>
        <c:axId val="206394193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spc="0" normalizeH="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063946288"/>
        <c:crosses val="autoZero"/>
        <c:auto val="1"/>
        <c:lblAlgn val="ctr"/>
        <c:lblOffset val="100"/>
        <c:noMultiLvlLbl val="0"/>
      </c:catAx>
      <c:valAx>
        <c:axId val="2063946288"/>
        <c:scaling>
          <c:orientation val="minMax"/>
          <c:max val="180"/>
        </c:scaling>
        <c:delete val="0"/>
        <c:axPos val="l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50" b="1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050"/>
                  <a:t>Net height (Cm)</a:t>
                </a:r>
              </a:p>
            </c:rich>
          </c:tx>
          <c:layout>
            <c:manualLayout>
              <c:xMode val="edge"/>
              <c:yMode val="edge"/>
              <c:x val="1.3431468234503686E-2"/>
              <c:y val="0.37057988100651679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50" b="1" i="0" u="none" strike="noStrike" kern="1200" baseline="0">
                  <a:solidFill>
                    <a:schemeClr val="dk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063941936"/>
        <c:crosses val="autoZero"/>
        <c:crossBetween val="between"/>
      </c:valAx>
      <c:spPr>
        <a:pattFill prst="ltDnDiag">
          <a:fgClr>
            <a:schemeClr val="dk1">
              <a:lumMod val="15000"/>
              <a:lumOff val="85000"/>
            </a:schemeClr>
          </a:fgClr>
          <a:bgClr>
            <a:schemeClr val="lt1"/>
          </a:bgClr>
        </a:pattFill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lt1"/>
    </a:solid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8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 cap="none" spc="0" normalizeH="0" baseline="0"/>
  </cs:categoryAxis>
  <cs:chartArea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lt1"/>
      </a:solidFill>
      <a:ln w="1587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8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plotArea>
  <cs:plotArea3D>
    <cs:lnRef idx="0"/>
    <cs:fillRef idx="0"/>
    <cs:effectRef idx="0"/>
    <cs:fontRef idx="minor">
      <a:schemeClr val="dk1"/>
    </cs:fontRef>
    <cs:spPr>
      <a:solidFill>
        <a:schemeClr val="lt1"/>
      </a:solidFill>
    </cs:spPr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dk1">
        <a:lumMod val="50000"/>
        <a:lumOff val="50000"/>
      </a:schemeClr>
    </cs:fontRef>
    <cs:defRPr sz="1600" b="1" kern="1200" cap="none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</Words>
  <Characters>55</Characters>
  <Application>Microsoft Office Word</Application>
  <DocSecurity>0</DocSecurity>
  <Lines>1</Lines>
  <Paragraphs>1</Paragraphs>
  <ScaleCrop>false</ScaleCrop>
  <Company>HP Inc.</Company>
  <LinksUpToDate>false</LinksUpToDate>
  <CharactersWithSpaces>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Abi Juliet  Jothinathan</dc:creator>
  <cp:keywords/>
  <dc:description/>
  <cp:lastModifiedBy>Abi Juliet  Jothinathan</cp:lastModifiedBy>
  <cp:revision>1</cp:revision>
  <dcterms:created xsi:type="dcterms:W3CDTF">2024-06-25T07:22:00Z</dcterms:created>
  <dcterms:modified xsi:type="dcterms:W3CDTF">2024-06-25T07:23:00Z</dcterms:modified>
</cp:coreProperties>
</file>